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BA1856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C116C7">
              <w:t>6</w:t>
            </w:r>
            <w:r>
              <w:t>/</w:t>
            </w:r>
            <w:r w:rsidR="00BA1856">
              <w:t>38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83C09" w:rsidP="00B11BB4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DB159E" w:rsidP="00B11BB4">
            <w:pPr>
              <w:suppressAutoHyphens w:val="0"/>
            </w:pPr>
            <w:r>
              <w:t>9</w:t>
            </w:r>
            <w:r w:rsidR="00D34764">
              <w:t xml:space="preserve"> August</w:t>
            </w:r>
            <w:r w:rsidR="001B13A5">
              <w:t xml:space="preserve"> 201</w:t>
            </w:r>
            <w:r w:rsidR="00E97400">
              <w:t>6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4558F" w:rsidP="00B11BB4">
            <w:pPr>
              <w:suppressAutoHyphens w:val="0"/>
            </w:pPr>
            <w:r>
              <w:t>English</w:t>
            </w:r>
            <w:r w:rsidR="00C9221E">
              <w:t xml:space="preserve"> only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5A6058" w:rsidP="00BB7CD1">
      <w:r>
        <w:t>Geneva</w:t>
      </w:r>
      <w:r w:rsidR="00BB7CD1">
        <w:t xml:space="preserve">, </w:t>
      </w:r>
      <w:r>
        <w:t>1</w:t>
      </w:r>
      <w:r w:rsidR="00B77EB3">
        <w:t>9</w:t>
      </w:r>
      <w:r w:rsidR="00BB7CD1">
        <w:t>–2</w:t>
      </w:r>
      <w:r w:rsidR="00B77EB3">
        <w:t>3</w:t>
      </w:r>
      <w:r w:rsidR="00F66565">
        <w:t xml:space="preserve"> </w:t>
      </w:r>
      <w:r>
        <w:t>September</w:t>
      </w:r>
      <w:r w:rsidR="00BB7CD1">
        <w:t xml:space="preserve"> 201</w:t>
      </w:r>
      <w:r w:rsidR="00B77EB3">
        <w:t>6</w:t>
      </w:r>
    </w:p>
    <w:p w:rsidR="00BB7CD1" w:rsidRDefault="00BB7CD1" w:rsidP="00BB7CD1">
      <w:r>
        <w:t xml:space="preserve">Item </w:t>
      </w:r>
      <w:r w:rsidR="00D34764">
        <w:t>3</w:t>
      </w:r>
      <w:r>
        <w:t xml:space="preserve"> of the provisional agenda</w:t>
      </w:r>
    </w:p>
    <w:p w:rsidR="00BB7CD1" w:rsidRPr="00BB7CD1" w:rsidRDefault="00D34764" w:rsidP="005B73B8">
      <w:pPr>
        <w:rPr>
          <w:b/>
        </w:rPr>
      </w:pPr>
      <w:r>
        <w:rPr>
          <w:b/>
        </w:rPr>
        <w:t>Standards</w:t>
      </w:r>
    </w:p>
    <w:p w:rsidR="00D34764" w:rsidRPr="00341EE0" w:rsidRDefault="009B1518" w:rsidP="00D34764">
      <w:pPr>
        <w:pStyle w:val="HChG"/>
      </w:pPr>
      <w:r>
        <w:tab/>
      </w:r>
      <w:r w:rsidR="00D47A9B">
        <w:tab/>
      </w:r>
      <w:r w:rsidR="00D34764">
        <w:t xml:space="preserve">Amendment of the reference to standard EN 16509 in 6.2.6.4 </w:t>
      </w:r>
    </w:p>
    <w:p w:rsidR="00231D9B" w:rsidRDefault="00231D9B" w:rsidP="00E43F8A">
      <w:pPr>
        <w:pStyle w:val="H1G"/>
        <w:rPr>
          <w:lang w:bidi="en-GB"/>
        </w:rPr>
      </w:pPr>
      <w:r w:rsidRPr="005C059E">
        <w:rPr>
          <w:lang w:bidi="en-GB"/>
        </w:rPr>
        <w:tab/>
      </w:r>
      <w:r w:rsidRPr="005C059E">
        <w:rPr>
          <w:lang w:bidi="en-GB"/>
        </w:rPr>
        <w:tab/>
        <w:t xml:space="preserve">Transmitted by </w:t>
      </w:r>
      <w:r w:rsidR="00D34764" w:rsidRPr="00341EE0">
        <w:t xml:space="preserve">the </w:t>
      </w:r>
      <w:r w:rsidR="00D34764">
        <w:t>European Cylinder Makers Association (ECMA)</w:t>
      </w:r>
      <w:r w:rsidRPr="00E96EC7">
        <w:rPr>
          <w:rStyle w:val="Appelnotedebasdep"/>
          <w:b w:val="0"/>
          <w:szCs w:val="18"/>
        </w:rPr>
        <w:footnoteReference w:id="2"/>
      </w:r>
      <w:r w:rsidRPr="00E96EC7">
        <w:rPr>
          <w:sz w:val="18"/>
          <w:szCs w:val="18"/>
          <w:vertAlign w:val="superscript"/>
        </w:rPr>
        <w:t>,</w:t>
      </w:r>
      <w:r w:rsidRPr="00E96EC7">
        <w:rPr>
          <w:sz w:val="18"/>
          <w:szCs w:val="18"/>
        </w:rPr>
        <w:t xml:space="preserve"> </w:t>
      </w:r>
      <w:r w:rsidRPr="00E96EC7">
        <w:rPr>
          <w:rStyle w:val="Appelnotedebasdep"/>
          <w:b w:val="0"/>
          <w:szCs w:val="18"/>
        </w:rPr>
        <w:footnoteReference w:id="3"/>
      </w:r>
      <w:r w:rsidRPr="005C059E">
        <w:rPr>
          <w:lang w:bidi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7"/>
      </w:tblGrid>
      <w:tr w:rsidR="00D34764" w:rsidRPr="00B11BB4" w:rsidTr="006452D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D34764" w:rsidRPr="005466E3" w:rsidRDefault="003D260F" w:rsidP="006452D5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rPr>
                <w:lang w:bidi="en-GB"/>
              </w:rPr>
              <w:tab/>
            </w:r>
            <w:r w:rsidR="00D34764" w:rsidRPr="005466E3">
              <w:tab/>
            </w:r>
            <w:r w:rsidR="00D34764" w:rsidRPr="005466E3">
              <w:rPr>
                <w:i/>
                <w:sz w:val="24"/>
              </w:rPr>
              <w:t>Summary</w:t>
            </w:r>
          </w:p>
        </w:tc>
      </w:tr>
      <w:tr w:rsidR="00D34764" w:rsidRPr="00B11BB4" w:rsidTr="006452D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34764" w:rsidRPr="00677EBD" w:rsidRDefault="006452D5" w:rsidP="009F5D8A">
            <w:pPr>
              <w:pStyle w:val="Corpsdetexte"/>
              <w:spacing w:before="120" w:after="120" w:line="205" w:lineRule="exact"/>
              <w:ind w:left="1133" w:right="1134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D34764" w:rsidRPr="00677EBD">
              <w:rPr>
                <w:b/>
              </w:rPr>
              <w:t>Executive summary</w:t>
            </w:r>
            <w:r w:rsidR="00D34764" w:rsidRPr="00677EBD">
              <w:t>:</w:t>
            </w:r>
            <w:r w:rsidR="00D34764" w:rsidRPr="00677EBD">
              <w:tab/>
            </w:r>
            <w:r w:rsidR="00D34764" w:rsidRPr="00D455BF">
              <w:t xml:space="preserve">The aim of this proposal, following the discussion at the </w:t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  <w:t>September 2015 session of the Joint Meeting</w:t>
            </w:r>
            <w:r w:rsidR="00D34764" w:rsidRPr="00D455BF">
              <w:t xml:space="preserve">, is to amend the </w:t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D34764" w:rsidRPr="00D455BF">
              <w:t xml:space="preserve">marking requirements set out in EN 16509 so as to make these </w:t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D34764" w:rsidRPr="00D455BF">
              <w:t>consistent with the marking</w:t>
            </w:r>
            <w:r w:rsidR="00D34764">
              <w:t xml:space="preserve"> </w:t>
            </w:r>
            <w:r w:rsidR="00F65C64">
              <w:tab/>
            </w:r>
            <w:r w:rsidR="00D34764" w:rsidRPr="00D455BF">
              <w:t>requirements of RID/ADR.</w:t>
            </w:r>
          </w:p>
        </w:tc>
      </w:tr>
      <w:tr w:rsidR="00D34764" w:rsidTr="006452D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34764" w:rsidRPr="00677EBD" w:rsidRDefault="006452D5" w:rsidP="00F65C64">
            <w:pPr>
              <w:pStyle w:val="Corpsdetexte"/>
              <w:spacing w:before="120" w:after="120" w:line="205" w:lineRule="exact"/>
              <w:ind w:left="1133" w:right="1134"/>
              <w:jc w:val="both"/>
            </w:pPr>
            <w:r>
              <w:rPr>
                <w:b/>
              </w:rPr>
              <w:tab/>
            </w:r>
            <w:r w:rsidR="00D34764" w:rsidRPr="00677EBD">
              <w:rPr>
                <w:b/>
              </w:rPr>
              <w:t>Action to be taken</w:t>
            </w:r>
            <w:r w:rsidR="00D34764" w:rsidRPr="00677EBD">
              <w:t xml:space="preserve">: </w:t>
            </w:r>
            <w:r>
              <w:tab/>
            </w:r>
            <w:r w:rsidR="00D34764" w:rsidRPr="00677EBD">
              <w:tab/>
            </w:r>
            <w:r w:rsidR="00D34764">
              <w:t xml:space="preserve">Replace the text in 6.2.6.4 with that set out in Proposal so that </w:t>
            </w:r>
            <w:r w:rsidR="00F65C64">
              <w:tab/>
            </w:r>
            <w:r w:rsidR="00F65C64">
              <w:tab/>
            </w:r>
            <w:r w:rsidR="00F65C64">
              <w:tab/>
            </w:r>
            <w:r w:rsidR="00F65C64">
              <w:tab/>
            </w:r>
            <w:r w:rsidR="00F65C64">
              <w:tab/>
            </w:r>
            <w:r w:rsidR="00D34764">
              <w:t>the marking requirements of EN 16509 and RID/ADR are met.</w:t>
            </w:r>
          </w:p>
        </w:tc>
      </w:tr>
      <w:tr w:rsidR="00D34764" w:rsidRPr="00E463A6" w:rsidTr="00A7790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34764" w:rsidRPr="00677EBD" w:rsidRDefault="006452D5" w:rsidP="009F5D8A">
            <w:pPr>
              <w:pStyle w:val="Corpsdetexte"/>
              <w:spacing w:before="120" w:after="120" w:line="205" w:lineRule="exact"/>
              <w:ind w:left="1133" w:right="1134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D34764" w:rsidRPr="00677EBD">
              <w:rPr>
                <w:b/>
              </w:rPr>
              <w:t>Related documents:</w:t>
            </w:r>
            <w:r w:rsidR="00D34764" w:rsidRPr="00677EBD">
              <w:rPr>
                <w:b/>
              </w:rPr>
              <w:tab/>
            </w:r>
            <w:r>
              <w:rPr>
                <w:b/>
              </w:rPr>
              <w:tab/>
            </w:r>
            <w:r w:rsidR="00D34764" w:rsidRPr="00677EBD">
              <w:t>ECE/TRANS/WP.15/AC.1/138, paragraph 20 and Annex II</w:t>
            </w:r>
            <w:r w:rsidR="00D34764">
              <w:t xml:space="preserve">, </w:t>
            </w:r>
            <w:r w:rsidR="00F65C64">
              <w:tab/>
            </w:r>
            <w:r w:rsidR="00F65C64">
              <w:tab/>
            </w:r>
            <w:r w:rsidR="00F65C64">
              <w:tab/>
            </w:r>
            <w:r w:rsidR="00F65C64">
              <w:tab/>
            </w:r>
            <w:r w:rsidR="00F65C64">
              <w:tab/>
            </w:r>
            <w:r w:rsidR="00D34764">
              <w:t>R</w:t>
            </w:r>
            <w:r w:rsidR="00D34764" w:rsidRPr="00D455BF">
              <w:t xml:space="preserve">eport of Standards Working Group, in Bern, March 2015 </w:t>
            </w:r>
            <w:r w:rsidR="009F5D8A">
              <w:t>–</w:t>
            </w:r>
            <w:r w:rsidR="00D34764" w:rsidRPr="00D455BF">
              <w:t xml:space="preserve"> </w:t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  <w:t xml:space="preserve">informal document </w:t>
            </w:r>
            <w:r w:rsidR="00D34764" w:rsidRPr="00D455BF">
              <w:t>INF.48, proposal 5</w:t>
            </w:r>
            <w:r w:rsidR="00D34764">
              <w:t>,</w:t>
            </w:r>
            <w:r w:rsidR="00D34764" w:rsidRPr="00D455BF">
              <w:t xml:space="preserve"> and</w:t>
            </w:r>
            <w:r w:rsidR="00D34764">
              <w:t xml:space="preserve"> </w:t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9F5D8A">
              <w:tab/>
            </w:r>
            <w:r w:rsidR="00D34764" w:rsidRPr="00D455BF">
              <w:t>ECE/TRANS/WP.15/AC.1/2015/49</w:t>
            </w:r>
          </w:p>
        </w:tc>
      </w:tr>
      <w:tr w:rsidR="00A77903" w:rsidRPr="00E463A6" w:rsidTr="006452D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77903" w:rsidRDefault="00A77903" w:rsidP="00A77903">
            <w:pPr>
              <w:pStyle w:val="Corpsdetexte"/>
              <w:spacing w:before="120" w:after="120" w:line="205" w:lineRule="exact"/>
              <w:ind w:right="1134"/>
              <w:jc w:val="both"/>
              <w:rPr>
                <w:b/>
              </w:rPr>
            </w:pPr>
          </w:p>
        </w:tc>
      </w:tr>
    </w:tbl>
    <w:p w:rsidR="00D34764" w:rsidRDefault="00D34764" w:rsidP="00D34764"/>
    <w:p w:rsidR="00D34764" w:rsidRDefault="00D34764" w:rsidP="00D34764"/>
    <w:p w:rsidR="00D34764" w:rsidRPr="00950020" w:rsidRDefault="00D34764" w:rsidP="00D34764"/>
    <w:p w:rsidR="00D34764" w:rsidRPr="00AF0503" w:rsidRDefault="00D34764" w:rsidP="00D34764">
      <w:pPr>
        <w:pStyle w:val="HChG"/>
        <w:ind w:right="567"/>
      </w:pPr>
      <w:r>
        <w:lastRenderedPageBreak/>
        <w:tab/>
      </w:r>
      <w:r>
        <w:tab/>
        <w:t>Introduction</w:t>
      </w:r>
    </w:p>
    <w:p w:rsidR="00D34764" w:rsidRPr="00F84088" w:rsidRDefault="00D34764" w:rsidP="00D34764">
      <w:pPr>
        <w:pStyle w:val="SingleTxtG"/>
        <w:numPr>
          <w:ilvl w:val="0"/>
          <w:numId w:val="22"/>
        </w:numPr>
        <w:ind w:left="1134" w:firstLine="0"/>
      </w:pPr>
      <w:r w:rsidRPr="00F84088">
        <w:t xml:space="preserve">The September Joint Meeting in </w:t>
      </w:r>
      <w:proofErr w:type="gramStart"/>
      <w:r w:rsidRPr="00F84088">
        <w:t>Geneva,</w:t>
      </w:r>
      <w:proofErr w:type="gramEnd"/>
      <w:r w:rsidRPr="00F84088">
        <w:t xml:space="preserve"> considered that the markings specified in </w:t>
      </w:r>
      <w:r>
        <w:t xml:space="preserve">clause 9 of </w:t>
      </w:r>
      <w:r w:rsidRPr="00F84088">
        <w:t>EN</w:t>
      </w:r>
      <w:r>
        <w:t xml:space="preserve"> </w:t>
      </w:r>
      <w:r w:rsidRPr="00F84088">
        <w:t>16509</w:t>
      </w:r>
      <w:r>
        <w:t xml:space="preserve"> </w:t>
      </w:r>
      <w:r w:rsidRPr="00F84088">
        <w:t xml:space="preserve">did not </w:t>
      </w:r>
      <w:r>
        <w:t>comply with</w:t>
      </w:r>
      <w:r w:rsidRPr="00F84088">
        <w:t xml:space="preserve"> the marking requirements of the </w:t>
      </w:r>
      <w:r>
        <w:t>RID/</w:t>
      </w:r>
      <w:r w:rsidRPr="00F84088">
        <w:t xml:space="preserve">ADR. It was agreed that ECMA would re-present proposals regarding the markings for EN 16509 cylinders and its inclusion in the </w:t>
      </w:r>
      <w:r>
        <w:t>RID/</w:t>
      </w:r>
      <w:r w:rsidRPr="00F84088">
        <w:t>ADR.</w:t>
      </w:r>
    </w:p>
    <w:p w:rsidR="00D34764" w:rsidRDefault="00D34764" w:rsidP="00D34764">
      <w:pPr>
        <w:pStyle w:val="HChG"/>
        <w:ind w:left="0" w:right="567" w:firstLine="0"/>
        <w:jc w:val="both"/>
      </w:pPr>
      <w:r>
        <w:rPr>
          <w:b w:val="0"/>
          <w:sz w:val="20"/>
        </w:rPr>
        <w:tab/>
      </w:r>
      <w:r>
        <w:tab/>
        <w:t xml:space="preserve">Issue </w:t>
      </w:r>
    </w:p>
    <w:p w:rsidR="00D34764" w:rsidRDefault="00C9221E" w:rsidP="00C9221E">
      <w:pPr>
        <w:pStyle w:val="Textebrut"/>
        <w:suppressAutoHyphens w:val="0"/>
        <w:spacing w:line="240" w:lineRule="auto"/>
        <w:ind w:left="1134" w:right="1134"/>
        <w:jc w:val="both"/>
        <w:rPr>
          <w:lang w:val="en-US"/>
        </w:rPr>
      </w:pPr>
      <w:r>
        <w:t>2.</w:t>
      </w:r>
      <w:r>
        <w:tab/>
      </w:r>
      <w:r w:rsidR="00D34764" w:rsidRPr="003F74EA">
        <w:t xml:space="preserve">Cylinders complying with EN 16509 </w:t>
      </w:r>
      <w:r w:rsidR="00D34764">
        <w:t xml:space="preserve">are gas cartridges with a water capacity not exceeding 120 ml and </w:t>
      </w:r>
      <w:r w:rsidR="00D34764" w:rsidRPr="003F74EA">
        <w:t>would be transported as UN 2037- 5A or 5O</w:t>
      </w:r>
      <w:r w:rsidR="00D34764">
        <w:t>,</w:t>
      </w:r>
      <w:r w:rsidR="00D34764" w:rsidRPr="003F74EA">
        <w:t xml:space="preserve"> Limited Quantities. The markings necessary to comply with the </w:t>
      </w:r>
      <w:r w:rsidR="00D34764">
        <w:t>RID/</w:t>
      </w:r>
      <w:r w:rsidR="00D34764" w:rsidRPr="003F74EA">
        <w:t>ADR requirements are to be found</w:t>
      </w:r>
      <w:r w:rsidR="00D34764" w:rsidRPr="00CC3068">
        <w:rPr>
          <w:lang w:val="en-US"/>
        </w:rPr>
        <w:t xml:space="preserve"> in </w:t>
      </w:r>
      <w:r w:rsidR="00D34764" w:rsidRPr="003F74EA">
        <w:t>Chapter 3.4</w:t>
      </w:r>
      <w:r w:rsidR="00D34764">
        <w:t xml:space="preserve"> and section 1.8.8</w:t>
      </w:r>
      <w:r w:rsidR="00D34764" w:rsidRPr="003F74EA">
        <w:t>.</w:t>
      </w:r>
      <w:r w:rsidR="00D34764" w:rsidRPr="00CC3068">
        <w:rPr>
          <w:lang w:val="en-US"/>
        </w:rPr>
        <w:t xml:space="preserve"> </w:t>
      </w:r>
    </w:p>
    <w:p w:rsidR="00D34764" w:rsidRDefault="00D34764" w:rsidP="00D34764">
      <w:pPr>
        <w:pStyle w:val="Textebrut"/>
        <w:ind w:left="1689"/>
        <w:rPr>
          <w:lang w:val="en-US"/>
        </w:rPr>
      </w:pPr>
    </w:p>
    <w:p w:rsidR="00D34764" w:rsidRPr="003F74EA" w:rsidRDefault="00A77903" w:rsidP="00A77903">
      <w:pPr>
        <w:pStyle w:val="SingleTxtG"/>
      </w:pPr>
      <w:r>
        <w:t>3.</w:t>
      </w:r>
      <w:r>
        <w:tab/>
      </w:r>
      <w:r w:rsidR="00D34764" w:rsidRPr="003F74EA">
        <w:t>These are</w:t>
      </w:r>
      <w:r w:rsidR="00D34764">
        <w:t>:</w:t>
      </w:r>
    </w:p>
    <w:p w:rsidR="00D34764" w:rsidRPr="003F74EA" w:rsidRDefault="006452D5" w:rsidP="00A77903">
      <w:pPr>
        <w:pStyle w:val="SingleTxtG"/>
      </w:pPr>
      <w:r>
        <w:tab/>
        <w:t>-</w:t>
      </w:r>
      <w:r>
        <w:tab/>
      </w:r>
      <w:r w:rsidR="00D34764" w:rsidRPr="003F74EA">
        <w:t>1.8.8.4.1 (</w:t>
      </w:r>
      <w:proofErr w:type="gramStart"/>
      <w:r w:rsidR="00D34764" w:rsidRPr="003F74EA">
        <w:t>e</w:t>
      </w:r>
      <w:proofErr w:type="gramEnd"/>
      <w:r w:rsidR="00D34764" w:rsidRPr="003F74EA">
        <w:t xml:space="preserve">) </w:t>
      </w:r>
      <w:r w:rsidR="00D34764">
        <w:t>–</w:t>
      </w:r>
      <w:r w:rsidR="00D34764" w:rsidRPr="003F74EA">
        <w:t xml:space="preserve"> identify the type, applicant and date of production or batch number on the body of the gas cartridge,</w:t>
      </w:r>
    </w:p>
    <w:p w:rsidR="00D34764" w:rsidRPr="003F74EA" w:rsidRDefault="006452D5" w:rsidP="00A77903">
      <w:pPr>
        <w:pStyle w:val="SingleTxtG"/>
      </w:pPr>
      <w:r>
        <w:tab/>
        <w:t>-</w:t>
      </w:r>
      <w:r>
        <w:tab/>
      </w:r>
      <w:r w:rsidR="00D34764" w:rsidRPr="003F74EA">
        <w:t>3.4.7</w:t>
      </w:r>
      <w:r w:rsidR="00D34764">
        <w:t xml:space="preserve"> –</w:t>
      </w:r>
      <w:r w:rsidR="00D34764" w:rsidRPr="003F74EA">
        <w:t xml:space="preserve"> specif</w:t>
      </w:r>
      <w:r w:rsidR="00D34764">
        <w:t>ies</w:t>
      </w:r>
      <w:r w:rsidR="00D34764" w:rsidRPr="003F74EA">
        <w:t xml:space="preserve"> that the package </w:t>
      </w:r>
      <w:r w:rsidR="00D34764">
        <w:t>shall</w:t>
      </w:r>
      <w:r w:rsidR="00D34764" w:rsidRPr="003F74EA">
        <w:t xml:space="preserve"> bear a diamond shape with black corners top and bottom.</w:t>
      </w:r>
    </w:p>
    <w:p w:rsidR="00D34764" w:rsidRDefault="00A77903" w:rsidP="006452D5">
      <w:pPr>
        <w:pStyle w:val="SingleTxtG"/>
      </w:pPr>
      <w:r>
        <w:t>4.</w:t>
      </w:r>
      <w:r>
        <w:tab/>
      </w:r>
      <w:r w:rsidR="00D34764" w:rsidRPr="003F74EA">
        <w:t xml:space="preserve">The markings requirements are set out in </w:t>
      </w:r>
      <w:r w:rsidR="00D34764">
        <w:t>clause</w:t>
      </w:r>
      <w:r w:rsidR="00D34764" w:rsidRPr="003F74EA">
        <w:t xml:space="preserve"> 9</w:t>
      </w:r>
      <w:r w:rsidR="00D34764">
        <w:t xml:space="preserve">.2 </w:t>
      </w:r>
      <w:r w:rsidR="00D34764" w:rsidRPr="003F74EA">
        <w:t>of EN</w:t>
      </w:r>
      <w:r w:rsidR="00D34764">
        <w:t xml:space="preserve"> </w:t>
      </w:r>
      <w:r w:rsidR="00D34764" w:rsidRPr="003F74EA">
        <w:t>16509. The</w:t>
      </w:r>
      <w:r w:rsidR="00D34764">
        <w:t xml:space="preserve"> marks are applied to the cylinder (i.e. gas cartridge) and to the outer packaging which conforms to that specified in the RID/ADR packing instruction P003.</w:t>
      </w:r>
    </w:p>
    <w:p w:rsidR="00D34764" w:rsidRPr="003F74EA" w:rsidRDefault="00A77903" w:rsidP="00A77903">
      <w:pPr>
        <w:pStyle w:val="SingleTxtG"/>
      </w:pPr>
      <w:r>
        <w:t>5.</w:t>
      </w:r>
      <w:r>
        <w:tab/>
      </w:r>
      <w:r w:rsidR="00D34764">
        <w:t>The marks specified in the standard a</w:t>
      </w:r>
      <w:r w:rsidR="00D34764" w:rsidRPr="003F74EA">
        <w:t>re</w:t>
      </w:r>
      <w:r w:rsidR="00D34764">
        <w:t xml:space="preserve"> as follows</w:t>
      </w:r>
      <w:r w:rsidR="00D34764" w:rsidRPr="003F74EA">
        <w:t>:</w:t>
      </w:r>
    </w:p>
    <w:p w:rsidR="00D34764" w:rsidRPr="003F74EA" w:rsidRDefault="00D34764" w:rsidP="00A77903">
      <w:pPr>
        <w:pStyle w:val="Textebrut"/>
        <w:spacing w:before="120" w:after="120"/>
        <w:ind w:left="1134" w:right="1134"/>
        <w:jc w:val="both"/>
      </w:pPr>
      <w:r w:rsidRPr="003F74EA">
        <w:t>9.2.1 on the cylinder and the outer packaging</w:t>
      </w:r>
      <w:r>
        <w:t>:</w:t>
      </w:r>
    </w:p>
    <w:p w:rsidR="00D34764" w:rsidRPr="003F74EA" w:rsidRDefault="00A77903" w:rsidP="00A77903">
      <w:pPr>
        <w:pStyle w:val="SingleTxtG"/>
      </w:pPr>
      <w:r>
        <w:tab/>
        <w:t>-</w:t>
      </w:r>
      <w:r>
        <w:tab/>
      </w:r>
      <w:r w:rsidR="00D34764" w:rsidRPr="003F74EA">
        <w:t>Name or mark of the manufacturer/party placing the compact cylinders on the market</w:t>
      </w:r>
      <w:r w:rsidR="00D34764">
        <w:t>;</w:t>
      </w:r>
    </w:p>
    <w:p w:rsidR="00D34764" w:rsidRPr="003F74EA" w:rsidRDefault="00D34764" w:rsidP="00A77903">
      <w:pPr>
        <w:pStyle w:val="Textebrut"/>
        <w:numPr>
          <w:ilvl w:val="0"/>
          <w:numId w:val="23"/>
        </w:numPr>
        <w:suppressAutoHyphens w:val="0"/>
        <w:spacing w:before="120" w:after="120" w:line="240" w:lineRule="auto"/>
        <w:ind w:left="1854" w:right="1134" w:firstLine="0"/>
        <w:jc w:val="both"/>
      </w:pPr>
      <w:r w:rsidRPr="003F74EA">
        <w:t>Country of Origin</w:t>
      </w:r>
      <w:r>
        <w:t>;</w:t>
      </w:r>
    </w:p>
    <w:p w:rsidR="00D34764" w:rsidRPr="003F74EA" w:rsidRDefault="00D34764" w:rsidP="00A77903">
      <w:pPr>
        <w:pStyle w:val="Textebrut"/>
        <w:numPr>
          <w:ilvl w:val="0"/>
          <w:numId w:val="23"/>
        </w:numPr>
        <w:suppressAutoHyphens w:val="0"/>
        <w:spacing w:before="120" w:after="120" w:line="240" w:lineRule="auto"/>
        <w:ind w:left="1854" w:right="1134" w:firstLine="0"/>
        <w:jc w:val="both"/>
      </w:pPr>
      <w:r w:rsidRPr="003F74EA">
        <w:t>Gas identification by name and/or chemical formula</w:t>
      </w:r>
      <w:r>
        <w:t>;</w:t>
      </w:r>
    </w:p>
    <w:p w:rsidR="00D34764" w:rsidRPr="003F74EA" w:rsidRDefault="00D34764" w:rsidP="00A77903">
      <w:pPr>
        <w:pStyle w:val="Textebrut"/>
        <w:numPr>
          <w:ilvl w:val="0"/>
          <w:numId w:val="23"/>
        </w:numPr>
        <w:suppressAutoHyphens w:val="0"/>
        <w:spacing w:before="120" w:after="120" w:line="240" w:lineRule="auto"/>
        <w:ind w:left="1854" w:right="1134" w:firstLine="0"/>
        <w:jc w:val="both"/>
      </w:pPr>
      <w:r w:rsidRPr="003F74EA">
        <w:t>Nominal gas weight or working pressure as appropriate</w:t>
      </w:r>
      <w:r>
        <w:t>;</w:t>
      </w:r>
    </w:p>
    <w:p w:rsidR="00D34764" w:rsidRPr="003F74EA" w:rsidRDefault="00D34764" w:rsidP="00A77903">
      <w:pPr>
        <w:pStyle w:val="Textebrut"/>
        <w:numPr>
          <w:ilvl w:val="0"/>
          <w:numId w:val="23"/>
        </w:numPr>
        <w:suppressAutoHyphens w:val="0"/>
        <w:spacing w:before="120" w:after="120" w:line="240" w:lineRule="auto"/>
        <w:ind w:left="1854" w:right="1134" w:firstLine="0"/>
        <w:jc w:val="both"/>
      </w:pPr>
      <w:r w:rsidRPr="003F74EA">
        <w:t>Inspector</w:t>
      </w:r>
      <w:r>
        <w:t>’</w:t>
      </w:r>
      <w:r w:rsidRPr="003F74EA">
        <w:t>s mark (if applicable)</w:t>
      </w:r>
      <w:r>
        <w:t>.</w:t>
      </w:r>
    </w:p>
    <w:p w:rsidR="00D34764" w:rsidRPr="003F74EA" w:rsidRDefault="00D34764" w:rsidP="00A77903">
      <w:pPr>
        <w:pStyle w:val="Textebrut"/>
        <w:spacing w:before="120" w:after="120"/>
        <w:ind w:left="1134" w:right="1134"/>
      </w:pPr>
      <w:r w:rsidRPr="003F74EA">
        <w:t>9.2.2 on outer packaging only</w:t>
      </w:r>
      <w:r>
        <w:t>:</w:t>
      </w:r>
    </w:p>
    <w:p w:rsidR="00D34764" w:rsidRPr="003F74EA" w:rsidRDefault="00A77903" w:rsidP="00A77903">
      <w:pPr>
        <w:pStyle w:val="SingleTxtG"/>
      </w:pPr>
      <w:r>
        <w:tab/>
        <w:t>-</w:t>
      </w:r>
      <w:r>
        <w:tab/>
      </w:r>
      <w:proofErr w:type="gramStart"/>
      <w:r w:rsidR="00D34764" w:rsidRPr="003F74EA">
        <w:t>risk</w:t>
      </w:r>
      <w:proofErr w:type="gramEnd"/>
      <w:r w:rsidR="00D34764" w:rsidRPr="003F74EA">
        <w:t xml:space="preserve"> identification by symbol/text as appropriate (e.g.</w:t>
      </w:r>
      <w:r w:rsidR="00D34764">
        <w:t xml:space="preserve"> </w:t>
      </w:r>
      <w:r w:rsidR="00D34764" w:rsidRPr="003F74EA">
        <w:t>pressurised container) examples of hazard labels can be seen in EN ISO 7225</w:t>
      </w:r>
      <w:r w:rsidR="00D34764">
        <w:t>;</w:t>
      </w:r>
    </w:p>
    <w:p w:rsidR="00D34764" w:rsidRPr="003F74EA" w:rsidRDefault="00D34764" w:rsidP="00A77903">
      <w:pPr>
        <w:pStyle w:val="Textebrut"/>
        <w:numPr>
          <w:ilvl w:val="0"/>
          <w:numId w:val="23"/>
        </w:numPr>
        <w:suppressAutoHyphens w:val="0"/>
        <w:spacing w:before="120" w:after="120" w:line="240" w:lineRule="auto"/>
        <w:ind w:left="1843" w:right="1134" w:firstLine="0"/>
        <w:jc w:val="both"/>
      </w:pPr>
      <w:proofErr w:type="gramStart"/>
      <w:r w:rsidRPr="003F74EA">
        <w:t>number</w:t>
      </w:r>
      <w:proofErr w:type="gramEnd"/>
      <w:r w:rsidRPr="003F74EA">
        <w:t xml:space="preserve"> of this standard</w:t>
      </w:r>
      <w:r>
        <w:t>.</w:t>
      </w:r>
    </w:p>
    <w:p w:rsidR="00D34764" w:rsidRPr="003F74EA" w:rsidRDefault="00D34764" w:rsidP="00A77903">
      <w:pPr>
        <w:pStyle w:val="Textebrut"/>
        <w:spacing w:before="120" w:after="120"/>
        <w:ind w:left="1134" w:right="1134"/>
      </w:pPr>
      <w:bookmarkStart w:id="0" w:name="_GoBack"/>
      <w:bookmarkEnd w:id="0"/>
      <w:r w:rsidRPr="003F74EA">
        <w:t>9.2.3 On cylinder only</w:t>
      </w:r>
      <w:r>
        <w:t>:</w:t>
      </w:r>
    </w:p>
    <w:p w:rsidR="00D34764" w:rsidRPr="003F74EA" w:rsidRDefault="00D34764" w:rsidP="00A77903">
      <w:pPr>
        <w:pStyle w:val="Textebrut"/>
        <w:numPr>
          <w:ilvl w:val="0"/>
          <w:numId w:val="23"/>
        </w:numPr>
        <w:suppressAutoHyphens w:val="0"/>
        <w:spacing w:line="240" w:lineRule="auto"/>
        <w:ind w:left="1843" w:right="1134" w:firstLine="0"/>
        <w:jc w:val="both"/>
      </w:pPr>
      <w:r w:rsidRPr="003F74EA">
        <w:t>Production date and/or batch number</w:t>
      </w:r>
      <w:r>
        <w:t>.</w:t>
      </w:r>
    </w:p>
    <w:p w:rsidR="00D34764" w:rsidRPr="00A56C55" w:rsidRDefault="00D34764" w:rsidP="00D34764">
      <w:pPr>
        <w:pStyle w:val="Textebrut"/>
        <w:ind w:left="1689" w:right="1134"/>
        <w:rPr>
          <w:lang w:val="en-US"/>
        </w:rPr>
      </w:pPr>
    </w:p>
    <w:p w:rsidR="00D34764" w:rsidRPr="003F74EA" w:rsidRDefault="00A77903" w:rsidP="00A77903">
      <w:pPr>
        <w:pStyle w:val="SingleTxtG"/>
      </w:pPr>
      <w:r>
        <w:t>6.</w:t>
      </w:r>
      <w:r>
        <w:tab/>
      </w:r>
      <w:r w:rsidR="00D34764" w:rsidRPr="003F74EA">
        <w:t xml:space="preserve">To meet the mandatory marking requirements of the </w:t>
      </w:r>
      <w:r w:rsidR="00D34764">
        <w:t>RID/</w:t>
      </w:r>
      <w:r w:rsidR="00D34764" w:rsidRPr="003F74EA">
        <w:t>ADR, the following additions are needed to the marks prescribed in EN 16509</w:t>
      </w:r>
      <w:r w:rsidR="00D34764">
        <w:t>:</w:t>
      </w:r>
    </w:p>
    <w:p w:rsidR="00D34764" w:rsidRPr="00F17ABD" w:rsidRDefault="00D34764" w:rsidP="00A77903">
      <w:pPr>
        <w:pStyle w:val="Textebrut"/>
        <w:numPr>
          <w:ilvl w:val="0"/>
          <w:numId w:val="23"/>
        </w:numPr>
        <w:suppressAutoHyphens w:val="0"/>
        <w:spacing w:before="120" w:after="120" w:line="240" w:lineRule="auto"/>
        <w:ind w:left="1843" w:right="1134" w:firstLine="0"/>
        <w:jc w:val="both"/>
      </w:pPr>
      <w:r w:rsidRPr="00F17ABD">
        <w:t>on the cylinder – UN 2037/EN16509</w:t>
      </w:r>
    </w:p>
    <w:p w:rsidR="00D34764" w:rsidRPr="00F17ABD" w:rsidRDefault="00D34764" w:rsidP="00A77903">
      <w:pPr>
        <w:pStyle w:val="Textebrut"/>
        <w:numPr>
          <w:ilvl w:val="0"/>
          <w:numId w:val="23"/>
        </w:numPr>
        <w:suppressAutoHyphens w:val="0"/>
        <w:spacing w:before="120" w:after="120" w:line="240" w:lineRule="auto"/>
        <w:ind w:left="1843" w:right="1134" w:firstLine="0"/>
        <w:jc w:val="both"/>
      </w:pPr>
      <w:r w:rsidRPr="00F17ABD">
        <w:t xml:space="preserve">on the outer packaging – </w:t>
      </w:r>
      <w:r>
        <w:t>t</w:t>
      </w:r>
      <w:r w:rsidRPr="00F17ABD">
        <w:t xml:space="preserve">he </w:t>
      </w:r>
      <w:r>
        <w:t>limited quantities mark</w:t>
      </w:r>
      <w:r w:rsidRPr="00F17ABD">
        <w:t xml:space="preserve"> specified in 3.4.7</w:t>
      </w:r>
    </w:p>
    <w:p w:rsidR="00D34764" w:rsidRDefault="00D34764" w:rsidP="00A77903">
      <w:pPr>
        <w:pStyle w:val="HChG"/>
      </w:pPr>
      <w:r>
        <w:rPr>
          <w:sz w:val="20"/>
        </w:rPr>
        <w:lastRenderedPageBreak/>
        <w:tab/>
      </w:r>
      <w:r>
        <w:rPr>
          <w:sz w:val="20"/>
        </w:rPr>
        <w:tab/>
      </w:r>
      <w:r w:rsidRPr="00341EE0">
        <w:t>Proposal</w:t>
      </w:r>
      <w:r>
        <w:t xml:space="preserve"> </w:t>
      </w:r>
    </w:p>
    <w:p w:rsidR="00D34764" w:rsidRPr="00F84088" w:rsidRDefault="00A77903" w:rsidP="00A77903">
      <w:pPr>
        <w:pStyle w:val="SingleTxtG"/>
      </w:pPr>
      <w:r>
        <w:t>7.</w:t>
      </w:r>
      <w:r>
        <w:tab/>
      </w:r>
      <w:r w:rsidR="00D34764">
        <w:t>Amend</w:t>
      </w:r>
      <w:r w:rsidR="00D34764" w:rsidRPr="00F84088">
        <w:t xml:space="preserve"> the third indent of paragraph 6.2.6.4 </w:t>
      </w:r>
      <w:r w:rsidR="00D34764">
        <w:t>as follows (deletions are shown by strikethrough and new text is underlined).</w:t>
      </w:r>
    </w:p>
    <w:p w:rsidR="00D34764" w:rsidRPr="002E18EF" w:rsidRDefault="00A77903" w:rsidP="00A77903">
      <w:pPr>
        <w:pStyle w:val="SingleTxtG"/>
      </w:pPr>
      <w:r>
        <w:tab/>
        <w:t>-</w:t>
      </w:r>
      <w:r>
        <w:tab/>
      </w:r>
      <w:r w:rsidR="00D34764" w:rsidRPr="00652946">
        <w:t xml:space="preserve">for UN No. 2037 small receptacles containing gas (gas cartridges) containing non-toxic, non-flammable compressed or liquefied gases: EN 16509:2014 Transportable gas cylinders – Non-refillable, small transportable, steel cylinders of capacities up to and including 120 ml containing compressed or liquefied gases (compact cylinders) – Design, construction, filling </w:t>
      </w:r>
      <w:r w:rsidR="00D34764" w:rsidRPr="00B46704">
        <w:t>and testing</w:t>
      </w:r>
      <w:r w:rsidR="00D34764" w:rsidRPr="00B46704">
        <w:rPr>
          <w:strike/>
        </w:rPr>
        <w:t xml:space="preserve">, </w:t>
      </w:r>
      <w:r w:rsidR="00D34764" w:rsidRPr="002E18EF">
        <w:rPr>
          <w:strike/>
        </w:rPr>
        <w:t>excluding clause 9</w:t>
      </w:r>
      <w:r w:rsidR="00D34764" w:rsidRPr="002E18EF">
        <w:t>. In addition to the marks required by this standard the gas cartridge shall be marked “UN 2037/EN 16509” and the outer packaging shall bear the limited quantities mark specified in 3.4.7</w:t>
      </w:r>
    </w:p>
    <w:p w:rsidR="00D34764" w:rsidRPr="00341EE0" w:rsidRDefault="00D34764" w:rsidP="00D34764">
      <w:pPr>
        <w:pStyle w:val="HChG"/>
        <w:ind w:left="0" w:firstLine="0"/>
      </w:pPr>
      <w:r>
        <w:tab/>
      </w:r>
      <w:r>
        <w:tab/>
      </w:r>
      <w:r w:rsidRPr="007942E6">
        <w:t>Justification</w:t>
      </w:r>
    </w:p>
    <w:p w:rsidR="00D34764" w:rsidRDefault="00A77903" w:rsidP="00A77903">
      <w:pPr>
        <w:pStyle w:val="SingleTxtG"/>
      </w:pPr>
      <w:r>
        <w:t>8.</w:t>
      </w:r>
      <w:r>
        <w:tab/>
      </w:r>
      <w:r w:rsidR="00D34764" w:rsidRPr="001D1A74">
        <w:t>The revision proposed will ensure compliance of pressure receptacles to EN</w:t>
      </w:r>
      <w:r w:rsidR="00D34764">
        <w:t> </w:t>
      </w:r>
      <w:r w:rsidR="00D34764" w:rsidRPr="001D1A74">
        <w:t>16509:2014 with the requirements of 6.2.6 RID/</w:t>
      </w:r>
      <w:proofErr w:type="gramStart"/>
      <w:r w:rsidR="00D34764" w:rsidRPr="001D1A74">
        <w:t>ADR .</w:t>
      </w:r>
      <w:proofErr w:type="gramEnd"/>
    </w:p>
    <w:p w:rsidR="00A77903" w:rsidRPr="00A77903" w:rsidRDefault="00A77903" w:rsidP="00A779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4764" w:rsidRDefault="00D34764" w:rsidP="00D34764">
      <w:pPr>
        <w:pStyle w:val="SingleTxtG"/>
        <w:ind w:left="567" w:right="141"/>
        <w:jc w:val="center"/>
        <w:rPr>
          <w:u w:val="single"/>
        </w:rPr>
      </w:pPr>
    </w:p>
    <w:p w:rsidR="00D34764" w:rsidRDefault="00D34764" w:rsidP="00D34764">
      <w:pPr>
        <w:pStyle w:val="SingleTxtG"/>
        <w:ind w:left="567" w:right="141"/>
        <w:jc w:val="center"/>
        <w:rPr>
          <w:u w:val="single"/>
        </w:rPr>
      </w:pPr>
    </w:p>
    <w:p w:rsidR="00B77EB3" w:rsidRPr="00231D9B" w:rsidRDefault="00B77EB3" w:rsidP="00231D9B">
      <w:pPr>
        <w:pStyle w:val="HChG"/>
        <w:rPr>
          <w:u w:val="single"/>
          <w:lang w:val="en-US" w:eastAsia="de-DE"/>
        </w:rPr>
      </w:pPr>
    </w:p>
    <w:sectPr w:rsidR="00B77EB3" w:rsidRPr="00231D9B" w:rsidSect="009D2A5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E6" w:rsidRDefault="005972E6"/>
  </w:endnote>
  <w:endnote w:type="continuationSeparator" w:id="0">
    <w:p w:rsidR="005972E6" w:rsidRDefault="005972E6"/>
  </w:endnote>
  <w:endnote w:type="continuationNotice" w:id="1">
    <w:p w:rsidR="005972E6" w:rsidRDefault="005972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5" w:rsidRPr="009D2A5B" w:rsidRDefault="00AA21B7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6452D5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C48A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6452D5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5" w:rsidRPr="009D2A5B" w:rsidRDefault="006452D5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AA21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AA21B7" w:rsidRPr="009D2A5B">
      <w:rPr>
        <w:b/>
        <w:sz w:val="18"/>
      </w:rPr>
      <w:fldChar w:fldCharType="separate"/>
    </w:r>
    <w:r w:rsidR="007C48A8">
      <w:rPr>
        <w:b/>
        <w:noProof/>
        <w:sz w:val="18"/>
      </w:rPr>
      <w:t>3</w:t>
    </w:r>
    <w:r w:rsidR="00AA21B7" w:rsidRPr="009D2A5B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E6" w:rsidRPr="000B175B" w:rsidRDefault="005972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72E6" w:rsidRPr="00FC68B7" w:rsidRDefault="005972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72E6" w:rsidRDefault="005972E6"/>
  </w:footnote>
  <w:footnote w:id="2">
    <w:p w:rsidR="006452D5" w:rsidRPr="006E5117" w:rsidRDefault="006452D5" w:rsidP="00231D9B">
      <w:pPr>
        <w:pStyle w:val="Notedebasdepage"/>
        <w:ind w:left="1418" w:hanging="284"/>
        <w:jc w:val="both"/>
      </w:pPr>
      <w:r>
        <w:rPr>
          <w:rStyle w:val="Appelnotedebasdep"/>
        </w:rPr>
        <w:footnoteRef/>
      </w:r>
      <w:r>
        <w:tab/>
      </w:r>
      <w:proofErr w:type="gramStart"/>
      <w:r>
        <w:t>In accordance with the programme of work of the Inland Transport Committee for 2016-2017, (ECE/TRANS/2016/28/Add.1 (9.2)).</w:t>
      </w:r>
      <w:proofErr w:type="gramEnd"/>
    </w:p>
  </w:footnote>
  <w:footnote w:id="3">
    <w:p w:rsidR="006452D5" w:rsidRPr="006E5117" w:rsidRDefault="006452D5" w:rsidP="00FE31DD">
      <w:pPr>
        <w:pStyle w:val="Notedebasdepage"/>
        <w:ind w:left="1418" w:hanging="284"/>
        <w:jc w:val="both"/>
        <w:rPr>
          <w:lang w:val="en-US"/>
        </w:rPr>
      </w:pPr>
      <w:r>
        <w:rPr>
          <w:rStyle w:val="Appelnotedebasdep"/>
        </w:rPr>
        <w:footnoteRef/>
      </w:r>
      <w:r>
        <w:tab/>
      </w:r>
      <w:proofErr w:type="gramStart"/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>
        <w:t>38</w:t>
      </w:r>
      <w:r w:rsidRPr="00561474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5" w:rsidRPr="009D2A5B" w:rsidRDefault="006452D5" w:rsidP="009D2A5B">
    <w:pPr>
      <w:pStyle w:val="En-tte"/>
    </w:pPr>
    <w:r w:rsidRPr="009D2A5B">
      <w:t>ECE/TRANS/WP.15/AC.1/201</w:t>
    </w:r>
    <w:r>
      <w:t>6</w:t>
    </w:r>
    <w:r w:rsidRPr="009D2A5B">
      <w:t>/</w:t>
    </w:r>
    <w:r>
      <w:t>38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5" w:rsidRPr="009D2A5B" w:rsidRDefault="006452D5" w:rsidP="009D2A5B">
    <w:pPr>
      <w:pStyle w:val="En-tte"/>
      <w:jc w:val="right"/>
    </w:pPr>
    <w:r w:rsidRPr="009D2A5B">
      <w:t>ECE/TRANS/WP.15/AC.1/201</w:t>
    </w:r>
    <w:r>
      <w:t>6</w:t>
    </w:r>
    <w:r w:rsidRPr="009D2A5B">
      <w:t>/</w:t>
    </w:r>
    <w:r>
      <w:t>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2C41CC"/>
    <w:multiLevelType w:val="hybridMultilevel"/>
    <w:tmpl w:val="C20A9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14A8B"/>
    <w:multiLevelType w:val="hybridMultilevel"/>
    <w:tmpl w:val="3C1E94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44AE5"/>
    <w:multiLevelType w:val="hybridMultilevel"/>
    <w:tmpl w:val="CF44EA5E"/>
    <w:lvl w:ilvl="0" w:tplc="54CEBAEE">
      <w:numFmt w:val="bullet"/>
      <w:lvlText w:val="-"/>
      <w:lvlJc w:val="left"/>
      <w:pPr>
        <w:ind w:left="240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F4C2B"/>
    <w:multiLevelType w:val="hybridMultilevel"/>
    <w:tmpl w:val="A328DC54"/>
    <w:lvl w:ilvl="0" w:tplc="A1C80B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3C39"/>
    <w:multiLevelType w:val="hybridMultilevel"/>
    <w:tmpl w:val="DF02EC9A"/>
    <w:lvl w:ilvl="0" w:tplc="8EC816C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80B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52D6756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4FE29AF"/>
    <w:multiLevelType w:val="hybridMultilevel"/>
    <w:tmpl w:val="C4E2A4E4"/>
    <w:lvl w:ilvl="0" w:tplc="B482691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75FC1F82"/>
    <w:multiLevelType w:val="hybridMultilevel"/>
    <w:tmpl w:val="EDDEE2A2"/>
    <w:lvl w:ilvl="0" w:tplc="803AC82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E74AC964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1"/>
  </w:num>
  <w:num w:numId="14">
    <w:abstractNumId w:val="21"/>
  </w:num>
  <w:num w:numId="15">
    <w:abstractNumId w:val="13"/>
  </w:num>
  <w:num w:numId="16">
    <w:abstractNumId w:val="12"/>
  </w:num>
  <w:num w:numId="17">
    <w:abstractNumId w:val="10"/>
  </w:num>
  <w:num w:numId="18">
    <w:abstractNumId w:val="20"/>
  </w:num>
  <w:num w:numId="19">
    <w:abstractNumId w:val="15"/>
  </w:num>
  <w:num w:numId="20">
    <w:abstractNumId w:val="14"/>
  </w:num>
  <w:num w:numId="21">
    <w:abstractNumId w:val="19"/>
  </w:num>
  <w:num w:numId="22">
    <w:abstractNumId w:val="23"/>
  </w:num>
  <w:num w:numId="23">
    <w:abstractNumId w:val="17"/>
  </w:num>
  <w:num w:numId="24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17DFF"/>
    <w:rsid w:val="0003010C"/>
    <w:rsid w:val="00037F90"/>
    <w:rsid w:val="00046B1F"/>
    <w:rsid w:val="00050F6B"/>
    <w:rsid w:val="0005583C"/>
    <w:rsid w:val="000570FE"/>
    <w:rsid w:val="00057E97"/>
    <w:rsid w:val="00072C8C"/>
    <w:rsid w:val="000733B5"/>
    <w:rsid w:val="00074DC1"/>
    <w:rsid w:val="00081815"/>
    <w:rsid w:val="00085F0A"/>
    <w:rsid w:val="000931C0"/>
    <w:rsid w:val="000B0595"/>
    <w:rsid w:val="000B1333"/>
    <w:rsid w:val="000B175B"/>
    <w:rsid w:val="000B3A0F"/>
    <w:rsid w:val="000B4EF7"/>
    <w:rsid w:val="000C2C03"/>
    <w:rsid w:val="000C2D2E"/>
    <w:rsid w:val="000C3704"/>
    <w:rsid w:val="000C4D51"/>
    <w:rsid w:val="000E0415"/>
    <w:rsid w:val="000E1FC8"/>
    <w:rsid w:val="00105302"/>
    <w:rsid w:val="001103AA"/>
    <w:rsid w:val="0011666B"/>
    <w:rsid w:val="00155068"/>
    <w:rsid w:val="00165F3A"/>
    <w:rsid w:val="001A554F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49E7"/>
    <w:rsid w:val="001E7B67"/>
    <w:rsid w:val="001F7435"/>
    <w:rsid w:val="00202DA8"/>
    <w:rsid w:val="0021157B"/>
    <w:rsid w:val="00211E0B"/>
    <w:rsid w:val="00231D9B"/>
    <w:rsid w:val="00267F5F"/>
    <w:rsid w:val="00277C12"/>
    <w:rsid w:val="00286B4D"/>
    <w:rsid w:val="002A603B"/>
    <w:rsid w:val="002D4643"/>
    <w:rsid w:val="002D4B6C"/>
    <w:rsid w:val="002D5FD4"/>
    <w:rsid w:val="002F175C"/>
    <w:rsid w:val="00302E18"/>
    <w:rsid w:val="003229D8"/>
    <w:rsid w:val="00352709"/>
    <w:rsid w:val="00371178"/>
    <w:rsid w:val="00381475"/>
    <w:rsid w:val="003A6810"/>
    <w:rsid w:val="003C2CC4"/>
    <w:rsid w:val="003D260F"/>
    <w:rsid w:val="003D4B23"/>
    <w:rsid w:val="003F42EE"/>
    <w:rsid w:val="004059B4"/>
    <w:rsid w:val="00410C89"/>
    <w:rsid w:val="00422E03"/>
    <w:rsid w:val="00426B9B"/>
    <w:rsid w:val="00430BA0"/>
    <w:rsid w:val="004325CB"/>
    <w:rsid w:val="00442A83"/>
    <w:rsid w:val="0045495B"/>
    <w:rsid w:val="00464197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775E"/>
    <w:rsid w:val="00535C90"/>
    <w:rsid w:val="005420F2"/>
    <w:rsid w:val="00546993"/>
    <w:rsid w:val="005628B6"/>
    <w:rsid w:val="0057020E"/>
    <w:rsid w:val="005972E6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19AF"/>
    <w:rsid w:val="00605042"/>
    <w:rsid w:val="00611FC4"/>
    <w:rsid w:val="006176FB"/>
    <w:rsid w:val="00640B26"/>
    <w:rsid w:val="006452D5"/>
    <w:rsid w:val="00652D0A"/>
    <w:rsid w:val="006623D5"/>
    <w:rsid w:val="00662BB6"/>
    <w:rsid w:val="00667F8F"/>
    <w:rsid w:val="00684C21"/>
    <w:rsid w:val="0069232B"/>
    <w:rsid w:val="006A2530"/>
    <w:rsid w:val="006C3589"/>
    <w:rsid w:val="006D37AF"/>
    <w:rsid w:val="006D4378"/>
    <w:rsid w:val="006D51D0"/>
    <w:rsid w:val="006E564B"/>
    <w:rsid w:val="006E7191"/>
    <w:rsid w:val="00700044"/>
    <w:rsid w:val="00703577"/>
    <w:rsid w:val="00705894"/>
    <w:rsid w:val="00725E70"/>
    <w:rsid w:val="0072632A"/>
    <w:rsid w:val="00731FF0"/>
    <w:rsid w:val="007327D5"/>
    <w:rsid w:val="00744308"/>
    <w:rsid w:val="007611CF"/>
    <w:rsid w:val="007629C8"/>
    <w:rsid w:val="0077047D"/>
    <w:rsid w:val="00783C09"/>
    <w:rsid w:val="007B6BA5"/>
    <w:rsid w:val="007C3390"/>
    <w:rsid w:val="007C48A8"/>
    <w:rsid w:val="007C4F4B"/>
    <w:rsid w:val="007D46D5"/>
    <w:rsid w:val="007D7D98"/>
    <w:rsid w:val="007E01E9"/>
    <w:rsid w:val="007E63F3"/>
    <w:rsid w:val="007F0395"/>
    <w:rsid w:val="007F6611"/>
    <w:rsid w:val="007F7106"/>
    <w:rsid w:val="00811920"/>
    <w:rsid w:val="00815AD0"/>
    <w:rsid w:val="008242D7"/>
    <w:rsid w:val="008257B1"/>
    <w:rsid w:val="00843767"/>
    <w:rsid w:val="00843D29"/>
    <w:rsid w:val="008521A5"/>
    <w:rsid w:val="008679D9"/>
    <w:rsid w:val="00871389"/>
    <w:rsid w:val="00874CB6"/>
    <w:rsid w:val="00883999"/>
    <w:rsid w:val="00885980"/>
    <w:rsid w:val="008878DE"/>
    <w:rsid w:val="00890568"/>
    <w:rsid w:val="008979B1"/>
    <w:rsid w:val="008A624A"/>
    <w:rsid w:val="008A6B25"/>
    <w:rsid w:val="008A6C4F"/>
    <w:rsid w:val="008B2335"/>
    <w:rsid w:val="008B717B"/>
    <w:rsid w:val="008C08ED"/>
    <w:rsid w:val="008C3988"/>
    <w:rsid w:val="008E0678"/>
    <w:rsid w:val="008E0E0F"/>
    <w:rsid w:val="009223CA"/>
    <w:rsid w:val="00940F93"/>
    <w:rsid w:val="0094558F"/>
    <w:rsid w:val="0094614F"/>
    <w:rsid w:val="00961690"/>
    <w:rsid w:val="009760F3"/>
    <w:rsid w:val="00995A4B"/>
    <w:rsid w:val="009A0E8D"/>
    <w:rsid w:val="009B1518"/>
    <w:rsid w:val="009B26E7"/>
    <w:rsid w:val="009B6669"/>
    <w:rsid w:val="009B7EAA"/>
    <w:rsid w:val="009C3EED"/>
    <w:rsid w:val="009C454F"/>
    <w:rsid w:val="009D2A5B"/>
    <w:rsid w:val="009D3508"/>
    <w:rsid w:val="009F5D8A"/>
    <w:rsid w:val="00A00A3F"/>
    <w:rsid w:val="00A01489"/>
    <w:rsid w:val="00A3009E"/>
    <w:rsid w:val="00A3026E"/>
    <w:rsid w:val="00A338F1"/>
    <w:rsid w:val="00A709AB"/>
    <w:rsid w:val="00A72F22"/>
    <w:rsid w:val="00A7360F"/>
    <w:rsid w:val="00A748A6"/>
    <w:rsid w:val="00A769F4"/>
    <w:rsid w:val="00A776B4"/>
    <w:rsid w:val="00A77903"/>
    <w:rsid w:val="00A81407"/>
    <w:rsid w:val="00A94361"/>
    <w:rsid w:val="00AA21B7"/>
    <w:rsid w:val="00AA293C"/>
    <w:rsid w:val="00AB3BCE"/>
    <w:rsid w:val="00AD7803"/>
    <w:rsid w:val="00B11BB4"/>
    <w:rsid w:val="00B22BC2"/>
    <w:rsid w:val="00B24692"/>
    <w:rsid w:val="00B30179"/>
    <w:rsid w:val="00B421C1"/>
    <w:rsid w:val="00B55C71"/>
    <w:rsid w:val="00B56E4A"/>
    <w:rsid w:val="00B56E9C"/>
    <w:rsid w:val="00B61320"/>
    <w:rsid w:val="00B64B1F"/>
    <w:rsid w:val="00B6553F"/>
    <w:rsid w:val="00B70F1E"/>
    <w:rsid w:val="00B77D05"/>
    <w:rsid w:val="00B77EB3"/>
    <w:rsid w:val="00B81206"/>
    <w:rsid w:val="00B81E12"/>
    <w:rsid w:val="00BA1856"/>
    <w:rsid w:val="00BA1E27"/>
    <w:rsid w:val="00BB7CD1"/>
    <w:rsid w:val="00BC3FA0"/>
    <w:rsid w:val="00BC74E9"/>
    <w:rsid w:val="00BF68A8"/>
    <w:rsid w:val="00C00934"/>
    <w:rsid w:val="00C10FE6"/>
    <w:rsid w:val="00C116C7"/>
    <w:rsid w:val="00C11A03"/>
    <w:rsid w:val="00C22C0C"/>
    <w:rsid w:val="00C25FFF"/>
    <w:rsid w:val="00C30C61"/>
    <w:rsid w:val="00C35502"/>
    <w:rsid w:val="00C40B11"/>
    <w:rsid w:val="00C43F35"/>
    <w:rsid w:val="00C4527F"/>
    <w:rsid w:val="00C463DD"/>
    <w:rsid w:val="00C4724C"/>
    <w:rsid w:val="00C629A0"/>
    <w:rsid w:val="00C62AF8"/>
    <w:rsid w:val="00C64629"/>
    <w:rsid w:val="00C745C3"/>
    <w:rsid w:val="00C76F8B"/>
    <w:rsid w:val="00C9221E"/>
    <w:rsid w:val="00CB2B6A"/>
    <w:rsid w:val="00CB3E03"/>
    <w:rsid w:val="00CD50B1"/>
    <w:rsid w:val="00CE4A8F"/>
    <w:rsid w:val="00D2031B"/>
    <w:rsid w:val="00D25FE2"/>
    <w:rsid w:val="00D34764"/>
    <w:rsid w:val="00D43252"/>
    <w:rsid w:val="00D47A9B"/>
    <w:rsid w:val="00D47EEA"/>
    <w:rsid w:val="00D550D4"/>
    <w:rsid w:val="00D57C38"/>
    <w:rsid w:val="00D773DF"/>
    <w:rsid w:val="00D80FF5"/>
    <w:rsid w:val="00D872AC"/>
    <w:rsid w:val="00D90BAF"/>
    <w:rsid w:val="00D9255F"/>
    <w:rsid w:val="00D95303"/>
    <w:rsid w:val="00D978C6"/>
    <w:rsid w:val="00DA3C1C"/>
    <w:rsid w:val="00DB159E"/>
    <w:rsid w:val="00DD29BD"/>
    <w:rsid w:val="00E046DF"/>
    <w:rsid w:val="00E06AC7"/>
    <w:rsid w:val="00E15557"/>
    <w:rsid w:val="00E240D2"/>
    <w:rsid w:val="00E27346"/>
    <w:rsid w:val="00E43F8A"/>
    <w:rsid w:val="00E71610"/>
    <w:rsid w:val="00E71BC8"/>
    <w:rsid w:val="00E7260F"/>
    <w:rsid w:val="00E73F5D"/>
    <w:rsid w:val="00E77E4E"/>
    <w:rsid w:val="00E96630"/>
    <w:rsid w:val="00E97400"/>
    <w:rsid w:val="00EB0CAF"/>
    <w:rsid w:val="00EC106A"/>
    <w:rsid w:val="00ED7A2A"/>
    <w:rsid w:val="00EE3BBF"/>
    <w:rsid w:val="00EE6B3A"/>
    <w:rsid w:val="00EF1D7F"/>
    <w:rsid w:val="00F31E5F"/>
    <w:rsid w:val="00F32BB7"/>
    <w:rsid w:val="00F6100A"/>
    <w:rsid w:val="00F63C9D"/>
    <w:rsid w:val="00F65C64"/>
    <w:rsid w:val="00F66565"/>
    <w:rsid w:val="00F75A16"/>
    <w:rsid w:val="00F93781"/>
    <w:rsid w:val="00FB613B"/>
    <w:rsid w:val="00FC68B7"/>
    <w:rsid w:val="00FD55E7"/>
    <w:rsid w:val="00FE106A"/>
    <w:rsid w:val="00FE31DD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105302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105302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105302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105302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105302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105302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105302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105302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053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053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05302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105302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uiPriority w:val="99"/>
    <w:rsid w:val="00105302"/>
    <w:rPr>
      <w:rFonts w:cs="Courier New"/>
    </w:rPr>
  </w:style>
  <w:style w:type="paragraph" w:styleId="Corpsdetexte">
    <w:name w:val="Body Text"/>
    <w:basedOn w:val="Normal"/>
    <w:next w:val="Normal"/>
    <w:semiHidden/>
    <w:rsid w:val="00105302"/>
  </w:style>
  <w:style w:type="paragraph" w:styleId="Retraitcorpsdetexte">
    <w:name w:val="Body Text Indent"/>
    <w:basedOn w:val="Normal"/>
    <w:semiHidden/>
    <w:rsid w:val="00105302"/>
    <w:pPr>
      <w:spacing w:after="120"/>
      <w:ind w:left="283"/>
    </w:pPr>
  </w:style>
  <w:style w:type="paragraph" w:styleId="Normalcentr">
    <w:name w:val="Block Text"/>
    <w:basedOn w:val="Normal"/>
    <w:semiHidden/>
    <w:rsid w:val="00105302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105302"/>
    <w:rPr>
      <w:sz w:val="6"/>
    </w:rPr>
  </w:style>
  <w:style w:type="paragraph" w:styleId="Commentaire">
    <w:name w:val="annotation text"/>
    <w:basedOn w:val="Normal"/>
    <w:semiHidden/>
    <w:rsid w:val="00105302"/>
  </w:style>
  <w:style w:type="character" w:styleId="Numrodeligne">
    <w:name w:val="line number"/>
    <w:semiHidden/>
    <w:rsid w:val="00105302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053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053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053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053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TextebrutCar">
    <w:name w:val="Texte brut Car"/>
    <w:basedOn w:val="Policepardfaut"/>
    <w:link w:val="Textebrut"/>
    <w:uiPriority w:val="99"/>
    <w:rsid w:val="00D34764"/>
    <w:rPr>
      <w:rFonts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34764"/>
    <w:rPr>
      <w:rFonts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3</cp:revision>
  <cp:lastPrinted>2016-08-08T08:54:00Z</cp:lastPrinted>
  <dcterms:created xsi:type="dcterms:W3CDTF">2016-08-09T07:08:00Z</dcterms:created>
  <dcterms:modified xsi:type="dcterms:W3CDTF">2016-08-09T08:29:00Z</dcterms:modified>
</cp:coreProperties>
</file>