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11C6E" w:rsidRPr="00E11C6E" w:rsidTr="007F20FA">
        <w:trPr>
          <w:trHeight w:hRule="exact" w:val="851"/>
        </w:trPr>
        <w:tc>
          <w:tcPr>
            <w:tcW w:w="1276" w:type="dxa"/>
            <w:tcBorders>
              <w:bottom w:val="single" w:sz="4" w:space="0" w:color="auto"/>
            </w:tcBorders>
          </w:tcPr>
          <w:p w:rsidR="00F35BAF" w:rsidRPr="00E11C6E" w:rsidRDefault="00F35BAF" w:rsidP="00E11C6E">
            <w:bookmarkStart w:id="0" w:name="_GoBack"/>
            <w:bookmarkEnd w:id="0"/>
          </w:p>
        </w:tc>
        <w:tc>
          <w:tcPr>
            <w:tcW w:w="2268" w:type="dxa"/>
            <w:tcBorders>
              <w:bottom w:val="single" w:sz="4" w:space="0" w:color="auto"/>
            </w:tcBorders>
            <w:vAlign w:val="bottom"/>
          </w:tcPr>
          <w:p w:rsidR="00F35BAF" w:rsidRPr="00E11C6E" w:rsidRDefault="00F35BAF" w:rsidP="00892A2F">
            <w:pPr>
              <w:spacing w:after="80" w:line="300" w:lineRule="exact"/>
              <w:rPr>
                <w:sz w:val="28"/>
              </w:rPr>
            </w:pPr>
            <w:r w:rsidRPr="00E11C6E">
              <w:rPr>
                <w:sz w:val="28"/>
              </w:rPr>
              <w:t>Nations Unies</w:t>
            </w:r>
          </w:p>
        </w:tc>
        <w:tc>
          <w:tcPr>
            <w:tcW w:w="6095" w:type="dxa"/>
            <w:gridSpan w:val="2"/>
            <w:tcBorders>
              <w:bottom w:val="single" w:sz="4" w:space="0" w:color="auto"/>
            </w:tcBorders>
            <w:vAlign w:val="bottom"/>
          </w:tcPr>
          <w:p w:rsidR="00F35BAF" w:rsidRPr="00E11C6E" w:rsidRDefault="00E11C6E" w:rsidP="00E11C6E">
            <w:pPr>
              <w:jc w:val="right"/>
            </w:pPr>
            <w:r w:rsidRPr="00E11C6E">
              <w:rPr>
                <w:sz w:val="40"/>
              </w:rPr>
              <w:t>ECE</w:t>
            </w:r>
            <w:r w:rsidRPr="00E11C6E">
              <w:t>/TRANS/WP.15/AC.1/2016/35</w:t>
            </w:r>
          </w:p>
        </w:tc>
      </w:tr>
      <w:tr w:rsidR="00E11C6E" w:rsidRPr="00E11C6E" w:rsidTr="00892A2F">
        <w:trPr>
          <w:trHeight w:hRule="exact" w:val="2835"/>
        </w:trPr>
        <w:tc>
          <w:tcPr>
            <w:tcW w:w="1276" w:type="dxa"/>
            <w:tcBorders>
              <w:top w:val="single" w:sz="4" w:space="0" w:color="auto"/>
              <w:bottom w:val="single" w:sz="12" w:space="0" w:color="auto"/>
            </w:tcBorders>
          </w:tcPr>
          <w:p w:rsidR="00F35BAF" w:rsidRPr="00E11C6E" w:rsidRDefault="00F35BAF" w:rsidP="00892A2F">
            <w:pPr>
              <w:spacing w:before="120"/>
              <w:jc w:val="center"/>
            </w:pPr>
            <w:r w:rsidRPr="00E11C6E">
              <w:rPr>
                <w:noProof/>
                <w:lang w:val="en-GB" w:eastAsia="en-GB"/>
              </w:rPr>
              <w:drawing>
                <wp:inline distT="0" distB="0" distL="0" distR="0" wp14:anchorId="221067A0" wp14:editId="6A6417C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E11C6E" w:rsidRDefault="00F35BAF" w:rsidP="00892A2F">
            <w:pPr>
              <w:spacing w:before="120" w:line="420" w:lineRule="exact"/>
              <w:rPr>
                <w:b/>
                <w:sz w:val="40"/>
                <w:szCs w:val="40"/>
              </w:rPr>
            </w:pPr>
            <w:r w:rsidRPr="00E11C6E">
              <w:rPr>
                <w:b/>
                <w:sz w:val="40"/>
                <w:szCs w:val="40"/>
              </w:rPr>
              <w:t>Conseil économique et social</w:t>
            </w:r>
          </w:p>
        </w:tc>
        <w:tc>
          <w:tcPr>
            <w:tcW w:w="2835" w:type="dxa"/>
            <w:tcBorders>
              <w:top w:val="single" w:sz="4" w:space="0" w:color="auto"/>
              <w:bottom w:val="single" w:sz="12" w:space="0" w:color="auto"/>
            </w:tcBorders>
          </w:tcPr>
          <w:p w:rsidR="00F35BAF" w:rsidRPr="00E11C6E" w:rsidRDefault="00E11C6E" w:rsidP="00892A2F">
            <w:pPr>
              <w:spacing w:before="240"/>
            </w:pPr>
            <w:r w:rsidRPr="00E11C6E">
              <w:t>Distr. générale</w:t>
            </w:r>
          </w:p>
          <w:p w:rsidR="00E11C6E" w:rsidRPr="00E11C6E" w:rsidRDefault="00E11C6E" w:rsidP="00E11C6E">
            <w:pPr>
              <w:spacing w:line="240" w:lineRule="exact"/>
            </w:pPr>
            <w:r w:rsidRPr="00E11C6E">
              <w:t>8 juillet 2016</w:t>
            </w:r>
          </w:p>
          <w:p w:rsidR="00E11C6E" w:rsidRPr="00E11C6E" w:rsidRDefault="00E11C6E" w:rsidP="00E11C6E">
            <w:pPr>
              <w:spacing w:line="240" w:lineRule="exact"/>
            </w:pPr>
            <w:r w:rsidRPr="00E11C6E">
              <w:t>Français</w:t>
            </w:r>
          </w:p>
          <w:p w:rsidR="00E11C6E" w:rsidRPr="00E11C6E" w:rsidRDefault="00E11C6E" w:rsidP="00E11C6E">
            <w:pPr>
              <w:spacing w:line="240" w:lineRule="exact"/>
            </w:pPr>
            <w:r w:rsidRPr="00E11C6E">
              <w:t>Original</w:t>
            </w:r>
            <w:r w:rsidR="00A50F4C">
              <w:t> :</w:t>
            </w:r>
            <w:r w:rsidRPr="00E11C6E">
              <w:t xml:space="preserve"> anglais</w:t>
            </w:r>
          </w:p>
        </w:tc>
      </w:tr>
    </w:tbl>
    <w:p w:rsidR="007F20FA" w:rsidRPr="00E11C6E" w:rsidRDefault="007F20FA" w:rsidP="007F20FA">
      <w:pPr>
        <w:spacing w:before="120"/>
        <w:rPr>
          <w:b/>
          <w:sz w:val="28"/>
          <w:szCs w:val="28"/>
        </w:rPr>
      </w:pPr>
      <w:r w:rsidRPr="00E11C6E">
        <w:rPr>
          <w:b/>
          <w:sz w:val="28"/>
          <w:szCs w:val="28"/>
        </w:rPr>
        <w:t>Commission économique pour l’Europe</w:t>
      </w:r>
    </w:p>
    <w:p w:rsidR="007F20FA" w:rsidRPr="00E11C6E" w:rsidRDefault="007F20FA" w:rsidP="007F20FA">
      <w:pPr>
        <w:spacing w:before="120"/>
        <w:rPr>
          <w:sz w:val="28"/>
          <w:szCs w:val="28"/>
        </w:rPr>
      </w:pPr>
      <w:r w:rsidRPr="00E11C6E">
        <w:rPr>
          <w:sz w:val="28"/>
          <w:szCs w:val="28"/>
        </w:rPr>
        <w:t>Comité des transports intérieurs</w:t>
      </w:r>
    </w:p>
    <w:p w:rsidR="00E11C6E" w:rsidRPr="006F33CE" w:rsidRDefault="00E11C6E" w:rsidP="00E11C6E">
      <w:pPr>
        <w:spacing w:before="100" w:line="220" w:lineRule="atLeast"/>
        <w:rPr>
          <w:b/>
          <w:sz w:val="24"/>
          <w:szCs w:val="24"/>
        </w:rPr>
      </w:pPr>
      <w:r w:rsidRPr="006F33CE">
        <w:rPr>
          <w:b/>
          <w:sz w:val="24"/>
          <w:szCs w:val="24"/>
        </w:rPr>
        <w:t>Groupe de travail des transports</w:t>
      </w:r>
      <w:r w:rsidRPr="006F33CE">
        <w:rPr>
          <w:b/>
          <w:sz w:val="24"/>
          <w:szCs w:val="24"/>
        </w:rPr>
        <w:br/>
        <w:t>de marchandises dangereuses</w:t>
      </w:r>
    </w:p>
    <w:p w:rsidR="00E11C6E" w:rsidRPr="006F33CE" w:rsidRDefault="00E11C6E" w:rsidP="006F33CE">
      <w:pPr>
        <w:spacing w:before="120"/>
        <w:rPr>
          <w:b/>
          <w:bCs/>
        </w:rPr>
      </w:pPr>
      <w:r w:rsidRPr="006F33CE">
        <w:rPr>
          <w:b/>
          <w:bCs/>
        </w:rPr>
        <w:t>Réunion commune de la Commission d’experts</w:t>
      </w:r>
      <w:r w:rsidRPr="006F33CE">
        <w:rPr>
          <w:b/>
          <w:bCs/>
        </w:rPr>
        <w:br/>
        <w:t>du RID et du Groupe de travail des transports</w:t>
      </w:r>
      <w:r w:rsidRPr="006F33CE">
        <w:rPr>
          <w:b/>
          <w:bCs/>
        </w:rPr>
        <w:br/>
        <w:t>de marchandises dangereuses</w:t>
      </w:r>
    </w:p>
    <w:p w:rsidR="00E11C6E" w:rsidRPr="00E11C6E" w:rsidRDefault="00E11C6E" w:rsidP="0099701C">
      <w:r w:rsidRPr="00E11C6E">
        <w:t>Genève, 19</w:t>
      </w:r>
      <w:r w:rsidR="0099701C">
        <w:t>-</w:t>
      </w:r>
      <w:r w:rsidRPr="00E11C6E">
        <w:t>23 septembre 2016</w:t>
      </w:r>
    </w:p>
    <w:p w:rsidR="00E11C6E" w:rsidRPr="00E11C6E" w:rsidRDefault="00E11C6E" w:rsidP="00E24DE8">
      <w:r w:rsidRPr="00E11C6E">
        <w:t xml:space="preserve">Point </w:t>
      </w:r>
      <w:r w:rsidR="00E24DE8">
        <w:t>9</w:t>
      </w:r>
      <w:r w:rsidRPr="00E11C6E">
        <w:t xml:space="preserve"> de l’ordre du jour provisoire</w:t>
      </w:r>
    </w:p>
    <w:p w:rsidR="00E11C6E" w:rsidRPr="006F33CE" w:rsidRDefault="00E11C6E" w:rsidP="006F33CE">
      <w:pPr>
        <w:rPr>
          <w:b/>
          <w:bCs/>
        </w:rPr>
      </w:pPr>
      <w:r w:rsidRPr="006F33CE">
        <w:rPr>
          <w:b/>
          <w:bCs/>
        </w:rPr>
        <w:t>Questions diverses</w:t>
      </w:r>
    </w:p>
    <w:p w:rsidR="00E11C6E" w:rsidRPr="00E11C6E" w:rsidRDefault="00E11C6E" w:rsidP="006F33CE">
      <w:pPr>
        <w:pStyle w:val="HChG"/>
      </w:pPr>
      <w:r w:rsidRPr="00E11C6E">
        <w:tab/>
      </w:r>
      <w:r w:rsidRPr="00E11C6E">
        <w:tab/>
        <w:t>Création d’un groupe de travail informel pour traiter des</w:t>
      </w:r>
      <w:r w:rsidR="006F33CE">
        <w:t> </w:t>
      </w:r>
      <w:r w:rsidRPr="00E11C6E">
        <w:t>modifications textuelles aux règlements</w:t>
      </w:r>
    </w:p>
    <w:p w:rsidR="00E11C6E" w:rsidRPr="00E11C6E" w:rsidRDefault="00E11C6E" w:rsidP="006F33CE">
      <w:pPr>
        <w:pStyle w:val="H1G"/>
        <w:rPr>
          <w:lang w:bidi="en-GB"/>
        </w:rPr>
      </w:pPr>
      <w:r w:rsidRPr="00E11C6E">
        <w:tab/>
      </w:r>
      <w:r w:rsidRPr="00E11C6E">
        <w:tab/>
        <w:t>Communication du Gouvernement du Royaume-Uni</w:t>
      </w:r>
      <w:r w:rsidRPr="006F33CE">
        <w:rPr>
          <w:rStyle w:val="FootnoteReference"/>
          <w:b w:val="0"/>
          <w:bCs/>
        </w:rPr>
        <w:footnoteReference w:id="2"/>
      </w:r>
      <w:r w:rsidRPr="006F33CE">
        <w:rPr>
          <w:b w:val="0"/>
          <w:bCs/>
          <w:sz w:val="18"/>
          <w:szCs w:val="18"/>
          <w:vertAlign w:val="superscript"/>
        </w:rPr>
        <w:t>,</w:t>
      </w:r>
      <w:r w:rsidRPr="006F33CE">
        <w:rPr>
          <w:b w:val="0"/>
          <w:bCs/>
          <w:sz w:val="18"/>
          <w:szCs w:val="18"/>
        </w:rPr>
        <w:t xml:space="preserve"> </w:t>
      </w:r>
      <w:r w:rsidRPr="006F33CE">
        <w:rPr>
          <w:rStyle w:val="FootnoteReference"/>
          <w:b w:val="0"/>
          <w:bCs/>
        </w:rPr>
        <w:footnoteReference w:id="3"/>
      </w:r>
      <w:r w:rsidRPr="00E11C6E">
        <w:rPr>
          <w:lang w:bidi="en-GB"/>
        </w:rPr>
        <w:t xml:space="preserve"> </w:t>
      </w:r>
    </w:p>
    <w:tbl>
      <w:tblPr>
        <w:tblStyle w:val="TableGrid"/>
        <w:tblW w:w="0" w:type="auto"/>
        <w:jc w:val="center"/>
        <w:tblBorders>
          <w:insideH w:val="none" w:sz="0" w:space="0" w:color="auto"/>
        </w:tblBorders>
        <w:tblLook w:val="01E0" w:firstRow="1" w:lastRow="1" w:firstColumn="1" w:lastColumn="1" w:noHBand="0" w:noVBand="0"/>
      </w:tblPr>
      <w:tblGrid>
        <w:gridCol w:w="9637"/>
      </w:tblGrid>
      <w:tr w:rsidR="00E11C6E" w:rsidRPr="00E11C6E" w:rsidTr="00750934">
        <w:trPr>
          <w:jc w:val="center"/>
        </w:trPr>
        <w:tc>
          <w:tcPr>
            <w:tcW w:w="9637" w:type="dxa"/>
            <w:shd w:val="clear" w:color="auto" w:fill="auto"/>
          </w:tcPr>
          <w:p w:rsidR="00E11C6E" w:rsidRPr="00E11C6E" w:rsidRDefault="00E11C6E" w:rsidP="00E11C6E">
            <w:pPr>
              <w:tabs>
                <w:tab w:val="right" w:pos="8505"/>
              </w:tabs>
              <w:spacing w:before="240" w:after="120"/>
              <w:ind w:left="255"/>
              <w:rPr>
                <w:i/>
                <w:sz w:val="24"/>
              </w:rPr>
            </w:pPr>
            <w:r w:rsidRPr="00E11C6E">
              <w:rPr>
                <w:i/>
                <w:sz w:val="24"/>
              </w:rPr>
              <w:t>Résumé</w:t>
            </w:r>
          </w:p>
        </w:tc>
      </w:tr>
      <w:tr w:rsidR="00E11C6E" w:rsidRPr="00E11C6E" w:rsidTr="00750934">
        <w:trPr>
          <w:jc w:val="center"/>
        </w:trPr>
        <w:tc>
          <w:tcPr>
            <w:tcW w:w="9637" w:type="dxa"/>
            <w:shd w:val="clear" w:color="auto" w:fill="auto"/>
          </w:tcPr>
          <w:p w:rsidR="00E11C6E" w:rsidRPr="00E11C6E" w:rsidRDefault="00E11C6E" w:rsidP="00E11C6E">
            <w:pPr>
              <w:pStyle w:val="SingleTxtG"/>
              <w:ind w:left="2552" w:hanging="2268"/>
            </w:pPr>
            <w:r w:rsidRPr="00E11C6E">
              <w:rPr>
                <w:b/>
              </w:rPr>
              <w:t>Résumé analytique</w:t>
            </w:r>
            <w:r w:rsidR="00A50F4C">
              <w:rPr>
                <w:b/>
              </w:rPr>
              <w:t> :</w:t>
            </w:r>
            <w:r w:rsidRPr="00E11C6E">
              <w:rPr>
                <w:b/>
              </w:rPr>
              <w:tab/>
            </w:r>
            <w:r w:rsidRPr="00E11C6E">
              <w:t>Ce document fait suite à des documents informels soumis à la dernière réunion du WP.15 et à la Réunion commune précédente. Ce document expose les vues du Royaume-Uni sur les sujets que le groupe informel pourrait traiter et adresse un certain nombre de questions aux délégations représentées à la réunion commune sur la marche à suivre ultérieurement.</w:t>
            </w:r>
          </w:p>
        </w:tc>
      </w:tr>
      <w:tr w:rsidR="00E11C6E" w:rsidRPr="00E11C6E" w:rsidTr="00750934">
        <w:trPr>
          <w:jc w:val="center"/>
        </w:trPr>
        <w:tc>
          <w:tcPr>
            <w:tcW w:w="9637" w:type="dxa"/>
            <w:shd w:val="clear" w:color="auto" w:fill="auto"/>
          </w:tcPr>
          <w:p w:rsidR="00E11C6E" w:rsidRPr="00E11C6E" w:rsidRDefault="00E11C6E" w:rsidP="006F33CE">
            <w:pPr>
              <w:pStyle w:val="SingleTxtG"/>
              <w:ind w:left="2552" w:hanging="2268"/>
            </w:pPr>
            <w:r w:rsidRPr="00E11C6E">
              <w:rPr>
                <w:b/>
              </w:rPr>
              <w:t>Documents de référence</w:t>
            </w:r>
            <w:r w:rsidR="00A50F4C">
              <w:rPr>
                <w:b/>
              </w:rPr>
              <w:t> :</w:t>
            </w:r>
            <w:r w:rsidRPr="00E11C6E">
              <w:rPr>
                <w:b/>
              </w:rPr>
              <w:tab/>
            </w:r>
            <w:r w:rsidRPr="00E11C6E">
              <w:t xml:space="preserve">Documents informels INF.25 soumis à la session de </w:t>
            </w:r>
            <w:r w:rsidR="006F33CE">
              <w:t>m</w:t>
            </w:r>
            <w:r w:rsidRPr="00E11C6E">
              <w:t>ars 2016 de la Réunion et INF.6 soumis à la session de mai 2016 du WP.15.</w:t>
            </w:r>
          </w:p>
        </w:tc>
      </w:tr>
      <w:tr w:rsidR="00E11C6E" w:rsidRPr="00E11C6E" w:rsidTr="00750934">
        <w:trPr>
          <w:jc w:val="center"/>
        </w:trPr>
        <w:tc>
          <w:tcPr>
            <w:tcW w:w="9637" w:type="dxa"/>
            <w:shd w:val="clear" w:color="auto" w:fill="auto"/>
          </w:tcPr>
          <w:p w:rsidR="00E11C6E" w:rsidRPr="00E11C6E" w:rsidRDefault="00E11C6E" w:rsidP="00750934">
            <w:pPr>
              <w:jc w:val="center"/>
              <w:rPr>
                <w:b/>
              </w:rPr>
            </w:pPr>
          </w:p>
        </w:tc>
      </w:tr>
    </w:tbl>
    <w:p w:rsidR="00E11C6E" w:rsidRPr="00E11C6E" w:rsidRDefault="00E11C6E" w:rsidP="00AF0CB5"/>
    <w:p w:rsidR="00E11C6E" w:rsidRPr="00E11C6E" w:rsidRDefault="00E11C6E" w:rsidP="006F33CE">
      <w:pPr>
        <w:pStyle w:val="HChG"/>
      </w:pPr>
      <w:r w:rsidRPr="00E11C6E">
        <w:lastRenderedPageBreak/>
        <w:tab/>
      </w:r>
      <w:r w:rsidRPr="00E11C6E">
        <w:tab/>
        <w:t>Introduction</w:t>
      </w:r>
    </w:p>
    <w:p w:rsidR="00E11C6E" w:rsidRPr="00E11C6E" w:rsidRDefault="00E11C6E" w:rsidP="006F33CE">
      <w:pPr>
        <w:pStyle w:val="ParNoG"/>
      </w:pPr>
      <w:r w:rsidRPr="00E11C6E">
        <w:t xml:space="preserve">Lors de la </w:t>
      </w:r>
      <w:r w:rsidR="006F33CE">
        <w:t>quatre-vingt-dix-neuvième</w:t>
      </w:r>
      <w:r w:rsidRPr="00E11C6E">
        <w:t xml:space="preserve"> session du WP.15, le Royaume-Uni a lancé l’idée de créer un nouveau groupe de travail informel, qui serait chargé de l’étude des questions rédactionnelles d’ordre linguistique, n’ayant pas trait au fond. Cette idée a été bien accueillie, mais compte tenu du fait que ces questions sont souvent communes à l’ADR, au RID et à l’ADN, le Royaume-Uni y a donné suite en présentant un document informel lors de la dernière Réunion commune , qui toutefois, en raison de contraintes de temps, n’a pas pu être discuté.</w:t>
      </w:r>
    </w:p>
    <w:p w:rsidR="00E11C6E" w:rsidRPr="00E11C6E" w:rsidRDefault="00E11C6E" w:rsidP="006F33CE">
      <w:pPr>
        <w:pStyle w:val="ParNoG"/>
        <w:tabs>
          <w:tab w:val="clear" w:pos="1701"/>
        </w:tabs>
      </w:pPr>
      <w:r w:rsidRPr="00E11C6E">
        <w:t>Le Royaume-Uni a présenté un nouveau document informel à la 100</w:t>
      </w:r>
      <w:r w:rsidRPr="006F33CE">
        <w:rPr>
          <w:vertAlign w:val="superscript"/>
        </w:rPr>
        <w:t>e</w:t>
      </w:r>
      <w:r w:rsidR="006F33CE">
        <w:t> </w:t>
      </w:r>
      <w:r w:rsidRPr="00E11C6E">
        <w:t xml:space="preserve">session du WP.15 (mai 2016). Cette proposition a été notée avec intérêt, bien que l’on ait reconnu que certaines modifications rédactionnelles pouvaient avoir une incidence sur le fond des documents. Le Royaume-Uni a été invité à revenir à la </w:t>
      </w:r>
      <w:r w:rsidR="00E24DE8" w:rsidRPr="00E11C6E">
        <w:t xml:space="preserve">Réunion </w:t>
      </w:r>
      <w:r w:rsidRPr="00E11C6E">
        <w:t>commune avec un document officiel car une grande partie des changements proposés avait un impact sur les trois textes modaux et, pour la même raison, il a été estimé que si un groupe était créé, il devait s’appuyer sur un mandat délivré par la Réunion commune.</w:t>
      </w:r>
    </w:p>
    <w:p w:rsidR="00E11C6E" w:rsidRPr="00E11C6E" w:rsidRDefault="00E11C6E" w:rsidP="006F33CE">
      <w:pPr>
        <w:pStyle w:val="HChG"/>
      </w:pPr>
      <w:r w:rsidRPr="00E11C6E">
        <w:tab/>
      </w:r>
      <w:r w:rsidRPr="00E11C6E">
        <w:tab/>
        <w:t>Faits antérieurs</w:t>
      </w:r>
    </w:p>
    <w:p w:rsidR="006F33CE" w:rsidRDefault="00E11C6E" w:rsidP="006F33CE">
      <w:pPr>
        <w:pStyle w:val="ParNoG"/>
        <w:tabs>
          <w:tab w:val="clear" w:pos="1701"/>
        </w:tabs>
      </w:pPr>
      <w:r w:rsidRPr="00E11C6E">
        <w:t xml:space="preserve">Le Royaume-Uni reconnaît que les modifications d’ordre rédactionnel en question sont à la fois nécessaires et importantes pour améliorer la clarté et la cohérence entre règlements et que le temps et lieu appropriés devraient être impartis pour qu’ils soient examinés et discutés en conséquence. Le Royaume-Uni estime que l’examen de ces modifications d’ordre rédactionnel </w:t>
      </w:r>
      <w:r w:rsidRPr="00971428">
        <w:rPr>
          <w:i/>
          <w:iCs/>
        </w:rPr>
        <w:t>in extenso</w:t>
      </w:r>
      <w:r w:rsidRPr="00E11C6E">
        <w:t xml:space="preserve"> en séance plénière nuit non seulement aux efforts pour traiter ces points, mais peut également faire obstacle à des propositions de fond potentiellement positives pour l’amélioration et le renforcement du régime. On peut licitement faire valoir qu’un tel groupe pourrait être doté d’un mandat plus large, afin d’ouvrir la voie à un nettoyage complet de la réglementation et de pouvoir relever les erreurs, les duplications et autres erreurs rédactionnelles, ce qui est à comparer à l’approche fragmentaire qui est actuellement suivie.</w:t>
      </w:r>
    </w:p>
    <w:p w:rsidR="00E11C6E" w:rsidRPr="00E11C6E" w:rsidRDefault="00E11C6E" w:rsidP="006F33CE">
      <w:pPr>
        <w:pStyle w:val="ParNoG"/>
        <w:tabs>
          <w:tab w:val="clear" w:pos="1701"/>
        </w:tabs>
      </w:pPr>
      <w:r w:rsidRPr="00E11C6E">
        <w:t>Le Royaume-Uni reconnaît que, parfois, les frontières entre modifications rédactionnelles et modifications de fond ne sont pas claires, mais estime que cela ne devrait pas dissuader d’aborder cette approche de façon constructive. Les catégories de questions traitées dans les documents qui pourraient relever de la compétence de ce groupe peuvent être</w:t>
      </w:r>
      <w:r w:rsidR="00A50F4C">
        <w:t> :</w:t>
      </w:r>
      <w:r w:rsidRPr="00E11C6E">
        <w:t xml:space="preserve"> des divergences entre les différentes versions linguistiques du texte, des erreurs de rédaction, des répétitions, des modifications corrélatives omises et des lacunes de mise à jour des références aux dernières versions.</w:t>
      </w:r>
    </w:p>
    <w:p w:rsidR="00E11C6E" w:rsidRPr="00E11C6E" w:rsidRDefault="00E11C6E" w:rsidP="0099701C">
      <w:pPr>
        <w:pStyle w:val="ParNoG"/>
        <w:keepNext/>
        <w:tabs>
          <w:tab w:val="clear" w:pos="1701"/>
        </w:tabs>
      </w:pPr>
      <w:r w:rsidRPr="00E11C6E">
        <w:t>Des exemples de ce que l’on peut considérer comme questions rédactionnelles sont donnés ci-dessous</w:t>
      </w:r>
      <w:r w:rsidR="00A50F4C">
        <w:t> :</w:t>
      </w:r>
    </w:p>
    <w:p w:rsidR="00E11C6E" w:rsidRPr="00E11C6E" w:rsidRDefault="006F33CE" w:rsidP="0099701C">
      <w:pPr>
        <w:pStyle w:val="SingleTxtG"/>
        <w:ind w:left="1701"/>
      </w:pPr>
      <w:r>
        <w:t>« </w:t>
      </w:r>
      <w:r w:rsidR="00E11C6E" w:rsidRPr="00E11C6E">
        <w:t>Au chapitre 8.3.3 de l’ADR, il est dit</w:t>
      </w:r>
      <w:r w:rsidR="00A50F4C">
        <w:t> :</w:t>
      </w:r>
      <w:r w:rsidR="0099701C">
        <w:t xml:space="preserve"> </w:t>
      </w:r>
      <w:r w:rsidR="00E11C6E" w:rsidRPr="00E11C6E">
        <w:t>“Il est interdit au conducteur ou à un convoyeur…”.</w:t>
      </w:r>
      <w:r w:rsidR="0099701C">
        <w:t xml:space="preserve"> </w:t>
      </w:r>
      <w:r w:rsidR="00E11C6E" w:rsidRPr="00E11C6E">
        <w:t>Cette prescription ne devrait-elle pas se lire “Il est interdit aux membres de l’équipage du véhicule…”, étant donné que le terme “équipage” est défini au chapitr</w:t>
      </w:r>
      <w:r>
        <w:t>e </w:t>
      </w:r>
      <w:r w:rsidR="00E11C6E" w:rsidRPr="00E11C6E">
        <w:t>1.2 de l’ADR alors que le terme “convoyeur” ne l’est pas</w:t>
      </w:r>
      <w:r w:rsidR="00A50F4C">
        <w:t> ?</w:t>
      </w:r>
      <w:r w:rsidR="0099701C">
        <w:t> »</w:t>
      </w:r>
    </w:p>
    <w:p w:rsidR="00E11C6E" w:rsidRPr="00E11C6E" w:rsidRDefault="0099701C" w:rsidP="00971428">
      <w:pPr>
        <w:pStyle w:val="SingleTxtG"/>
        <w:ind w:left="1701"/>
      </w:pPr>
      <w:r>
        <w:rPr>
          <w:lang w:eastAsia="en-GB"/>
        </w:rPr>
        <w:t>« </w:t>
      </w:r>
      <w:r w:rsidR="00E11C6E" w:rsidRPr="00E11C6E">
        <w:rPr>
          <w:lang w:eastAsia="en-GB"/>
        </w:rPr>
        <w:t>Dans la version française de l’ADR, dans l’instruction d’emballage P200, Tableau</w:t>
      </w:r>
      <w:r w:rsidR="006F33CE">
        <w:rPr>
          <w:lang w:eastAsia="en-GB"/>
        </w:rPr>
        <w:t> </w:t>
      </w:r>
      <w:r w:rsidR="00E11C6E" w:rsidRPr="00E11C6E">
        <w:rPr>
          <w:lang w:eastAsia="en-GB"/>
        </w:rPr>
        <w:t>3</w:t>
      </w:r>
      <w:r w:rsidR="00A50F4C">
        <w:rPr>
          <w:lang w:eastAsia="en-GB"/>
        </w:rPr>
        <w:t> :</w:t>
      </w:r>
      <w:r w:rsidR="00E11C6E" w:rsidRPr="00E11C6E">
        <w:rPr>
          <w:lang w:eastAsia="en-GB"/>
        </w:rPr>
        <w:t xml:space="preserve"> MATIÈRES N’</w:t>
      </w:r>
      <w:r w:rsidR="00971428">
        <w:rPr>
          <w:lang w:eastAsia="en-GB"/>
        </w:rPr>
        <w:t>APPARTENANT PAS À LA CLASSE </w:t>
      </w:r>
      <w:r w:rsidR="00E11C6E" w:rsidRPr="00E11C6E">
        <w:rPr>
          <w:lang w:eastAsia="en-GB"/>
        </w:rPr>
        <w:t xml:space="preserve">2, ajouter X dans la colonne “Fûts à pression” pour les </w:t>
      </w:r>
      <w:r w:rsidR="00971428">
        <w:rPr>
          <w:lang w:eastAsia="en-GB"/>
        </w:rPr>
        <w:t xml:space="preserve">Nos </w:t>
      </w:r>
      <w:r w:rsidR="00E11C6E" w:rsidRPr="00E11C6E">
        <w:rPr>
          <w:lang w:eastAsia="en-GB"/>
        </w:rPr>
        <w:t>ONU</w:t>
      </w:r>
      <w:r w:rsidR="00971428">
        <w:rPr>
          <w:lang w:eastAsia="en-GB"/>
        </w:rPr>
        <w:t> </w:t>
      </w:r>
      <w:r w:rsidR="00E11C6E" w:rsidRPr="00E11C6E">
        <w:rPr>
          <w:lang w:eastAsia="en-GB"/>
        </w:rPr>
        <w:t>1745, 1746 et 2495.”</w:t>
      </w:r>
      <w:r w:rsidR="006F33CE">
        <w:rPr>
          <w:lang w:eastAsia="en-GB"/>
        </w:rPr>
        <w:t> ».</w:t>
      </w:r>
    </w:p>
    <w:p w:rsidR="00E11C6E" w:rsidRPr="00E11C6E" w:rsidRDefault="00E11C6E" w:rsidP="006F33CE">
      <w:pPr>
        <w:pStyle w:val="ParNoG"/>
        <w:tabs>
          <w:tab w:val="clear" w:pos="1701"/>
        </w:tabs>
      </w:pPr>
      <w:r w:rsidRPr="00156DC1">
        <w:t>En appliquant les catégories précéde</w:t>
      </w:r>
      <w:r w:rsidR="006F33CE" w:rsidRPr="00156DC1">
        <w:t>mment identifiées au paragraphe </w:t>
      </w:r>
      <w:r w:rsidRPr="00156DC1">
        <w:t>4 du présent document comme base</w:t>
      </w:r>
      <w:r w:rsidR="00A50F4C" w:rsidRPr="00156DC1">
        <w:t> ;</w:t>
      </w:r>
      <w:r w:rsidRPr="00156DC1">
        <w:t xml:space="preserve"> le Royaume-Uni a effectué une analyse simple des docum</w:t>
      </w:r>
      <w:r w:rsidR="006F33CE" w:rsidRPr="00156DC1">
        <w:t>ents qui ont été soumis au Sous-</w:t>
      </w:r>
      <w:r w:rsidRPr="00156DC1">
        <w:t>Comité d’experts du transport des marchandises dangereuses de</w:t>
      </w:r>
      <w:r w:rsidRPr="00E11C6E">
        <w:t xml:space="preserve"> </w:t>
      </w:r>
      <w:r w:rsidRPr="00E11C6E">
        <w:lastRenderedPageBreak/>
        <w:t>l’ONU, à la Réunion commune et au WP.15 de 2010 à 2015. Cette analyse donne un aperçu du nombre de documents qui pourraient relever de la compétence de ce groupe de travail. Les résultats de cette analyse sont les suivants</w:t>
      </w:r>
      <w:r w:rsidR="00A50F4C">
        <w:t> :</w:t>
      </w:r>
    </w:p>
    <w:p w:rsidR="00E11C6E" w:rsidRPr="00E11C6E" w:rsidRDefault="00A50F4C" w:rsidP="00A50F4C">
      <w:pPr>
        <w:pStyle w:val="Heading1"/>
        <w:spacing w:after="120"/>
        <w:rPr>
          <w:sz w:val="22"/>
          <w:u w:val="single"/>
        </w:rPr>
      </w:pPr>
      <w:r>
        <w:t>Sous-</w:t>
      </w:r>
      <w:r w:rsidR="00E11C6E" w:rsidRPr="00E11C6E">
        <w:t>Comité d’experts du transport des marchandises dangereuses</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5"/>
        <w:gridCol w:w="2149"/>
        <w:gridCol w:w="2175"/>
        <w:gridCol w:w="2175"/>
      </w:tblGrid>
      <w:tr w:rsidR="00E11C6E" w:rsidRPr="00E11C6E" w:rsidTr="00A50F4C">
        <w:tc>
          <w:tcPr>
            <w:tcW w:w="2407" w:type="dxa"/>
            <w:shd w:val="clear" w:color="auto" w:fill="D0CECE"/>
            <w:vAlign w:val="center"/>
          </w:tcPr>
          <w:p w:rsidR="00E11C6E" w:rsidRPr="00E11C6E" w:rsidRDefault="00E11C6E" w:rsidP="006F33CE">
            <w:pPr>
              <w:pStyle w:val="SingleTxtG"/>
              <w:keepNext/>
              <w:spacing w:before="60" w:after="60" w:line="240" w:lineRule="auto"/>
              <w:ind w:left="113" w:right="113"/>
              <w:jc w:val="center"/>
            </w:pPr>
            <w:r w:rsidRPr="00E11C6E">
              <w:t>Année</w:t>
            </w:r>
          </w:p>
        </w:tc>
        <w:tc>
          <w:tcPr>
            <w:tcW w:w="2410" w:type="dxa"/>
            <w:shd w:val="clear" w:color="auto" w:fill="D0CECE"/>
            <w:vAlign w:val="center"/>
          </w:tcPr>
          <w:p w:rsidR="00E11C6E" w:rsidRPr="00E11C6E" w:rsidRDefault="00E11C6E" w:rsidP="006F33CE">
            <w:pPr>
              <w:pStyle w:val="SingleTxtG"/>
              <w:keepNext/>
              <w:spacing w:before="60" w:after="60" w:line="240" w:lineRule="auto"/>
              <w:ind w:left="113" w:right="113"/>
              <w:jc w:val="center"/>
            </w:pPr>
            <w:r w:rsidRPr="00E11C6E">
              <w:t xml:space="preserve">Nombre total </w:t>
            </w:r>
            <w:r w:rsidR="006F33CE">
              <w:t>de </w:t>
            </w:r>
            <w:r w:rsidRPr="00E11C6E">
              <w:t>documents</w:t>
            </w:r>
          </w:p>
        </w:tc>
        <w:tc>
          <w:tcPr>
            <w:tcW w:w="2410" w:type="dxa"/>
            <w:shd w:val="clear" w:color="auto" w:fill="D0CECE"/>
            <w:vAlign w:val="center"/>
          </w:tcPr>
          <w:p w:rsidR="00E11C6E" w:rsidRPr="00E11C6E" w:rsidRDefault="00E11C6E" w:rsidP="006F33CE">
            <w:pPr>
              <w:pStyle w:val="SingleTxtG"/>
              <w:keepNext/>
              <w:spacing w:before="60" w:after="60" w:line="240" w:lineRule="auto"/>
              <w:ind w:left="113" w:right="113"/>
              <w:jc w:val="center"/>
            </w:pPr>
            <w:r w:rsidRPr="00E11C6E">
              <w:t>Nombre de documents traitant de questions rédactionnelles</w:t>
            </w:r>
          </w:p>
        </w:tc>
        <w:tc>
          <w:tcPr>
            <w:tcW w:w="2410" w:type="dxa"/>
            <w:shd w:val="clear" w:color="auto" w:fill="D0CECE"/>
            <w:vAlign w:val="center"/>
          </w:tcPr>
          <w:p w:rsidR="00E11C6E" w:rsidRPr="00E11C6E" w:rsidRDefault="00E11C6E" w:rsidP="00156DC1">
            <w:pPr>
              <w:pStyle w:val="SingleTxtG"/>
              <w:keepNext/>
              <w:spacing w:before="60" w:after="60" w:line="240" w:lineRule="auto"/>
              <w:ind w:left="113" w:right="113"/>
              <w:jc w:val="center"/>
            </w:pPr>
            <w:r w:rsidRPr="00E11C6E">
              <w:t>Pourcentage de documents traitant de</w:t>
            </w:r>
            <w:r w:rsidR="00156DC1">
              <w:t> </w:t>
            </w:r>
            <w:r w:rsidRPr="00E11C6E">
              <w:t>questions rédactionnelles</w:t>
            </w:r>
          </w:p>
        </w:tc>
      </w:tr>
      <w:tr w:rsidR="00E11C6E" w:rsidRPr="00E11C6E" w:rsidTr="00A50F4C">
        <w:tc>
          <w:tcPr>
            <w:tcW w:w="2407" w:type="dxa"/>
            <w:shd w:val="clear" w:color="auto" w:fill="auto"/>
          </w:tcPr>
          <w:p w:rsidR="00E11C6E" w:rsidRPr="00E11C6E" w:rsidRDefault="00E11C6E" w:rsidP="006F33CE">
            <w:pPr>
              <w:pStyle w:val="SingleTxtG"/>
              <w:keepNext/>
              <w:spacing w:before="60" w:after="60" w:line="240" w:lineRule="auto"/>
              <w:ind w:left="113" w:right="113"/>
              <w:jc w:val="center"/>
            </w:pPr>
            <w:r w:rsidRPr="00E11C6E">
              <w:t>2015</w:t>
            </w:r>
          </w:p>
        </w:tc>
        <w:tc>
          <w:tcPr>
            <w:tcW w:w="2410" w:type="dxa"/>
            <w:shd w:val="clear" w:color="auto" w:fill="auto"/>
          </w:tcPr>
          <w:p w:rsidR="00E11C6E" w:rsidRPr="00E11C6E" w:rsidRDefault="00E11C6E" w:rsidP="006F33CE">
            <w:pPr>
              <w:pStyle w:val="SingleTxtG"/>
              <w:keepNext/>
              <w:spacing w:before="60" w:after="60" w:line="240" w:lineRule="auto"/>
              <w:ind w:left="113" w:right="113"/>
              <w:jc w:val="center"/>
            </w:pPr>
            <w:r w:rsidRPr="00E11C6E">
              <w:t>58</w:t>
            </w:r>
          </w:p>
        </w:tc>
        <w:tc>
          <w:tcPr>
            <w:tcW w:w="2410" w:type="dxa"/>
            <w:shd w:val="clear" w:color="auto" w:fill="auto"/>
          </w:tcPr>
          <w:p w:rsidR="00E11C6E" w:rsidRPr="00E11C6E" w:rsidRDefault="00E11C6E" w:rsidP="006F33CE">
            <w:pPr>
              <w:pStyle w:val="SingleTxtG"/>
              <w:keepNext/>
              <w:spacing w:before="60" w:after="60" w:line="240" w:lineRule="auto"/>
              <w:ind w:left="113" w:right="113"/>
              <w:jc w:val="center"/>
            </w:pPr>
            <w:r w:rsidRPr="00E11C6E">
              <w:t>9</w:t>
            </w:r>
          </w:p>
        </w:tc>
        <w:tc>
          <w:tcPr>
            <w:tcW w:w="2410" w:type="dxa"/>
            <w:shd w:val="clear" w:color="auto" w:fill="auto"/>
          </w:tcPr>
          <w:p w:rsidR="00E11C6E" w:rsidRPr="00E11C6E" w:rsidRDefault="00E11C6E" w:rsidP="006F33CE">
            <w:pPr>
              <w:pStyle w:val="SingleTxtG"/>
              <w:keepNext/>
              <w:spacing w:before="60" w:after="60" w:line="240" w:lineRule="auto"/>
              <w:ind w:left="113" w:right="113"/>
              <w:jc w:val="center"/>
            </w:pPr>
            <w:r w:rsidRPr="00E11C6E">
              <w:t>16</w:t>
            </w:r>
            <w:r w:rsidR="006F33CE">
              <w:t> </w:t>
            </w:r>
            <w:r w:rsidRPr="00E11C6E">
              <w:t>%</w:t>
            </w:r>
          </w:p>
        </w:tc>
      </w:tr>
      <w:tr w:rsidR="00E11C6E" w:rsidRPr="00E11C6E" w:rsidTr="00A50F4C">
        <w:tc>
          <w:tcPr>
            <w:tcW w:w="2407" w:type="dxa"/>
            <w:shd w:val="clear" w:color="auto" w:fill="auto"/>
          </w:tcPr>
          <w:p w:rsidR="00E11C6E" w:rsidRPr="00E11C6E" w:rsidRDefault="00E11C6E" w:rsidP="006F33CE">
            <w:pPr>
              <w:pStyle w:val="SingleTxtG"/>
              <w:keepNext/>
              <w:spacing w:before="60" w:after="60" w:line="240" w:lineRule="auto"/>
              <w:ind w:left="113" w:right="113"/>
              <w:jc w:val="center"/>
            </w:pPr>
            <w:r w:rsidRPr="00E11C6E">
              <w:t>2014</w:t>
            </w:r>
          </w:p>
        </w:tc>
        <w:tc>
          <w:tcPr>
            <w:tcW w:w="2410" w:type="dxa"/>
            <w:shd w:val="clear" w:color="auto" w:fill="auto"/>
          </w:tcPr>
          <w:p w:rsidR="00E11C6E" w:rsidRPr="00E11C6E" w:rsidRDefault="00E11C6E" w:rsidP="006F33CE">
            <w:pPr>
              <w:pStyle w:val="SingleTxtG"/>
              <w:keepNext/>
              <w:spacing w:before="60" w:after="60" w:line="240" w:lineRule="auto"/>
              <w:ind w:left="113" w:right="113"/>
              <w:jc w:val="center"/>
            </w:pPr>
            <w:r w:rsidRPr="00E11C6E">
              <w:t>109</w:t>
            </w:r>
          </w:p>
        </w:tc>
        <w:tc>
          <w:tcPr>
            <w:tcW w:w="2410" w:type="dxa"/>
            <w:shd w:val="clear" w:color="auto" w:fill="auto"/>
          </w:tcPr>
          <w:p w:rsidR="00E11C6E" w:rsidRPr="00E11C6E" w:rsidRDefault="00E11C6E" w:rsidP="006F33CE">
            <w:pPr>
              <w:pStyle w:val="SingleTxtG"/>
              <w:keepNext/>
              <w:spacing w:before="60" w:after="60" w:line="240" w:lineRule="auto"/>
              <w:ind w:left="113" w:right="113"/>
              <w:jc w:val="center"/>
            </w:pPr>
            <w:r w:rsidRPr="00E11C6E">
              <w:t>20</w:t>
            </w:r>
          </w:p>
        </w:tc>
        <w:tc>
          <w:tcPr>
            <w:tcW w:w="2410" w:type="dxa"/>
            <w:shd w:val="clear" w:color="auto" w:fill="auto"/>
          </w:tcPr>
          <w:p w:rsidR="00E11C6E" w:rsidRPr="00E11C6E" w:rsidRDefault="00E11C6E" w:rsidP="006F33CE">
            <w:pPr>
              <w:pStyle w:val="SingleTxtG"/>
              <w:keepNext/>
              <w:spacing w:before="60" w:after="60" w:line="240" w:lineRule="auto"/>
              <w:ind w:left="113" w:right="113"/>
              <w:jc w:val="center"/>
            </w:pPr>
            <w:r w:rsidRPr="00E11C6E">
              <w:t>18</w:t>
            </w:r>
            <w:r w:rsidR="006F33CE">
              <w:t> </w:t>
            </w:r>
            <w:r w:rsidRPr="00E11C6E">
              <w:t>%</w:t>
            </w:r>
          </w:p>
        </w:tc>
      </w:tr>
      <w:tr w:rsidR="00E11C6E" w:rsidRPr="00E11C6E" w:rsidTr="00A50F4C">
        <w:tc>
          <w:tcPr>
            <w:tcW w:w="2407" w:type="dxa"/>
            <w:shd w:val="clear" w:color="auto" w:fill="auto"/>
          </w:tcPr>
          <w:p w:rsidR="00E11C6E" w:rsidRPr="00E11C6E" w:rsidRDefault="00E11C6E" w:rsidP="006F33CE">
            <w:pPr>
              <w:pStyle w:val="SingleTxtG"/>
              <w:keepNext/>
              <w:spacing w:before="60" w:after="60" w:line="240" w:lineRule="auto"/>
              <w:ind w:left="113" w:right="113"/>
              <w:jc w:val="center"/>
            </w:pPr>
            <w:r w:rsidRPr="00E11C6E">
              <w:t>2013</w:t>
            </w:r>
          </w:p>
        </w:tc>
        <w:tc>
          <w:tcPr>
            <w:tcW w:w="2410" w:type="dxa"/>
            <w:shd w:val="clear" w:color="auto" w:fill="auto"/>
          </w:tcPr>
          <w:p w:rsidR="00E11C6E" w:rsidRPr="00E11C6E" w:rsidRDefault="00E11C6E" w:rsidP="006F33CE">
            <w:pPr>
              <w:pStyle w:val="SingleTxtG"/>
              <w:keepNext/>
              <w:spacing w:before="60" w:after="60" w:line="240" w:lineRule="auto"/>
              <w:ind w:left="113" w:right="113"/>
              <w:jc w:val="center"/>
            </w:pPr>
            <w:r w:rsidRPr="00E11C6E">
              <w:t>70</w:t>
            </w:r>
          </w:p>
        </w:tc>
        <w:tc>
          <w:tcPr>
            <w:tcW w:w="2410" w:type="dxa"/>
            <w:shd w:val="clear" w:color="auto" w:fill="auto"/>
          </w:tcPr>
          <w:p w:rsidR="00E11C6E" w:rsidRPr="00E11C6E" w:rsidRDefault="00E11C6E" w:rsidP="006F33CE">
            <w:pPr>
              <w:pStyle w:val="SingleTxtG"/>
              <w:keepNext/>
              <w:spacing w:before="60" w:after="60" w:line="240" w:lineRule="auto"/>
              <w:ind w:left="113" w:right="113"/>
              <w:jc w:val="center"/>
            </w:pPr>
            <w:r w:rsidRPr="00E11C6E">
              <w:t>6</w:t>
            </w:r>
          </w:p>
        </w:tc>
        <w:tc>
          <w:tcPr>
            <w:tcW w:w="2410" w:type="dxa"/>
            <w:shd w:val="clear" w:color="auto" w:fill="auto"/>
          </w:tcPr>
          <w:p w:rsidR="00E11C6E" w:rsidRPr="00E11C6E" w:rsidRDefault="00E11C6E" w:rsidP="006F33CE">
            <w:pPr>
              <w:pStyle w:val="SingleTxtG"/>
              <w:keepNext/>
              <w:spacing w:before="60" w:after="60" w:line="240" w:lineRule="auto"/>
              <w:ind w:left="113" w:right="113"/>
              <w:jc w:val="center"/>
            </w:pPr>
            <w:r w:rsidRPr="00E11C6E">
              <w:t>9</w:t>
            </w:r>
            <w:r w:rsidR="006F33CE">
              <w:t> </w:t>
            </w:r>
            <w:r w:rsidRPr="00E11C6E">
              <w:t>%</w:t>
            </w:r>
          </w:p>
        </w:tc>
      </w:tr>
      <w:tr w:rsidR="00E11C6E" w:rsidRPr="00E11C6E" w:rsidTr="00A50F4C">
        <w:tc>
          <w:tcPr>
            <w:tcW w:w="2407" w:type="dxa"/>
            <w:shd w:val="clear" w:color="auto" w:fill="auto"/>
          </w:tcPr>
          <w:p w:rsidR="00E11C6E" w:rsidRPr="00E11C6E" w:rsidRDefault="00E11C6E" w:rsidP="006F33CE">
            <w:pPr>
              <w:pStyle w:val="SingleTxtG"/>
              <w:keepNext/>
              <w:spacing w:before="60" w:after="60" w:line="240" w:lineRule="auto"/>
              <w:ind w:left="113" w:right="113"/>
              <w:jc w:val="center"/>
            </w:pPr>
            <w:r w:rsidRPr="00E11C6E">
              <w:t>2012</w:t>
            </w:r>
          </w:p>
        </w:tc>
        <w:tc>
          <w:tcPr>
            <w:tcW w:w="2410" w:type="dxa"/>
            <w:shd w:val="clear" w:color="auto" w:fill="auto"/>
          </w:tcPr>
          <w:p w:rsidR="00E11C6E" w:rsidRPr="00E11C6E" w:rsidRDefault="00E11C6E" w:rsidP="006F33CE">
            <w:pPr>
              <w:pStyle w:val="SingleTxtG"/>
              <w:keepNext/>
              <w:spacing w:before="60" w:after="60" w:line="240" w:lineRule="auto"/>
              <w:ind w:left="113" w:right="113"/>
              <w:jc w:val="center"/>
            </w:pPr>
            <w:r w:rsidRPr="00E11C6E">
              <w:t>102</w:t>
            </w:r>
          </w:p>
        </w:tc>
        <w:tc>
          <w:tcPr>
            <w:tcW w:w="2410" w:type="dxa"/>
            <w:shd w:val="clear" w:color="auto" w:fill="auto"/>
          </w:tcPr>
          <w:p w:rsidR="00E11C6E" w:rsidRPr="00E11C6E" w:rsidRDefault="00E11C6E" w:rsidP="006F33CE">
            <w:pPr>
              <w:pStyle w:val="SingleTxtG"/>
              <w:keepNext/>
              <w:spacing w:before="60" w:after="60" w:line="240" w:lineRule="auto"/>
              <w:ind w:left="113" w:right="113"/>
              <w:jc w:val="center"/>
            </w:pPr>
            <w:r w:rsidRPr="00E11C6E">
              <w:t>12</w:t>
            </w:r>
          </w:p>
        </w:tc>
        <w:tc>
          <w:tcPr>
            <w:tcW w:w="2410" w:type="dxa"/>
            <w:shd w:val="clear" w:color="auto" w:fill="auto"/>
          </w:tcPr>
          <w:p w:rsidR="00E11C6E" w:rsidRPr="00E11C6E" w:rsidRDefault="00E11C6E" w:rsidP="006F33CE">
            <w:pPr>
              <w:pStyle w:val="SingleTxtG"/>
              <w:keepNext/>
              <w:spacing w:before="60" w:after="60" w:line="240" w:lineRule="auto"/>
              <w:ind w:left="113" w:right="113"/>
              <w:jc w:val="center"/>
            </w:pPr>
            <w:r w:rsidRPr="00E11C6E">
              <w:t>12</w:t>
            </w:r>
            <w:r w:rsidR="006F33CE">
              <w:t> </w:t>
            </w:r>
            <w:r w:rsidRPr="00E11C6E">
              <w:t>%</w:t>
            </w:r>
          </w:p>
        </w:tc>
      </w:tr>
      <w:tr w:rsidR="00E11C6E" w:rsidRPr="00E11C6E" w:rsidTr="00A50F4C">
        <w:tc>
          <w:tcPr>
            <w:tcW w:w="2407" w:type="dxa"/>
            <w:shd w:val="clear" w:color="auto" w:fill="auto"/>
          </w:tcPr>
          <w:p w:rsidR="00E11C6E" w:rsidRPr="00E11C6E" w:rsidRDefault="00E11C6E" w:rsidP="006F33CE">
            <w:pPr>
              <w:pStyle w:val="SingleTxtG"/>
              <w:spacing w:before="60" w:after="60" w:line="240" w:lineRule="auto"/>
              <w:ind w:left="113" w:right="113"/>
              <w:jc w:val="center"/>
            </w:pPr>
            <w:r w:rsidRPr="00E11C6E">
              <w:t>2011</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47</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4</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9</w:t>
            </w:r>
            <w:r w:rsidR="006F33CE">
              <w:t> </w:t>
            </w:r>
            <w:r w:rsidRPr="00E11C6E">
              <w:t>%</w:t>
            </w:r>
          </w:p>
        </w:tc>
      </w:tr>
      <w:tr w:rsidR="00E11C6E" w:rsidRPr="00E11C6E" w:rsidTr="00A50F4C">
        <w:tc>
          <w:tcPr>
            <w:tcW w:w="2407" w:type="dxa"/>
            <w:shd w:val="clear" w:color="auto" w:fill="auto"/>
          </w:tcPr>
          <w:p w:rsidR="00E11C6E" w:rsidRPr="00E11C6E" w:rsidRDefault="00E11C6E" w:rsidP="006F33CE">
            <w:pPr>
              <w:pStyle w:val="SingleTxtG"/>
              <w:spacing w:before="60" w:after="60" w:line="240" w:lineRule="auto"/>
              <w:ind w:left="113" w:right="113"/>
              <w:jc w:val="center"/>
            </w:pPr>
            <w:r w:rsidRPr="00E11C6E">
              <w:t>2010</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89</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6</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7</w:t>
            </w:r>
            <w:r w:rsidR="006F33CE">
              <w:t> </w:t>
            </w:r>
            <w:r w:rsidRPr="00E11C6E">
              <w:t>%</w:t>
            </w:r>
          </w:p>
        </w:tc>
      </w:tr>
    </w:tbl>
    <w:p w:rsidR="00E11C6E" w:rsidRPr="00A50F4C" w:rsidRDefault="00E11C6E" w:rsidP="00A50F4C">
      <w:pPr>
        <w:pStyle w:val="Heading1"/>
        <w:spacing w:before="240" w:after="120"/>
        <w:rPr>
          <w:sz w:val="22"/>
          <w:u w:val="single"/>
        </w:rPr>
      </w:pPr>
      <w:r w:rsidRPr="00A50F4C">
        <w:rPr>
          <w:u w:val="single"/>
        </w:rPr>
        <w:t>Réunion commune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5"/>
        <w:gridCol w:w="2149"/>
        <w:gridCol w:w="2175"/>
        <w:gridCol w:w="2175"/>
      </w:tblGrid>
      <w:tr w:rsidR="00E11C6E" w:rsidRPr="00E11C6E" w:rsidTr="00A50F4C">
        <w:tc>
          <w:tcPr>
            <w:tcW w:w="2407" w:type="dxa"/>
            <w:shd w:val="clear" w:color="auto" w:fill="D0CECE"/>
            <w:vAlign w:val="center"/>
          </w:tcPr>
          <w:p w:rsidR="00E11C6E" w:rsidRPr="00E11C6E" w:rsidRDefault="00E11C6E" w:rsidP="00A50F4C">
            <w:pPr>
              <w:pStyle w:val="SingleTxtG"/>
              <w:keepNext/>
              <w:spacing w:before="60" w:after="60" w:line="240" w:lineRule="auto"/>
              <w:ind w:left="113" w:right="113"/>
              <w:jc w:val="center"/>
            </w:pPr>
            <w:r w:rsidRPr="00E11C6E">
              <w:t>Année</w:t>
            </w:r>
          </w:p>
        </w:tc>
        <w:tc>
          <w:tcPr>
            <w:tcW w:w="2410" w:type="dxa"/>
            <w:shd w:val="clear" w:color="auto" w:fill="D0CECE"/>
            <w:vAlign w:val="center"/>
          </w:tcPr>
          <w:p w:rsidR="00E11C6E" w:rsidRPr="00E11C6E" w:rsidRDefault="00E11C6E" w:rsidP="00A50F4C">
            <w:pPr>
              <w:pStyle w:val="SingleTxtG"/>
              <w:keepNext/>
              <w:spacing w:before="60" w:after="60" w:line="240" w:lineRule="auto"/>
              <w:ind w:left="113" w:right="113"/>
              <w:jc w:val="center"/>
            </w:pPr>
            <w:r w:rsidRPr="00E11C6E">
              <w:t>Nombre total de</w:t>
            </w:r>
            <w:r w:rsidR="00A50F4C">
              <w:t> </w:t>
            </w:r>
            <w:r w:rsidRPr="00E11C6E">
              <w:t>documents</w:t>
            </w:r>
          </w:p>
        </w:tc>
        <w:tc>
          <w:tcPr>
            <w:tcW w:w="2410" w:type="dxa"/>
            <w:shd w:val="clear" w:color="auto" w:fill="D0CECE"/>
            <w:vAlign w:val="center"/>
          </w:tcPr>
          <w:p w:rsidR="00E11C6E" w:rsidRPr="00E11C6E" w:rsidRDefault="00E11C6E" w:rsidP="00A50F4C">
            <w:pPr>
              <w:pStyle w:val="SingleTxtG"/>
              <w:keepNext/>
              <w:spacing w:before="60" w:after="60" w:line="240" w:lineRule="auto"/>
              <w:ind w:left="113" w:right="113"/>
              <w:jc w:val="center"/>
            </w:pPr>
            <w:r w:rsidRPr="00E11C6E">
              <w:t>Nombre de documents traitant de questions rédactionnelles</w:t>
            </w:r>
          </w:p>
        </w:tc>
        <w:tc>
          <w:tcPr>
            <w:tcW w:w="2410" w:type="dxa"/>
            <w:shd w:val="clear" w:color="auto" w:fill="D0CECE"/>
            <w:vAlign w:val="center"/>
          </w:tcPr>
          <w:p w:rsidR="00E11C6E" w:rsidRPr="00E11C6E" w:rsidRDefault="00E11C6E" w:rsidP="00156DC1">
            <w:pPr>
              <w:pStyle w:val="SingleTxtG"/>
              <w:keepNext/>
              <w:spacing w:before="60" w:after="60" w:line="240" w:lineRule="auto"/>
              <w:ind w:left="113" w:right="113"/>
              <w:jc w:val="center"/>
            </w:pPr>
            <w:r w:rsidRPr="00E11C6E">
              <w:t>Pourcentage de documents traitant de</w:t>
            </w:r>
            <w:r w:rsidR="00156DC1">
              <w:t> </w:t>
            </w:r>
            <w:r w:rsidRPr="00E11C6E">
              <w:t>questions rédactionnelles</w:t>
            </w:r>
          </w:p>
        </w:tc>
      </w:tr>
      <w:tr w:rsidR="00E11C6E" w:rsidRPr="00E11C6E" w:rsidTr="00A50F4C">
        <w:tc>
          <w:tcPr>
            <w:tcW w:w="2407" w:type="dxa"/>
            <w:shd w:val="clear" w:color="auto" w:fill="auto"/>
          </w:tcPr>
          <w:p w:rsidR="00E11C6E" w:rsidRPr="00E11C6E" w:rsidRDefault="00E11C6E" w:rsidP="006F33CE">
            <w:pPr>
              <w:pStyle w:val="SingleTxtG"/>
              <w:spacing w:before="60" w:after="60" w:line="240" w:lineRule="auto"/>
              <w:ind w:left="113" w:right="113"/>
              <w:jc w:val="center"/>
            </w:pPr>
            <w:r w:rsidRPr="00E11C6E">
              <w:t>2015</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54</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20</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36</w:t>
            </w:r>
            <w:r w:rsidR="00A50F4C">
              <w:t> </w:t>
            </w:r>
            <w:r w:rsidRPr="00E11C6E">
              <w:t>%</w:t>
            </w:r>
          </w:p>
        </w:tc>
      </w:tr>
      <w:tr w:rsidR="00E11C6E" w:rsidRPr="00E11C6E" w:rsidTr="00A50F4C">
        <w:tc>
          <w:tcPr>
            <w:tcW w:w="2407" w:type="dxa"/>
            <w:shd w:val="clear" w:color="auto" w:fill="auto"/>
          </w:tcPr>
          <w:p w:rsidR="00E11C6E" w:rsidRPr="00E11C6E" w:rsidRDefault="00E11C6E" w:rsidP="006F33CE">
            <w:pPr>
              <w:pStyle w:val="SingleTxtG"/>
              <w:spacing w:before="60" w:after="60" w:line="240" w:lineRule="auto"/>
              <w:ind w:left="113" w:right="113"/>
              <w:jc w:val="center"/>
            </w:pPr>
            <w:r w:rsidRPr="00E11C6E">
              <w:t>2014</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53</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15</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28</w:t>
            </w:r>
            <w:r w:rsidR="00A50F4C">
              <w:t> </w:t>
            </w:r>
            <w:r w:rsidRPr="00E11C6E">
              <w:t>%</w:t>
            </w:r>
          </w:p>
        </w:tc>
      </w:tr>
      <w:tr w:rsidR="00E11C6E" w:rsidRPr="00E11C6E" w:rsidTr="00A50F4C">
        <w:tc>
          <w:tcPr>
            <w:tcW w:w="2407" w:type="dxa"/>
            <w:shd w:val="clear" w:color="auto" w:fill="auto"/>
          </w:tcPr>
          <w:p w:rsidR="00E11C6E" w:rsidRPr="00E11C6E" w:rsidRDefault="00E11C6E" w:rsidP="006F33CE">
            <w:pPr>
              <w:pStyle w:val="SingleTxtG"/>
              <w:spacing w:before="60" w:after="60" w:line="240" w:lineRule="auto"/>
              <w:ind w:left="113" w:right="113"/>
              <w:jc w:val="center"/>
            </w:pPr>
            <w:r w:rsidRPr="00E11C6E">
              <w:t>2013</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61</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10</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16</w:t>
            </w:r>
            <w:r w:rsidR="00A50F4C">
              <w:t> </w:t>
            </w:r>
            <w:r w:rsidRPr="00E11C6E">
              <w:t>%</w:t>
            </w:r>
          </w:p>
        </w:tc>
      </w:tr>
      <w:tr w:rsidR="00E11C6E" w:rsidRPr="00E11C6E" w:rsidTr="00A50F4C">
        <w:tc>
          <w:tcPr>
            <w:tcW w:w="2407" w:type="dxa"/>
            <w:shd w:val="clear" w:color="auto" w:fill="auto"/>
          </w:tcPr>
          <w:p w:rsidR="00E11C6E" w:rsidRPr="00E11C6E" w:rsidRDefault="00E11C6E" w:rsidP="006F33CE">
            <w:pPr>
              <w:pStyle w:val="SingleTxtG"/>
              <w:spacing w:before="60" w:after="60" w:line="240" w:lineRule="auto"/>
              <w:ind w:left="113" w:right="113"/>
              <w:jc w:val="center"/>
            </w:pPr>
            <w:r w:rsidRPr="00E11C6E">
              <w:t>2012</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29</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6</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21</w:t>
            </w:r>
            <w:r w:rsidR="00A50F4C">
              <w:t> </w:t>
            </w:r>
            <w:r w:rsidRPr="00E11C6E">
              <w:t>%</w:t>
            </w:r>
          </w:p>
        </w:tc>
      </w:tr>
      <w:tr w:rsidR="00E11C6E" w:rsidRPr="00E11C6E" w:rsidTr="00A50F4C">
        <w:tc>
          <w:tcPr>
            <w:tcW w:w="2407" w:type="dxa"/>
            <w:shd w:val="clear" w:color="auto" w:fill="auto"/>
          </w:tcPr>
          <w:p w:rsidR="00E11C6E" w:rsidRPr="00E11C6E" w:rsidRDefault="00E11C6E" w:rsidP="006F33CE">
            <w:pPr>
              <w:pStyle w:val="SingleTxtG"/>
              <w:spacing w:before="60" w:after="60" w:line="240" w:lineRule="auto"/>
              <w:ind w:left="113" w:right="113"/>
              <w:jc w:val="center"/>
            </w:pPr>
            <w:r w:rsidRPr="00E11C6E">
              <w:t>2011</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51</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8</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16</w:t>
            </w:r>
            <w:r w:rsidR="00A50F4C">
              <w:t> </w:t>
            </w:r>
            <w:r w:rsidRPr="00E11C6E">
              <w:t>%</w:t>
            </w:r>
          </w:p>
        </w:tc>
      </w:tr>
      <w:tr w:rsidR="00E11C6E" w:rsidRPr="00E11C6E" w:rsidTr="00A50F4C">
        <w:tc>
          <w:tcPr>
            <w:tcW w:w="2407" w:type="dxa"/>
            <w:shd w:val="clear" w:color="auto" w:fill="auto"/>
          </w:tcPr>
          <w:p w:rsidR="00E11C6E" w:rsidRPr="00E11C6E" w:rsidRDefault="00E11C6E" w:rsidP="006F33CE">
            <w:pPr>
              <w:pStyle w:val="SingleTxtG"/>
              <w:spacing w:before="60" w:after="60" w:line="240" w:lineRule="auto"/>
              <w:ind w:left="113" w:right="113"/>
              <w:jc w:val="center"/>
            </w:pPr>
            <w:r w:rsidRPr="00E11C6E">
              <w:t>2010</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57</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7</w:t>
            </w:r>
          </w:p>
        </w:tc>
        <w:tc>
          <w:tcPr>
            <w:tcW w:w="2410" w:type="dxa"/>
            <w:shd w:val="clear" w:color="auto" w:fill="auto"/>
          </w:tcPr>
          <w:p w:rsidR="00E11C6E" w:rsidRPr="00E11C6E" w:rsidRDefault="00E11C6E" w:rsidP="006F33CE">
            <w:pPr>
              <w:pStyle w:val="SingleTxtG"/>
              <w:spacing w:before="60" w:after="60" w:line="240" w:lineRule="auto"/>
              <w:ind w:left="113" w:right="113"/>
              <w:jc w:val="center"/>
            </w:pPr>
            <w:r w:rsidRPr="00E11C6E">
              <w:t>12</w:t>
            </w:r>
            <w:r w:rsidR="00A50F4C">
              <w:t> </w:t>
            </w:r>
            <w:r w:rsidRPr="00E11C6E">
              <w:t>%</w:t>
            </w:r>
          </w:p>
        </w:tc>
      </w:tr>
    </w:tbl>
    <w:p w:rsidR="00E11C6E" w:rsidRPr="00A50F4C" w:rsidRDefault="00E11C6E" w:rsidP="00A50F4C">
      <w:pPr>
        <w:pStyle w:val="Heading1"/>
        <w:spacing w:before="240" w:after="120"/>
        <w:rPr>
          <w:u w:val="single"/>
        </w:rPr>
      </w:pPr>
      <w:r w:rsidRPr="00A50F4C">
        <w:rPr>
          <w:u w:val="single"/>
        </w:rPr>
        <w:t>WP.15</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4"/>
        <w:gridCol w:w="2107"/>
        <w:gridCol w:w="2187"/>
        <w:gridCol w:w="2186"/>
      </w:tblGrid>
      <w:tr w:rsidR="00E11C6E" w:rsidRPr="00E11C6E" w:rsidTr="00A50F4C">
        <w:tc>
          <w:tcPr>
            <w:tcW w:w="2408" w:type="dxa"/>
            <w:shd w:val="clear" w:color="auto" w:fill="D0CECE"/>
            <w:vAlign w:val="center"/>
          </w:tcPr>
          <w:p w:rsidR="00E11C6E" w:rsidRPr="00E11C6E" w:rsidRDefault="00E11C6E" w:rsidP="00A50F4C">
            <w:pPr>
              <w:pStyle w:val="SingleTxtG"/>
              <w:keepNext/>
              <w:spacing w:before="60" w:after="60" w:line="240" w:lineRule="auto"/>
              <w:ind w:left="113" w:right="113"/>
              <w:jc w:val="center"/>
            </w:pPr>
            <w:r w:rsidRPr="00E11C6E">
              <w:t>Année</w:t>
            </w:r>
          </w:p>
        </w:tc>
        <w:tc>
          <w:tcPr>
            <w:tcW w:w="2410" w:type="dxa"/>
            <w:shd w:val="clear" w:color="auto" w:fill="D0CECE"/>
            <w:vAlign w:val="center"/>
          </w:tcPr>
          <w:p w:rsidR="00E11C6E" w:rsidRPr="00E11C6E" w:rsidRDefault="00E11C6E" w:rsidP="00A50F4C">
            <w:pPr>
              <w:pStyle w:val="SingleTxtG"/>
              <w:keepNext/>
              <w:spacing w:before="60" w:after="60" w:line="240" w:lineRule="auto"/>
              <w:ind w:left="113" w:right="113"/>
              <w:jc w:val="center"/>
            </w:pPr>
            <w:r w:rsidRPr="00E11C6E">
              <w:t>Nombre total de documents</w:t>
            </w:r>
          </w:p>
        </w:tc>
        <w:tc>
          <w:tcPr>
            <w:tcW w:w="2410" w:type="dxa"/>
            <w:shd w:val="clear" w:color="auto" w:fill="D0CECE"/>
            <w:vAlign w:val="center"/>
          </w:tcPr>
          <w:p w:rsidR="00E11C6E" w:rsidRPr="00E11C6E" w:rsidRDefault="00E11C6E" w:rsidP="00A50F4C">
            <w:pPr>
              <w:pStyle w:val="SingleTxtG"/>
              <w:keepNext/>
              <w:spacing w:before="60" w:after="60" w:line="240" w:lineRule="auto"/>
              <w:ind w:left="113" w:right="113"/>
              <w:jc w:val="center"/>
            </w:pPr>
            <w:r w:rsidRPr="00E11C6E">
              <w:t>Nombre de documents traitant de questions rédactionnelles</w:t>
            </w:r>
          </w:p>
        </w:tc>
        <w:tc>
          <w:tcPr>
            <w:tcW w:w="2409" w:type="dxa"/>
            <w:shd w:val="clear" w:color="auto" w:fill="D0CECE"/>
            <w:vAlign w:val="center"/>
          </w:tcPr>
          <w:p w:rsidR="00E11C6E" w:rsidRPr="00E11C6E" w:rsidRDefault="00E11C6E" w:rsidP="00156DC1">
            <w:pPr>
              <w:pStyle w:val="SingleTxtG"/>
              <w:keepNext/>
              <w:spacing w:before="60" w:after="60" w:line="240" w:lineRule="auto"/>
              <w:ind w:left="113" w:right="113"/>
              <w:jc w:val="center"/>
            </w:pPr>
            <w:r w:rsidRPr="00E11C6E">
              <w:t>Pourcentage de documents traitant de</w:t>
            </w:r>
            <w:r w:rsidR="00156DC1">
              <w:t> </w:t>
            </w:r>
            <w:r w:rsidRPr="00E11C6E">
              <w:t>questions rédactionnelles</w:t>
            </w:r>
          </w:p>
        </w:tc>
      </w:tr>
      <w:tr w:rsidR="00E11C6E" w:rsidRPr="00E11C6E" w:rsidTr="00A50F4C">
        <w:tc>
          <w:tcPr>
            <w:tcW w:w="2408" w:type="dxa"/>
            <w:shd w:val="clear" w:color="auto" w:fill="auto"/>
          </w:tcPr>
          <w:p w:rsidR="00E11C6E" w:rsidRPr="00E11C6E" w:rsidRDefault="00E11C6E" w:rsidP="00A50F4C">
            <w:pPr>
              <w:pStyle w:val="SingleTxtG"/>
              <w:spacing w:before="60" w:after="60" w:line="240" w:lineRule="auto"/>
              <w:ind w:left="113" w:right="113"/>
              <w:jc w:val="center"/>
            </w:pPr>
            <w:r w:rsidRPr="00E11C6E">
              <w:t>2015</w:t>
            </w:r>
          </w:p>
        </w:tc>
        <w:tc>
          <w:tcPr>
            <w:tcW w:w="2410" w:type="dxa"/>
            <w:shd w:val="clear" w:color="auto" w:fill="auto"/>
          </w:tcPr>
          <w:p w:rsidR="00E11C6E" w:rsidRPr="00E11C6E" w:rsidRDefault="00E11C6E" w:rsidP="00A50F4C">
            <w:pPr>
              <w:pStyle w:val="SingleTxtG"/>
              <w:spacing w:before="60" w:after="60" w:line="240" w:lineRule="auto"/>
              <w:ind w:left="113" w:right="113"/>
              <w:jc w:val="center"/>
            </w:pPr>
            <w:r w:rsidRPr="00E11C6E">
              <w:t>19</w:t>
            </w:r>
          </w:p>
        </w:tc>
        <w:tc>
          <w:tcPr>
            <w:tcW w:w="2410" w:type="dxa"/>
            <w:shd w:val="clear" w:color="auto" w:fill="auto"/>
          </w:tcPr>
          <w:p w:rsidR="00E11C6E" w:rsidRPr="00E11C6E" w:rsidRDefault="00E11C6E" w:rsidP="00A50F4C">
            <w:pPr>
              <w:pStyle w:val="SingleTxtG"/>
              <w:spacing w:before="60" w:after="60" w:line="240" w:lineRule="auto"/>
              <w:ind w:left="113" w:right="113"/>
              <w:jc w:val="center"/>
            </w:pPr>
            <w:r w:rsidRPr="00E11C6E">
              <w:t>7</w:t>
            </w:r>
          </w:p>
        </w:tc>
        <w:tc>
          <w:tcPr>
            <w:tcW w:w="2409" w:type="dxa"/>
            <w:shd w:val="clear" w:color="auto" w:fill="auto"/>
          </w:tcPr>
          <w:p w:rsidR="00E11C6E" w:rsidRPr="00E11C6E" w:rsidRDefault="00E11C6E" w:rsidP="00A50F4C">
            <w:pPr>
              <w:pStyle w:val="SingleTxtG"/>
              <w:spacing w:before="60" w:after="60" w:line="240" w:lineRule="auto"/>
              <w:ind w:left="113" w:right="113"/>
              <w:jc w:val="center"/>
            </w:pPr>
            <w:r w:rsidRPr="00E11C6E">
              <w:t>37</w:t>
            </w:r>
            <w:r w:rsidR="00A50F4C">
              <w:t> </w:t>
            </w:r>
            <w:r w:rsidRPr="00E11C6E">
              <w:t>%</w:t>
            </w:r>
          </w:p>
        </w:tc>
      </w:tr>
      <w:tr w:rsidR="00E11C6E" w:rsidRPr="00E11C6E" w:rsidTr="00A50F4C">
        <w:tc>
          <w:tcPr>
            <w:tcW w:w="2408" w:type="dxa"/>
            <w:shd w:val="clear" w:color="auto" w:fill="auto"/>
          </w:tcPr>
          <w:p w:rsidR="00E11C6E" w:rsidRPr="00E11C6E" w:rsidRDefault="00E11C6E" w:rsidP="00A50F4C">
            <w:pPr>
              <w:pStyle w:val="SingleTxtG"/>
              <w:spacing w:before="60" w:after="60" w:line="240" w:lineRule="auto"/>
              <w:ind w:left="113" w:right="113"/>
              <w:jc w:val="center"/>
            </w:pPr>
            <w:r w:rsidRPr="00E11C6E">
              <w:t>2014</w:t>
            </w:r>
          </w:p>
        </w:tc>
        <w:tc>
          <w:tcPr>
            <w:tcW w:w="2410" w:type="dxa"/>
            <w:shd w:val="clear" w:color="auto" w:fill="auto"/>
          </w:tcPr>
          <w:p w:rsidR="00E11C6E" w:rsidRPr="00E11C6E" w:rsidRDefault="00E11C6E" w:rsidP="00A50F4C">
            <w:pPr>
              <w:pStyle w:val="SingleTxtG"/>
              <w:spacing w:before="60" w:after="60" w:line="240" w:lineRule="auto"/>
              <w:ind w:left="113" w:right="113"/>
              <w:jc w:val="center"/>
            </w:pPr>
            <w:r w:rsidRPr="00E11C6E">
              <w:t>18</w:t>
            </w:r>
          </w:p>
        </w:tc>
        <w:tc>
          <w:tcPr>
            <w:tcW w:w="2410" w:type="dxa"/>
            <w:shd w:val="clear" w:color="auto" w:fill="auto"/>
          </w:tcPr>
          <w:p w:rsidR="00E11C6E" w:rsidRPr="00E11C6E" w:rsidRDefault="00E11C6E" w:rsidP="00A50F4C">
            <w:pPr>
              <w:pStyle w:val="SingleTxtG"/>
              <w:spacing w:before="60" w:after="60" w:line="240" w:lineRule="auto"/>
              <w:ind w:left="113" w:right="113"/>
              <w:jc w:val="center"/>
            </w:pPr>
            <w:r w:rsidRPr="00E11C6E">
              <w:t>5</w:t>
            </w:r>
          </w:p>
        </w:tc>
        <w:tc>
          <w:tcPr>
            <w:tcW w:w="2409" w:type="dxa"/>
            <w:shd w:val="clear" w:color="auto" w:fill="auto"/>
          </w:tcPr>
          <w:p w:rsidR="00E11C6E" w:rsidRPr="00E11C6E" w:rsidRDefault="00E11C6E" w:rsidP="00A50F4C">
            <w:pPr>
              <w:pStyle w:val="SingleTxtG"/>
              <w:spacing w:before="60" w:after="60" w:line="240" w:lineRule="auto"/>
              <w:ind w:left="113" w:right="113"/>
              <w:jc w:val="center"/>
            </w:pPr>
            <w:r w:rsidRPr="00E11C6E">
              <w:t>28</w:t>
            </w:r>
            <w:r w:rsidR="00A50F4C">
              <w:t> </w:t>
            </w:r>
            <w:r w:rsidRPr="00E11C6E">
              <w:t>%</w:t>
            </w:r>
          </w:p>
        </w:tc>
      </w:tr>
      <w:tr w:rsidR="00E11C6E" w:rsidRPr="00E11C6E" w:rsidTr="00A50F4C">
        <w:tc>
          <w:tcPr>
            <w:tcW w:w="2408" w:type="dxa"/>
            <w:shd w:val="clear" w:color="auto" w:fill="auto"/>
          </w:tcPr>
          <w:p w:rsidR="00E11C6E" w:rsidRPr="00E11C6E" w:rsidRDefault="00E11C6E" w:rsidP="00A50F4C">
            <w:pPr>
              <w:pStyle w:val="SingleTxtG"/>
              <w:spacing w:before="60" w:after="60" w:line="240" w:lineRule="auto"/>
              <w:ind w:left="113" w:right="113"/>
              <w:jc w:val="center"/>
            </w:pPr>
            <w:r w:rsidRPr="00E11C6E">
              <w:t>2013</w:t>
            </w:r>
          </w:p>
        </w:tc>
        <w:tc>
          <w:tcPr>
            <w:tcW w:w="2410" w:type="dxa"/>
            <w:shd w:val="clear" w:color="auto" w:fill="auto"/>
          </w:tcPr>
          <w:p w:rsidR="00E11C6E" w:rsidRPr="00E11C6E" w:rsidRDefault="00E11C6E" w:rsidP="00A50F4C">
            <w:pPr>
              <w:pStyle w:val="SingleTxtG"/>
              <w:spacing w:before="60" w:after="60" w:line="240" w:lineRule="auto"/>
              <w:ind w:left="113" w:right="113"/>
              <w:jc w:val="center"/>
            </w:pPr>
            <w:r w:rsidRPr="00E11C6E">
              <w:t>20</w:t>
            </w:r>
          </w:p>
        </w:tc>
        <w:tc>
          <w:tcPr>
            <w:tcW w:w="2410" w:type="dxa"/>
            <w:shd w:val="clear" w:color="auto" w:fill="auto"/>
          </w:tcPr>
          <w:p w:rsidR="00E11C6E" w:rsidRPr="00E11C6E" w:rsidRDefault="00E11C6E" w:rsidP="00A50F4C">
            <w:pPr>
              <w:pStyle w:val="SingleTxtG"/>
              <w:spacing w:before="60" w:after="60" w:line="240" w:lineRule="auto"/>
              <w:ind w:left="113" w:right="113"/>
              <w:jc w:val="center"/>
            </w:pPr>
            <w:r w:rsidRPr="00E11C6E">
              <w:t>9</w:t>
            </w:r>
          </w:p>
        </w:tc>
        <w:tc>
          <w:tcPr>
            <w:tcW w:w="2409" w:type="dxa"/>
            <w:shd w:val="clear" w:color="auto" w:fill="auto"/>
          </w:tcPr>
          <w:p w:rsidR="00E11C6E" w:rsidRPr="00E11C6E" w:rsidRDefault="00E11C6E" w:rsidP="00A50F4C">
            <w:pPr>
              <w:pStyle w:val="SingleTxtG"/>
              <w:spacing w:before="60" w:after="60" w:line="240" w:lineRule="auto"/>
              <w:ind w:left="113" w:right="113"/>
              <w:jc w:val="center"/>
            </w:pPr>
            <w:r w:rsidRPr="00E11C6E">
              <w:t>45</w:t>
            </w:r>
            <w:r w:rsidR="00A50F4C">
              <w:t> </w:t>
            </w:r>
            <w:r w:rsidRPr="00E11C6E">
              <w:t>%</w:t>
            </w:r>
          </w:p>
        </w:tc>
      </w:tr>
      <w:tr w:rsidR="00E11C6E" w:rsidRPr="00E11C6E" w:rsidTr="00A50F4C">
        <w:tc>
          <w:tcPr>
            <w:tcW w:w="2408" w:type="dxa"/>
            <w:shd w:val="clear" w:color="auto" w:fill="auto"/>
          </w:tcPr>
          <w:p w:rsidR="00E11C6E" w:rsidRPr="00E11C6E" w:rsidRDefault="00E11C6E" w:rsidP="00A50F4C">
            <w:pPr>
              <w:pStyle w:val="SingleTxtG"/>
              <w:spacing w:before="60" w:after="60" w:line="240" w:lineRule="auto"/>
              <w:ind w:left="113" w:right="113"/>
              <w:jc w:val="center"/>
            </w:pPr>
            <w:r w:rsidRPr="00E11C6E">
              <w:t>2012</w:t>
            </w:r>
          </w:p>
        </w:tc>
        <w:tc>
          <w:tcPr>
            <w:tcW w:w="2410" w:type="dxa"/>
            <w:shd w:val="clear" w:color="auto" w:fill="auto"/>
          </w:tcPr>
          <w:p w:rsidR="00E11C6E" w:rsidRPr="00E11C6E" w:rsidRDefault="00E11C6E" w:rsidP="00A50F4C">
            <w:pPr>
              <w:pStyle w:val="SingleTxtG"/>
              <w:spacing w:before="60" w:after="60" w:line="240" w:lineRule="auto"/>
              <w:ind w:left="113" w:right="113"/>
              <w:jc w:val="center"/>
            </w:pPr>
            <w:r w:rsidRPr="00E11C6E">
              <w:t>19</w:t>
            </w:r>
          </w:p>
        </w:tc>
        <w:tc>
          <w:tcPr>
            <w:tcW w:w="2410" w:type="dxa"/>
            <w:shd w:val="clear" w:color="auto" w:fill="auto"/>
          </w:tcPr>
          <w:p w:rsidR="00E11C6E" w:rsidRPr="00E11C6E" w:rsidRDefault="00E11C6E" w:rsidP="00A50F4C">
            <w:pPr>
              <w:pStyle w:val="SingleTxtG"/>
              <w:spacing w:before="60" w:after="60" w:line="240" w:lineRule="auto"/>
              <w:ind w:left="113" w:right="113"/>
              <w:jc w:val="center"/>
            </w:pPr>
            <w:r w:rsidRPr="00E11C6E">
              <w:t>2</w:t>
            </w:r>
          </w:p>
        </w:tc>
        <w:tc>
          <w:tcPr>
            <w:tcW w:w="2409" w:type="dxa"/>
            <w:shd w:val="clear" w:color="auto" w:fill="auto"/>
          </w:tcPr>
          <w:p w:rsidR="00E11C6E" w:rsidRPr="00E11C6E" w:rsidRDefault="00E11C6E" w:rsidP="00A50F4C">
            <w:pPr>
              <w:pStyle w:val="SingleTxtG"/>
              <w:spacing w:before="60" w:after="60" w:line="240" w:lineRule="auto"/>
              <w:ind w:left="113" w:right="113"/>
              <w:jc w:val="center"/>
            </w:pPr>
            <w:r w:rsidRPr="00E11C6E">
              <w:t>11</w:t>
            </w:r>
            <w:r w:rsidR="00A50F4C">
              <w:t> </w:t>
            </w:r>
            <w:r w:rsidRPr="00E11C6E">
              <w:t>%</w:t>
            </w:r>
          </w:p>
        </w:tc>
      </w:tr>
      <w:tr w:rsidR="00E11C6E" w:rsidRPr="00E11C6E" w:rsidTr="00A50F4C">
        <w:tc>
          <w:tcPr>
            <w:tcW w:w="2408" w:type="dxa"/>
            <w:shd w:val="clear" w:color="auto" w:fill="auto"/>
          </w:tcPr>
          <w:p w:rsidR="00E11C6E" w:rsidRPr="00E11C6E" w:rsidRDefault="00E11C6E" w:rsidP="00A50F4C">
            <w:pPr>
              <w:pStyle w:val="SingleTxtG"/>
              <w:spacing w:before="60" w:after="60" w:line="240" w:lineRule="auto"/>
              <w:ind w:left="113" w:right="113"/>
              <w:jc w:val="center"/>
            </w:pPr>
            <w:r w:rsidRPr="00E11C6E">
              <w:t>2011</w:t>
            </w:r>
          </w:p>
        </w:tc>
        <w:tc>
          <w:tcPr>
            <w:tcW w:w="2410" w:type="dxa"/>
            <w:shd w:val="clear" w:color="auto" w:fill="auto"/>
          </w:tcPr>
          <w:p w:rsidR="00E11C6E" w:rsidRPr="00E11C6E" w:rsidRDefault="00E11C6E" w:rsidP="00A50F4C">
            <w:pPr>
              <w:pStyle w:val="SingleTxtG"/>
              <w:spacing w:before="60" w:after="60" w:line="240" w:lineRule="auto"/>
              <w:ind w:left="113" w:right="113"/>
              <w:jc w:val="center"/>
            </w:pPr>
            <w:r w:rsidRPr="00E11C6E">
              <w:t>14</w:t>
            </w:r>
          </w:p>
        </w:tc>
        <w:tc>
          <w:tcPr>
            <w:tcW w:w="2410" w:type="dxa"/>
            <w:shd w:val="clear" w:color="auto" w:fill="auto"/>
          </w:tcPr>
          <w:p w:rsidR="00E11C6E" w:rsidRPr="00E11C6E" w:rsidRDefault="00E11C6E" w:rsidP="00A50F4C">
            <w:pPr>
              <w:pStyle w:val="SingleTxtG"/>
              <w:spacing w:before="60" w:after="60" w:line="240" w:lineRule="auto"/>
              <w:ind w:left="113" w:right="113"/>
              <w:jc w:val="center"/>
            </w:pPr>
            <w:r w:rsidRPr="00E11C6E">
              <w:t>4</w:t>
            </w:r>
          </w:p>
        </w:tc>
        <w:tc>
          <w:tcPr>
            <w:tcW w:w="2409" w:type="dxa"/>
            <w:shd w:val="clear" w:color="auto" w:fill="auto"/>
          </w:tcPr>
          <w:p w:rsidR="00E11C6E" w:rsidRPr="00E11C6E" w:rsidRDefault="00E11C6E" w:rsidP="00A50F4C">
            <w:pPr>
              <w:pStyle w:val="SingleTxtG"/>
              <w:spacing w:before="60" w:after="60" w:line="240" w:lineRule="auto"/>
              <w:ind w:left="113" w:right="113"/>
              <w:jc w:val="center"/>
            </w:pPr>
            <w:r w:rsidRPr="00E11C6E">
              <w:t>29</w:t>
            </w:r>
            <w:r w:rsidR="00A50F4C">
              <w:t> </w:t>
            </w:r>
            <w:r w:rsidRPr="00E11C6E">
              <w:t>%</w:t>
            </w:r>
          </w:p>
        </w:tc>
      </w:tr>
      <w:tr w:rsidR="00E11C6E" w:rsidRPr="00E11C6E" w:rsidTr="00A50F4C">
        <w:tc>
          <w:tcPr>
            <w:tcW w:w="2408" w:type="dxa"/>
            <w:shd w:val="clear" w:color="auto" w:fill="auto"/>
          </w:tcPr>
          <w:p w:rsidR="00E11C6E" w:rsidRPr="00E11C6E" w:rsidRDefault="00E11C6E" w:rsidP="00A50F4C">
            <w:pPr>
              <w:pStyle w:val="SingleTxtG"/>
              <w:spacing w:before="60" w:after="60" w:line="240" w:lineRule="auto"/>
              <w:ind w:left="113" w:right="113"/>
              <w:jc w:val="center"/>
            </w:pPr>
            <w:r w:rsidRPr="00E11C6E">
              <w:t>2010</w:t>
            </w:r>
          </w:p>
        </w:tc>
        <w:tc>
          <w:tcPr>
            <w:tcW w:w="2410" w:type="dxa"/>
            <w:shd w:val="clear" w:color="auto" w:fill="auto"/>
          </w:tcPr>
          <w:p w:rsidR="00E11C6E" w:rsidRPr="00E11C6E" w:rsidRDefault="00E11C6E" w:rsidP="00A50F4C">
            <w:pPr>
              <w:pStyle w:val="SingleTxtG"/>
              <w:spacing w:before="60" w:after="60" w:line="240" w:lineRule="auto"/>
              <w:ind w:left="113" w:right="113"/>
              <w:jc w:val="center"/>
            </w:pPr>
            <w:r w:rsidRPr="00E11C6E">
              <w:t>19</w:t>
            </w:r>
          </w:p>
        </w:tc>
        <w:tc>
          <w:tcPr>
            <w:tcW w:w="2410" w:type="dxa"/>
            <w:shd w:val="clear" w:color="auto" w:fill="auto"/>
          </w:tcPr>
          <w:p w:rsidR="00E11C6E" w:rsidRPr="00E11C6E" w:rsidRDefault="00E11C6E" w:rsidP="00A50F4C">
            <w:pPr>
              <w:pStyle w:val="SingleTxtG"/>
              <w:spacing w:before="60" w:after="60" w:line="240" w:lineRule="auto"/>
              <w:ind w:left="113" w:right="113"/>
              <w:jc w:val="center"/>
            </w:pPr>
            <w:r w:rsidRPr="00E11C6E">
              <w:t>3</w:t>
            </w:r>
          </w:p>
        </w:tc>
        <w:tc>
          <w:tcPr>
            <w:tcW w:w="2409" w:type="dxa"/>
            <w:shd w:val="clear" w:color="auto" w:fill="auto"/>
          </w:tcPr>
          <w:p w:rsidR="00E11C6E" w:rsidRPr="00E11C6E" w:rsidRDefault="00E11C6E" w:rsidP="00A50F4C">
            <w:pPr>
              <w:pStyle w:val="SingleTxtG"/>
              <w:spacing w:before="60" w:after="60" w:line="240" w:lineRule="auto"/>
              <w:ind w:left="113" w:right="113"/>
              <w:jc w:val="center"/>
            </w:pPr>
            <w:r w:rsidRPr="00E11C6E">
              <w:t>16</w:t>
            </w:r>
            <w:r w:rsidR="00A50F4C">
              <w:t> </w:t>
            </w:r>
            <w:r w:rsidRPr="00E11C6E">
              <w:t>%</w:t>
            </w:r>
          </w:p>
        </w:tc>
      </w:tr>
    </w:tbl>
    <w:p w:rsidR="00E11C6E" w:rsidRPr="00E11C6E" w:rsidRDefault="00E11C6E" w:rsidP="00E11C6E">
      <w:pPr>
        <w:pStyle w:val="HChG"/>
      </w:pPr>
      <w:r w:rsidRPr="00E11C6E">
        <w:lastRenderedPageBreak/>
        <w:tab/>
      </w:r>
      <w:r w:rsidRPr="00E11C6E">
        <w:tab/>
        <w:t>Avantages potentiels</w:t>
      </w:r>
    </w:p>
    <w:p w:rsidR="00E11C6E" w:rsidRPr="00E11C6E" w:rsidRDefault="00E11C6E" w:rsidP="006F33CE">
      <w:pPr>
        <w:pStyle w:val="ParNoG"/>
        <w:tabs>
          <w:tab w:val="clear" w:pos="1701"/>
        </w:tabs>
      </w:pPr>
      <w:r w:rsidRPr="00E11C6E">
        <w:t>De l’avis du Royaume-Uni, ce groupe de rédaction pourrait apporter un certain nombre d’avantages</w:t>
      </w:r>
      <w:r w:rsidR="00A50F4C">
        <w:t> :</w:t>
      </w:r>
    </w:p>
    <w:p w:rsidR="00E11C6E" w:rsidRPr="00E11C6E" w:rsidRDefault="00E11C6E" w:rsidP="00E11C6E">
      <w:pPr>
        <w:pStyle w:val="Bullet1G"/>
        <w:numPr>
          <w:ilvl w:val="0"/>
          <w:numId w:val="14"/>
        </w:numPr>
        <w:kinsoku/>
        <w:overflowPunct/>
        <w:autoSpaceDE/>
        <w:autoSpaceDN/>
        <w:adjustRightInd/>
        <w:snapToGrid/>
      </w:pPr>
      <w:r w:rsidRPr="00E11C6E">
        <w:t>Il offrirait le cadre en temps et en lieu pour discuter des changements proposés dans leur intégralité</w:t>
      </w:r>
      <w:r w:rsidR="00A50F4C">
        <w:t> ;</w:t>
      </w:r>
    </w:p>
    <w:p w:rsidR="00E11C6E" w:rsidRPr="00E11C6E" w:rsidRDefault="00E11C6E" w:rsidP="00E11C6E">
      <w:pPr>
        <w:pStyle w:val="Bullet1G"/>
        <w:numPr>
          <w:ilvl w:val="0"/>
          <w:numId w:val="14"/>
        </w:numPr>
        <w:kinsoku/>
        <w:overflowPunct/>
        <w:autoSpaceDE/>
        <w:autoSpaceDN/>
        <w:adjustRightInd/>
        <w:snapToGrid/>
      </w:pPr>
      <w:r w:rsidRPr="00E11C6E">
        <w:t>Il pourrait faire apparaître la nécessité de modifications corrélatives qui pourraient être passées inaperçues lors d’un débat en plénière</w:t>
      </w:r>
      <w:r w:rsidR="00A50F4C">
        <w:t> ;</w:t>
      </w:r>
    </w:p>
    <w:p w:rsidR="00E11C6E" w:rsidRPr="00E11C6E" w:rsidRDefault="00E11C6E" w:rsidP="00A50F4C">
      <w:pPr>
        <w:pStyle w:val="Bullet1G"/>
        <w:numPr>
          <w:ilvl w:val="0"/>
          <w:numId w:val="14"/>
        </w:numPr>
        <w:kinsoku/>
        <w:overflowPunct/>
        <w:autoSpaceDE/>
        <w:autoSpaceDN/>
        <w:adjustRightInd/>
        <w:snapToGrid/>
      </w:pPr>
      <w:r w:rsidRPr="00E11C6E">
        <w:t>Il pourrait permettre au fil du temps de constater qu’il y a des arguments solides pour justifier un examen rédactionnel complet d’un chapitre ou d’un sujet</w:t>
      </w:r>
      <w:r w:rsidR="00A50F4C">
        <w:t>,</w:t>
      </w:r>
      <w:r w:rsidRPr="00E11C6E">
        <w:t xml:space="preserve"> et enfin</w:t>
      </w:r>
      <w:r w:rsidR="00A50F4C">
        <w:t> ;</w:t>
      </w:r>
    </w:p>
    <w:p w:rsidR="00E11C6E" w:rsidRPr="00E11C6E" w:rsidRDefault="00E11C6E" w:rsidP="00E11C6E">
      <w:pPr>
        <w:pStyle w:val="Bullet1G"/>
        <w:numPr>
          <w:ilvl w:val="0"/>
          <w:numId w:val="14"/>
        </w:numPr>
        <w:kinsoku/>
        <w:overflowPunct/>
        <w:autoSpaceDE/>
        <w:autoSpaceDN/>
        <w:adjustRightInd/>
        <w:snapToGrid/>
      </w:pPr>
      <w:r w:rsidRPr="00E11C6E">
        <w:t>Il pourrait inciter à d’autres modifications d’ordre rédactionnel, que les Parties contractantes pourraient actuellement juger trop peu importantes pour en discuter en plénière</w:t>
      </w:r>
      <w:r w:rsidR="00A50F4C">
        <w:t>.</w:t>
      </w:r>
    </w:p>
    <w:p w:rsidR="00E11C6E" w:rsidRPr="00A50F4C" w:rsidRDefault="00E11C6E" w:rsidP="006F33CE">
      <w:pPr>
        <w:pStyle w:val="ParNoG"/>
        <w:tabs>
          <w:tab w:val="clear" w:pos="1701"/>
        </w:tabs>
        <w:rPr>
          <w:spacing w:val="-2"/>
        </w:rPr>
      </w:pPr>
      <w:r w:rsidRPr="00A50F4C">
        <w:rPr>
          <w:spacing w:val="-2"/>
        </w:rPr>
        <w:t xml:space="preserve">En outre, en renonçant à discuter de ces propositions en plénière, il pourrait être possible de raccourcir les séances plénières, avec des gains économiques potentiellement non négligeables à la fois pour l’Organisation des Nations Unies, et les </w:t>
      </w:r>
      <w:r w:rsidR="00156DC1" w:rsidRPr="00A50F4C">
        <w:rPr>
          <w:spacing w:val="-2"/>
        </w:rPr>
        <w:t xml:space="preserve">Parties </w:t>
      </w:r>
      <w:r w:rsidRPr="00A50F4C">
        <w:rPr>
          <w:spacing w:val="-2"/>
        </w:rPr>
        <w:t>contractantes.</w:t>
      </w:r>
    </w:p>
    <w:p w:rsidR="00E11C6E" w:rsidRPr="00E11C6E" w:rsidRDefault="00E11C6E" w:rsidP="00E11C6E">
      <w:pPr>
        <w:pStyle w:val="HChG"/>
      </w:pPr>
      <w:r w:rsidRPr="00E11C6E">
        <w:tab/>
      </w:r>
      <w:r w:rsidRPr="00E11C6E">
        <w:tab/>
        <w:t>Questions à discuter</w:t>
      </w:r>
    </w:p>
    <w:p w:rsidR="00E11C6E" w:rsidRPr="00E11C6E" w:rsidRDefault="00E11C6E" w:rsidP="006F33CE">
      <w:pPr>
        <w:pStyle w:val="ParNoG"/>
        <w:tabs>
          <w:tab w:val="clear" w:pos="1701"/>
        </w:tabs>
      </w:pPr>
      <w:r w:rsidRPr="00E11C6E">
        <w:t>Afin de déterminer la marche à suivre, nous souhaitons connaître les vues des parties intéressées sur cette idée et nous proposons une liste questions pour établir une base de discussion.</w:t>
      </w:r>
    </w:p>
    <w:p w:rsidR="00E11C6E" w:rsidRPr="00E11C6E" w:rsidRDefault="00E11C6E" w:rsidP="00E11C6E">
      <w:pPr>
        <w:pStyle w:val="Bullet1G"/>
        <w:numPr>
          <w:ilvl w:val="0"/>
          <w:numId w:val="14"/>
        </w:numPr>
        <w:kinsoku/>
        <w:overflowPunct/>
        <w:autoSpaceDE/>
        <w:autoSpaceDN/>
        <w:adjustRightInd/>
        <w:snapToGrid/>
      </w:pPr>
      <w:r w:rsidRPr="00E11C6E">
        <w:t>Parmi les groupes ou échelons ayant à discuter de la réglementation sur les marchandises dangereuses, lequel serait à votre avis le plus approprié pour accueillir ce groupe de travail</w:t>
      </w:r>
      <w:r w:rsidR="00A50F4C">
        <w:t> ?</w:t>
      </w:r>
    </w:p>
    <w:p w:rsidR="00E11C6E" w:rsidRPr="00E11C6E" w:rsidRDefault="00E11C6E" w:rsidP="00E11C6E">
      <w:pPr>
        <w:pStyle w:val="Bullet1G"/>
        <w:numPr>
          <w:ilvl w:val="0"/>
          <w:numId w:val="14"/>
        </w:numPr>
        <w:kinsoku/>
        <w:overflowPunct/>
        <w:autoSpaceDE/>
        <w:autoSpaceDN/>
        <w:adjustRightInd/>
        <w:snapToGrid/>
      </w:pPr>
      <w:r w:rsidRPr="00E11C6E">
        <w:t>Quelles sont vos vues sur le fonctionnement d’un tel groupe</w:t>
      </w:r>
      <w:r w:rsidR="00A50F4C">
        <w:t xml:space="preserve"> ? </w:t>
      </w:r>
      <w:r w:rsidRPr="00E11C6E">
        <w:t>Devrait-il être pris en charge par le secrétariat ou par une Partie contractante</w:t>
      </w:r>
      <w:r w:rsidR="00A50F4C">
        <w:t> ?</w:t>
      </w:r>
    </w:p>
    <w:p w:rsidR="00E11C6E" w:rsidRPr="00E11C6E" w:rsidRDefault="00A50F4C" w:rsidP="00A50F4C">
      <w:pPr>
        <w:pStyle w:val="Bullet1G"/>
        <w:numPr>
          <w:ilvl w:val="0"/>
          <w:numId w:val="14"/>
        </w:numPr>
        <w:kinsoku/>
        <w:overflowPunct/>
        <w:autoSpaceDE/>
        <w:autoSpaceDN/>
        <w:adjustRightInd/>
        <w:snapToGrid/>
      </w:pPr>
      <w:r w:rsidRPr="00E11C6E">
        <w:t>Êtes-vous</w:t>
      </w:r>
      <w:r w:rsidR="00E11C6E" w:rsidRPr="00E11C6E">
        <w:t xml:space="preserve"> d’accord pour estimer que la liste des types de questions que le groupe pourrait traiter, proposée au paragraphe</w:t>
      </w:r>
      <w:r>
        <w:t> </w:t>
      </w:r>
      <w:r w:rsidR="00E11C6E" w:rsidRPr="00E11C6E">
        <w:t xml:space="preserve">3, est </w:t>
      </w:r>
      <w:r>
        <w:t>judicieuse ?</w:t>
      </w:r>
      <w:r w:rsidR="00E11C6E" w:rsidRPr="00E11C6E">
        <w:t xml:space="preserve"> Dans le cas contraire, que proposez-vous comme liste appropriée</w:t>
      </w:r>
      <w:r>
        <w:t> ?</w:t>
      </w:r>
    </w:p>
    <w:p w:rsidR="00E11C6E" w:rsidRPr="00E11C6E" w:rsidRDefault="00E11C6E" w:rsidP="00E11C6E">
      <w:pPr>
        <w:pStyle w:val="Bullet1G"/>
        <w:numPr>
          <w:ilvl w:val="0"/>
          <w:numId w:val="14"/>
        </w:numPr>
        <w:kinsoku/>
        <w:overflowPunct/>
        <w:autoSpaceDE/>
        <w:autoSpaceDN/>
        <w:adjustRightInd/>
        <w:snapToGrid/>
      </w:pPr>
      <w:r w:rsidRPr="00E11C6E">
        <w:t>Pensez-vous que le mandat de ce groupe devrait être étendu pour le charger d’ouvrir la voie en faisant un nettoyage complet des règlements pour identifier les erreurs, les duplications et autres erreurs de rédaction</w:t>
      </w:r>
      <w:r w:rsidR="00A50F4C">
        <w:t> ?</w:t>
      </w:r>
    </w:p>
    <w:p w:rsidR="00E11C6E" w:rsidRPr="00A50F4C" w:rsidRDefault="00E11C6E" w:rsidP="00E11C6E">
      <w:pPr>
        <w:pStyle w:val="Bullet1G"/>
        <w:rPr>
          <w:spacing w:val="-2"/>
        </w:rPr>
      </w:pPr>
      <w:r w:rsidRPr="00A50F4C">
        <w:rPr>
          <w:spacing w:val="-2"/>
        </w:rPr>
        <w:t>Qui seraient les parties intéressées souhaitant prendre part aux travaux de ce groupe</w:t>
      </w:r>
      <w:r w:rsidR="00A50F4C" w:rsidRPr="00A50F4C">
        <w:rPr>
          <w:spacing w:val="-2"/>
        </w:rPr>
        <w:t> ?</w:t>
      </w:r>
    </w:p>
    <w:p w:rsidR="00E11C6E" w:rsidRPr="00E11C6E" w:rsidRDefault="00E11C6E" w:rsidP="00E11C6E">
      <w:pPr>
        <w:pStyle w:val="SingleTxtG"/>
        <w:spacing w:before="240" w:after="0"/>
        <w:jc w:val="center"/>
        <w:rPr>
          <w:u w:val="single"/>
        </w:rPr>
      </w:pPr>
      <w:r w:rsidRPr="00E11C6E">
        <w:rPr>
          <w:u w:val="single"/>
        </w:rPr>
        <w:tab/>
      </w:r>
      <w:r w:rsidRPr="00E11C6E">
        <w:rPr>
          <w:u w:val="single"/>
        </w:rPr>
        <w:tab/>
      </w:r>
      <w:r w:rsidRPr="00E11C6E">
        <w:rPr>
          <w:u w:val="single"/>
        </w:rPr>
        <w:tab/>
      </w:r>
    </w:p>
    <w:sectPr w:rsidR="00E11C6E" w:rsidRPr="00E11C6E" w:rsidSect="00E11C6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6C" w:rsidRDefault="0058306C" w:rsidP="00F95C08">
      <w:pPr>
        <w:spacing w:line="240" w:lineRule="auto"/>
      </w:pPr>
    </w:p>
  </w:endnote>
  <w:endnote w:type="continuationSeparator" w:id="0">
    <w:p w:rsidR="0058306C" w:rsidRPr="00AC3823" w:rsidRDefault="0058306C" w:rsidP="00AC3823">
      <w:pPr>
        <w:pStyle w:val="Footer"/>
      </w:pPr>
    </w:p>
  </w:endnote>
  <w:endnote w:type="continuationNotice" w:id="1">
    <w:p w:rsidR="0058306C" w:rsidRDefault="005830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6E" w:rsidRPr="00E11C6E" w:rsidRDefault="00E11C6E" w:rsidP="00E11C6E">
    <w:pPr>
      <w:pStyle w:val="Footer"/>
      <w:tabs>
        <w:tab w:val="right" w:pos="9638"/>
      </w:tabs>
    </w:pPr>
    <w:r w:rsidRPr="00E11C6E">
      <w:rPr>
        <w:b/>
        <w:sz w:val="18"/>
      </w:rPr>
      <w:fldChar w:fldCharType="begin"/>
    </w:r>
    <w:r w:rsidRPr="00E11C6E">
      <w:rPr>
        <w:b/>
        <w:sz w:val="18"/>
      </w:rPr>
      <w:instrText xml:space="preserve"> PAGE  \* MERGEFORMAT </w:instrText>
    </w:r>
    <w:r w:rsidRPr="00E11C6E">
      <w:rPr>
        <w:b/>
        <w:sz w:val="18"/>
      </w:rPr>
      <w:fldChar w:fldCharType="separate"/>
    </w:r>
    <w:r w:rsidR="0034038B">
      <w:rPr>
        <w:b/>
        <w:noProof/>
        <w:sz w:val="18"/>
      </w:rPr>
      <w:t>4</w:t>
    </w:r>
    <w:r w:rsidRPr="00E11C6E">
      <w:rPr>
        <w:b/>
        <w:sz w:val="18"/>
      </w:rPr>
      <w:fldChar w:fldCharType="end"/>
    </w:r>
    <w:r>
      <w:rPr>
        <w:b/>
        <w:sz w:val="18"/>
      </w:rPr>
      <w:tab/>
    </w:r>
    <w:r>
      <w:t>GE.16-11722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6E" w:rsidRPr="00E11C6E" w:rsidRDefault="00E11C6E" w:rsidP="00E11C6E">
    <w:pPr>
      <w:pStyle w:val="Footer"/>
      <w:tabs>
        <w:tab w:val="right" w:pos="9638"/>
      </w:tabs>
      <w:rPr>
        <w:b/>
        <w:sz w:val="18"/>
      </w:rPr>
    </w:pPr>
    <w:r>
      <w:t>GE.16-11722</w:t>
    </w:r>
    <w:r>
      <w:tab/>
    </w:r>
    <w:r w:rsidRPr="00E11C6E">
      <w:rPr>
        <w:b/>
        <w:sz w:val="18"/>
      </w:rPr>
      <w:fldChar w:fldCharType="begin"/>
    </w:r>
    <w:r w:rsidRPr="00E11C6E">
      <w:rPr>
        <w:b/>
        <w:sz w:val="18"/>
      </w:rPr>
      <w:instrText xml:space="preserve"> PAGE  \* MERGEFORMAT </w:instrText>
    </w:r>
    <w:r w:rsidRPr="00E11C6E">
      <w:rPr>
        <w:b/>
        <w:sz w:val="18"/>
      </w:rPr>
      <w:fldChar w:fldCharType="separate"/>
    </w:r>
    <w:r w:rsidR="0034038B">
      <w:rPr>
        <w:b/>
        <w:noProof/>
        <w:sz w:val="18"/>
      </w:rPr>
      <w:t>3</w:t>
    </w:r>
    <w:r w:rsidRPr="00E11C6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E11C6E" w:rsidRDefault="00E11C6E" w:rsidP="00E11C6E">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E785917" wp14:editId="09FE8BF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16-11722  (F)</w:t>
    </w:r>
    <w:r w:rsidR="006F33CE">
      <w:rPr>
        <w:sz w:val="20"/>
      </w:rPr>
      <w:t xml:space="preserve">    280716    290716</w:t>
    </w:r>
    <w:r>
      <w:rPr>
        <w:sz w:val="20"/>
      </w:rPr>
      <w:br/>
    </w:r>
    <w:r w:rsidRPr="00E11C6E">
      <w:rPr>
        <w:rFonts w:ascii="C39T30Lfz" w:hAnsi="C39T30Lfz"/>
        <w:sz w:val="56"/>
      </w:rPr>
      <w:t></w:t>
    </w:r>
    <w:r w:rsidRPr="00E11C6E">
      <w:rPr>
        <w:rFonts w:ascii="C39T30Lfz" w:hAnsi="C39T30Lfz"/>
        <w:sz w:val="56"/>
      </w:rPr>
      <w:t></w:t>
    </w:r>
    <w:r w:rsidRPr="00E11C6E">
      <w:rPr>
        <w:rFonts w:ascii="C39T30Lfz" w:hAnsi="C39T30Lfz"/>
        <w:sz w:val="56"/>
      </w:rPr>
      <w:t></w:t>
    </w:r>
    <w:r w:rsidRPr="00E11C6E">
      <w:rPr>
        <w:rFonts w:ascii="C39T30Lfz" w:hAnsi="C39T30Lfz"/>
        <w:sz w:val="56"/>
      </w:rPr>
      <w:t></w:t>
    </w:r>
    <w:r w:rsidRPr="00E11C6E">
      <w:rPr>
        <w:rFonts w:ascii="C39T30Lfz" w:hAnsi="C39T30Lfz"/>
        <w:sz w:val="56"/>
      </w:rPr>
      <w:t></w:t>
    </w:r>
    <w:r w:rsidRPr="00E11C6E">
      <w:rPr>
        <w:rFonts w:ascii="C39T30Lfz" w:hAnsi="C39T30Lfz"/>
        <w:sz w:val="56"/>
      </w:rPr>
      <w:t></w:t>
    </w:r>
    <w:r w:rsidRPr="00E11C6E">
      <w:rPr>
        <w:rFonts w:ascii="C39T30Lfz" w:hAnsi="C39T30Lfz"/>
        <w:sz w:val="56"/>
      </w:rPr>
      <w:t></w:t>
    </w:r>
    <w:r w:rsidRPr="00E11C6E">
      <w:rPr>
        <w:rFonts w:ascii="C39T30Lfz" w:hAnsi="C39T30Lfz"/>
        <w:sz w:val="56"/>
      </w:rPr>
      <w:t></w:t>
    </w:r>
    <w:r w:rsidRPr="00E11C6E">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6/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6/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6C" w:rsidRPr="00AC3823" w:rsidRDefault="0058306C" w:rsidP="00AC3823">
      <w:pPr>
        <w:pStyle w:val="Footer"/>
        <w:tabs>
          <w:tab w:val="right" w:pos="2155"/>
        </w:tabs>
        <w:spacing w:after="80" w:line="240" w:lineRule="atLeast"/>
        <w:ind w:left="680"/>
        <w:rPr>
          <w:u w:val="single"/>
        </w:rPr>
      </w:pPr>
      <w:r>
        <w:rPr>
          <w:u w:val="single"/>
        </w:rPr>
        <w:tab/>
      </w:r>
    </w:p>
  </w:footnote>
  <w:footnote w:type="continuationSeparator" w:id="0">
    <w:p w:rsidR="0058306C" w:rsidRPr="00AC3823" w:rsidRDefault="0058306C" w:rsidP="00AC3823">
      <w:pPr>
        <w:pStyle w:val="Footer"/>
        <w:tabs>
          <w:tab w:val="right" w:pos="2155"/>
        </w:tabs>
        <w:spacing w:after="80" w:line="240" w:lineRule="atLeast"/>
        <w:ind w:left="680"/>
        <w:rPr>
          <w:u w:val="single"/>
        </w:rPr>
      </w:pPr>
      <w:r>
        <w:rPr>
          <w:u w:val="single"/>
        </w:rPr>
        <w:tab/>
      </w:r>
    </w:p>
  </w:footnote>
  <w:footnote w:type="continuationNotice" w:id="1">
    <w:p w:rsidR="0058306C" w:rsidRPr="00AC3823" w:rsidRDefault="0058306C">
      <w:pPr>
        <w:spacing w:line="240" w:lineRule="auto"/>
        <w:rPr>
          <w:sz w:val="2"/>
          <w:szCs w:val="2"/>
        </w:rPr>
      </w:pPr>
    </w:p>
  </w:footnote>
  <w:footnote w:id="2">
    <w:p w:rsidR="00E11C6E" w:rsidRPr="006E5117" w:rsidRDefault="00E11C6E" w:rsidP="00E11C6E">
      <w:pPr>
        <w:pStyle w:val="FootnoteText"/>
      </w:pPr>
      <w:r>
        <w:tab/>
      </w:r>
      <w:r w:rsidRPr="002C3322">
        <w:rPr>
          <w:rStyle w:val="FootnoteReference"/>
        </w:rPr>
        <w:footnoteRef/>
      </w:r>
      <w:r>
        <w:tab/>
      </w:r>
      <w:r w:rsidRPr="00001A17">
        <w:t>Conformément au programme de travail du Comité des transports intérieurs pour 2016-2017 (ECE/TRANS/2016/28/Add.1 (9.</w:t>
      </w:r>
      <w:r>
        <w:t>2)).</w:t>
      </w:r>
    </w:p>
  </w:footnote>
  <w:footnote w:id="3">
    <w:p w:rsidR="00E11C6E" w:rsidRPr="006E5117" w:rsidRDefault="00E11C6E" w:rsidP="00E11C6E">
      <w:pPr>
        <w:pStyle w:val="FootnoteText"/>
        <w:rPr>
          <w:lang w:val="en-US"/>
        </w:rPr>
      </w:pPr>
      <w:r>
        <w:tab/>
      </w:r>
      <w:r w:rsidRPr="002C3322">
        <w:rPr>
          <w:rStyle w:val="FootnoteReference"/>
        </w:rPr>
        <w:footnoteRef/>
      </w:r>
      <w:r>
        <w:tab/>
      </w:r>
      <w:r w:rsidRPr="001C108A">
        <w:t>Diffusé par l</w:t>
      </w:r>
      <w:r>
        <w:t>’</w:t>
      </w:r>
      <w:r w:rsidRPr="001C108A">
        <w:t>Organisation intergouvernementale pour les transports internationaux ferroviaires (OTIF) sous la cote OTIF/RID/RC/2016</w:t>
      </w:r>
      <w:r w:rsidRPr="00561474">
        <w:t>/</w:t>
      </w:r>
      <w:r>
        <w:t>35</w:t>
      </w:r>
      <w:r w:rsidRPr="0056147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6E" w:rsidRPr="00E11C6E" w:rsidRDefault="00E11C6E">
    <w:pPr>
      <w:pStyle w:val="Header"/>
    </w:pPr>
    <w:r>
      <w:t>ECE/TRANS/WP.15/AC.1/2016/35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6E" w:rsidRPr="00E11C6E" w:rsidRDefault="00E11C6E" w:rsidP="00E11C6E">
    <w:pPr>
      <w:pStyle w:val="Header"/>
      <w:jc w:val="right"/>
    </w:pPr>
    <w:r>
      <w:t>ECE/TRANS/WP.15/AC.1/2016/35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9792646"/>
    <w:multiLevelType w:val="hybridMultilevel"/>
    <w:tmpl w:val="5358C802"/>
    <w:lvl w:ilvl="0" w:tplc="452032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6C"/>
    <w:rsid w:val="00017F94"/>
    <w:rsid w:val="00023842"/>
    <w:rsid w:val="000334F9"/>
    <w:rsid w:val="0007796D"/>
    <w:rsid w:val="000B7790"/>
    <w:rsid w:val="00111F2F"/>
    <w:rsid w:val="0014365E"/>
    <w:rsid w:val="00143C66"/>
    <w:rsid w:val="00156DC1"/>
    <w:rsid w:val="00176178"/>
    <w:rsid w:val="001F525A"/>
    <w:rsid w:val="00223272"/>
    <w:rsid w:val="0024779E"/>
    <w:rsid w:val="00257168"/>
    <w:rsid w:val="002744B8"/>
    <w:rsid w:val="002832AC"/>
    <w:rsid w:val="002D7C93"/>
    <w:rsid w:val="00305801"/>
    <w:rsid w:val="0034038B"/>
    <w:rsid w:val="00354808"/>
    <w:rsid w:val="003916DE"/>
    <w:rsid w:val="00441C3B"/>
    <w:rsid w:val="00446FE5"/>
    <w:rsid w:val="00452396"/>
    <w:rsid w:val="004837D8"/>
    <w:rsid w:val="004E468C"/>
    <w:rsid w:val="005505B7"/>
    <w:rsid w:val="00573BE5"/>
    <w:rsid w:val="0058306C"/>
    <w:rsid w:val="00586ED3"/>
    <w:rsid w:val="00596AA9"/>
    <w:rsid w:val="006F33CE"/>
    <w:rsid w:val="0071601D"/>
    <w:rsid w:val="007A62E6"/>
    <w:rsid w:val="007F20FA"/>
    <w:rsid w:val="0080684C"/>
    <w:rsid w:val="00871C75"/>
    <w:rsid w:val="008776DC"/>
    <w:rsid w:val="009705C8"/>
    <w:rsid w:val="00971428"/>
    <w:rsid w:val="0099701C"/>
    <w:rsid w:val="009C1CF4"/>
    <w:rsid w:val="009F6B74"/>
    <w:rsid w:val="00A30353"/>
    <w:rsid w:val="00A50F4C"/>
    <w:rsid w:val="00AC3823"/>
    <w:rsid w:val="00AE323C"/>
    <w:rsid w:val="00AF0CB5"/>
    <w:rsid w:val="00B00181"/>
    <w:rsid w:val="00B00B0D"/>
    <w:rsid w:val="00B765F7"/>
    <w:rsid w:val="00BA0CA9"/>
    <w:rsid w:val="00C02897"/>
    <w:rsid w:val="00C06C1E"/>
    <w:rsid w:val="00D3439C"/>
    <w:rsid w:val="00DB1831"/>
    <w:rsid w:val="00DD3BFD"/>
    <w:rsid w:val="00DF6678"/>
    <w:rsid w:val="00E11C6E"/>
    <w:rsid w:val="00E24DE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E11C6E"/>
    <w:rPr>
      <w:rFonts w:ascii="Times New Roman" w:hAnsi="Times New Roman" w:cs="Times New Roman"/>
      <w:b/>
      <w:sz w:val="24"/>
      <w:szCs w:val="20"/>
      <w:lang w:eastAsia="en-US"/>
    </w:rPr>
  </w:style>
  <w:style w:type="character" w:customStyle="1" w:styleId="HChGChar">
    <w:name w:val="_ H _Ch_G Char"/>
    <w:link w:val="HChG"/>
    <w:rsid w:val="00E11C6E"/>
    <w:rPr>
      <w:rFonts w:ascii="Times New Roman" w:hAnsi="Times New Roman" w:cs="Times New Roman"/>
      <w:b/>
      <w:sz w:val="28"/>
      <w:szCs w:val="20"/>
      <w:lang w:eastAsia="en-US"/>
    </w:rPr>
  </w:style>
  <w:style w:type="character" w:customStyle="1" w:styleId="SingleTxtGChar">
    <w:name w:val="_ Single Txt_G Char"/>
    <w:link w:val="SingleTxtG"/>
    <w:qFormat/>
    <w:rsid w:val="00E11C6E"/>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E11C6E"/>
    <w:rPr>
      <w:rFonts w:ascii="Times New Roman" w:hAnsi="Times New Roman" w:cs="Times New Roman"/>
      <w:b/>
      <w:sz w:val="24"/>
      <w:szCs w:val="20"/>
      <w:lang w:eastAsia="en-US"/>
    </w:rPr>
  </w:style>
  <w:style w:type="character" w:customStyle="1" w:styleId="HChGChar">
    <w:name w:val="_ H _Ch_G Char"/>
    <w:link w:val="HChG"/>
    <w:rsid w:val="00E11C6E"/>
    <w:rPr>
      <w:rFonts w:ascii="Times New Roman" w:hAnsi="Times New Roman" w:cs="Times New Roman"/>
      <w:b/>
      <w:sz w:val="28"/>
      <w:szCs w:val="20"/>
      <w:lang w:eastAsia="en-US"/>
    </w:rPr>
  </w:style>
  <w:style w:type="character" w:customStyle="1" w:styleId="SingleTxtGChar">
    <w:name w:val="_ Single Txt_G Char"/>
    <w:link w:val="SingleTxtG"/>
    <w:qFormat/>
    <w:rsid w:val="00E11C6E"/>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6639</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ECE/TRANS/WP.15/AC.1/2016/35</vt:lpstr>
      <vt:lpstr>ECE/TRANS/WP.15/AC.1/2016/35</vt:lpstr>
    </vt:vector>
  </TitlesOfParts>
  <Company>DCM</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ECE/TRANS/WP.15/AC.1/2016/35</dc:title>
  <dc:creator>Morin</dc:creator>
  <cp:lastModifiedBy>barrio-champeau</cp:lastModifiedBy>
  <cp:revision>2</cp:revision>
  <cp:lastPrinted>2016-07-29T10:02:00Z</cp:lastPrinted>
  <dcterms:created xsi:type="dcterms:W3CDTF">2016-08-03T09:05:00Z</dcterms:created>
  <dcterms:modified xsi:type="dcterms:W3CDTF">2016-08-03T09:05:00Z</dcterms:modified>
</cp:coreProperties>
</file>