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86B3B"/>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86B3B" w:rsidP="00286B3B">
            <w:pPr>
              <w:jc w:val="right"/>
            </w:pPr>
            <w:r w:rsidRPr="00286B3B">
              <w:rPr>
                <w:sz w:val="40"/>
              </w:rPr>
              <w:t>ECE</w:t>
            </w:r>
            <w:r>
              <w:t>/TRANS/WP.15/AC.1/2016/31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86B3B" w:rsidP="00892A2F">
            <w:pPr>
              <w:spacing w:before="240"/>
            </w:pPr>
            <w:proofErr w:type="spellStart"/>
            <w:r>
              <w:t>Distr</w:t>
            </w:r>
            <w:proofErr w:type="spellEnd"/>
            <w:r>
              <w:t>. générale</w:t>
            </w:r>
          </w:p>
          <w:p w:rsidR="00286B3B" w:rsidRDefault="00286B3B" w:rsidP="00286B3B">
            <w:pPr>
              <w:spacing w:line="240" w:lineRule="exact"/>
            </w:pPr>
            <w:r>
              <w:t>29 juin 2016</w:t>
            </w:r>
          </w:p>
          <w:p w:rsidR="00286B3B" w:rsidRDefault="00286B3B" w:rsidP="00286B3B">
            <w:pPr>
              <w:spacing w:line="240" w:lineRule="exact"/>
            </w:pPr>
            <w:r>
              <w:t>Français</w:t>
            </w:r>
          </w:p>
          <w:p w:rsidR="00286B3B" w:rsidRPr="00DB58B5" w:rsidRDefault="00286B3B" w:rsidP="00286B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8778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86B3B" w:rsidRPr="009E01B8" w:rsidRDefault="00286B3B" w:rsidP="00AF0CB5">
      <w:pPr>
        <w:spacing w:before="120"/>
        <w:rPr>
          <w:b/>
          <w:sz w:val="24"/>
          <w:szCs w:val="24"/>
        </w:rPr>
      </w:pPr>
      <w:r w:rsidRPr="009E01B8">
        <w:rPr>
          <w:b/>
          <w:sz w:val="24"/>
          <w:szCs w:val="24"/>
        </w:rPr>
        <w:t>Groupe de travail des transports de marchandises dangereuses</w:t>
      </w:r>
    </w:p>
    <w:p w:rsidR="00286B3B" w:rsidRPr="00926E87" w:rsidRDefault="00286B3B" w:rsidP="00AF0CB5">
      <w:pPr>
        <w:spacing w:before="120"/>
        <w:rPr>
          <w:b/>
        </w:rPr>
      </w:pPr>
      <w:r w:rsidRPr="00926E87">
        <w:rPr>
          <w:b/>
        </w:rPr>
        <w:t>Réunion commune de la Commission d</w:t>
      </w:r>
      <w:r w:rsidR="00787782">
        <w:rPr>
          <w:b/>
        </w:rPr>
        <w:t>’</w:t>
      </w:r>
      <w:r w:rsidRPr="00926E87">
        <w:rPr>
          <w:b/>
        </w:rPr>
        <w:t>experts du RID</w:t>
      </w:r>
      <w:r>
        <w:rPr>
          <w:b/>
        </w:rPr>
        <w:t xml:space="preserve"> </w:t>
      </w:r>
      <w:r w:rsidRPr="00926E87">
        <w:rPr>
          <w:b/>
        </w:rPr>
        <w:t>et</w:t>
      </w:r>
      <w:bookmarkStart w:id="0" w:name="_GoBack"/>
      <w:bookmarkEnd w:id="0"/>
      <w:r>
        <w:rPr>
          <w:b/>
        </w:rPr>
        <w:br/>
      </w:r>
      <w:r w:rsidRPr="00926E87">
        <w:rPr>
          <w:b/>
        </w:rPr>
        <w:t>du Groupe de travail</w:t>
      </w:r>
      <w:r>
        <w:rPr>
          <w:b/>
        </w:rPr>
        <w:t xml:space="preserve"> </w:t>
      </w:r>
      <w:r w:rsidRPr="00926E87">
        <w:rPr>
          <w:b/>
        </w:rPr>
        <w:t>des transports de marchandises dangereuses</w:t>
      </w:r>
    </w:p>
    <w:p w:rsidR="00286B3B" w:rsidRPr="00715526" w:rsidRDefault="00286B3B" w:rsidP="00286B3B">
      <w:pPr>
        <w:rPr>
          <w:lang w:val="fr-FR"/>
        </w:rPr>
      </w:pPr>
      <w:r w:rsidRPr="00B94979">
        <w:rPr>
          <w:lang w:val="fr-FR"/>
        </w:rPr>
        <w:t>Genève, 19</w:t>
      </w:r>
      <w:r w:rsidR="00815C38">
        <w:rPr>
          <w:lang w:val="fr-FR"/>
        </w:rPr>
        <w:t>-</w:t>
      </w:r>
      <w:r w:rsidRPr="00B94979">
        <w:rPr>
          <w:lang w:val="fr-FR"/>
        </w:rPr>
        <w:t>23</w:t>
      </w:r>
      <w:r w:rsidR="00815C38">
        <w:rPr>
          <w:lang w:val="fr-FR"/>
        </w:rPr>
        <w:t> </w:t>
      </w:r>
      <w:r w:rsidRPr="00B94979">
        <w:rPr>
          <w:lang w:val="fr-FR"/>
        </w:rPr>
        <w:t>septembre 2016</w:t>
      </w:r>
    </w:p>
    <w:p w:rsidR="00286B3B" w:rsidRPr="00715526" w:rsidRDefault="00286B3B" w:rsidP="00286B3B">
      <w:pPr>
        <w:rPr>
          <w:lang w:val="fr-FR"/>
        </w:rPr>
      </w:pPr>
      <w:r w:rsidRPr="00B94979">
        <w:rPr>
          <w:lang w:val="fr-FR"/>
        </w:rPr>
        <w:t>Point 2 de l</w:t>
      </w:r>
      <w:r w:rsidR="00787782">
        <w:rPr>
          <w:lang w:val="fr-FR"/>
        </w:rPr>
        <w:t>’</w:t>
      </w:r>
      <w:r w:rsidRPr="00B94979">
        <w:rPr>
          <w:lang w:val="fr-FR"/>
        </w:rPr>
        <w:t>ordre du jour provisoire</w:t>
      </w:r>
    </w:p>
    <w:p w:rsidR="00286B3B" w:rsidRPr="00715526" w:rsidRDefault="00286B3B" w:rsidP="00286B3B">
      <w:pPr>
        <w:rPr>
          <w:b/>
          <w:lang w:val="fr-FR"/>
        </w:rPr>
      </w:pPr>
      <w:r w:rsidRPr="009C46DB">
        <w:rPr>
          <w:b/>
          <w:lang w:val="fr-FR"/>
        </w:rPr>
        <w:t>Citernes</w:t>
      </w:r>
    </w:p>
    <w:p w:rsidR="00286B3B" w:rsidRPr="00115C0D" w:rsidRDefault="00286B3B" w:rsidP="00C84F74">
      <w:pPr>
        <w:pStyle w:val="HMG"/>
        <w:spacing w:line="380" w:lineRule="exact"/>
        <w:rPr>
          <w:lang w:val="fr-FR"/>
        </w:rPr>
      </w:pPr>
      <w:r w:rsidRPr="00B94979">
        <w:rPr>
          <w:lang w:val="fr-FR"/>
        </w:rPr>
        <w:tab/>
      </w:r>
      <w:r w:rsidRPr="00B94979">
        <w:rPr>
          <w:lang w:val="fr-FR"/>
        </w:rPr>
        <w:tab/>
      </w:r>
      <w:r w:rsidRPr="009A0A3C">
        <w:rPr>
          <w:spacing w:val="-6"/>
          <w:lang w:val="fr-FR"/>
        </w:rPr>
        <w:t>Rapport du groupe de travail informel des citernes</w:t>
      </w:r>
      <w:r w:rsidRPr="00B94979">
        <w:rPr>
          <w:lang w:val="fr-FR"/>
        </w:rPr>
        <w:t xml:space="preserve"> </w:t>
      </w:r>
      <w:r>
        <w:rPr>
          <w:lang w:val="fr-FR"/>
        </w:rPr>
        <w:t>garnies</w:t>
      </w:r>
      <w:r w:rsidRPr="00B94979">
        <w:rPr>
          <w:lang w:val="fr-FR"/>
        </w:rPr>
        <w:t xml:space="preserve"> d</w:t>
      </w:r>
      <w:r w:rsidR="00787782">
        <w:rPr>
          <w:lang w:val="fr-FR"/>
        </w:rPr>
        <w:t>’</w:t>
      </w:r>
      <w:r w:rsidRPr="00B94979">
        <w:rPr>
          <w:lang w:val="fr-FR"/>
        </w:rPr>
        <w:t>un revêtement de protectio</w:t>
      </w:r>
      <w:r>
        <w:rPr>
          <w:lang w:val="fr-FR"/>
        </w:rPr>
        <w:t xml:space="preserve">n </w:t>
      </w:r>
      <w:r w:rsidRPr="00115C0D">
        <w:rPr>
          <w:lang w:val="fr-FR"/>
        </w:rPr>
        <w:t xml:space="preserve">collé </w:t>
      </w:r>
      <w:r w:rsidR="00C84F74">
        <w:rPr>
          <w:lang w:val="fr-FR"/>
        </w:rPr>
        <w:br/>
      </w:r>
      <w:r w:rsidRPr="00115C0D">
        <w:rPr>
          <w:lang w:val="fr-FR"/>
        </w:rPr>
        <w:t>ou appliqué par vaporisation</w:t>
      </w:r>
    </w:p>
    <w:p w:rsidR="00286B3B" w:rsidRPr="00B94979" w:rsidRDefault="00286B3B" w:rsidP="00815C38">
      <w:pPr>
        <w:pStyle w:val="HChG"/>
        <w:rPr>
          <w:szCs w:val="18"/>
          <w:lang w:val="en-GB"/>
        </w:rPr>
      </w:pPr>
      <w:r w:rsidRPr="00B94979">
        <w:rPr>
          <w:lang w:val="fr-FR"/>
        </w:rPr>
        <w:tab/>
      </w:r>
      <w:r w:rsidRPr="00B94979">
        <w:rPr>
          <w:lang w:val="fr-FR"/>
        </w:rPr>
        <w:tab/>
        <w:t>Communication du Gouvernement néerlandais</w:t>
      </w:r>
      <w:r w:rsidR="00815C38" w:rsidRPr="00815C38">
        <w:rPr>
          <w:rStyle w:val="Appelnotedebasdep"/>
          <w:b w:val="0"/>
          <w:szCs w:val="18"/>
        </w:rPr>
        <w:footnoteReference w:id="2"/>
      </w:r>
      <w:r w:rsidR="00815C38" w:rsidRPr="00787782">
        <w:rPr>
          <w:b w:val="0"/>
          <w:position w:val="6"/>
          <w:sz w:val="18"/>
          <w:szCs w:val="18"/>
          <w:lang w:val="fr-FR"/>
        </w:rPr>
        <w:t>,</w:t>
      </w:r>
      <w:r w:rsidR="00815C38" w:rsidRPr="00815C38">
        <w:rPr>
          <w:sz w:val="18"/>
          <w:szCs w:val="18"/>
          <w:lang w:val="fr-FR"/>
        </w:rPr>
        <w:t xml:space="preserve"> </w:t>
      </w:r>
      <w:r w:rsidR="00815C38" w:rsidRPr="00815C38">
        <w:rPr>
          <w:rStyle w:val="Appelnotedebasdep"/>
          <w:b w:val="0"/>
          <w:szCs w:val="18"/>
        </w:rPr>
        <w:footnoteReference w:id="3"/>
      </w:r>
    </w:p>
    <w:p w:rsidR="00286B3B" w:rsidRDefault="00815C38" w:rsidP="00286B3B">
      <w:pPr>
        <w:rPr>
          <w:lang w:val="en-GB"/>
        </w:rPr>
      </w:pPr>
      <w:r>
        <w:rPr>
          <w:lang w:val="en-GB"/>
        </w:rPr>
        <w:br w:type="page"/>
      </w:r>
    </w:p>
    <w:tbl>
      <w:tblPr>
        <w:tblStyle w:val="Grilledutableau"/>
        <w:tblW w:w="0" w:type="auto"/>
        <w:jc w:val="center"/>
        <w:tblBorders>
          <w:insideH w:val="none" w:sz="0" w:space="0" w:color="auto"/>
        </w:tblBorders>
        <w:tblLook w:val="05E0"/>
      </w:tblPr>
      <w:tblGrid>
        <w:gridCol w:w="9637"/>
      </w:tblGrid>
      <w:tr w:rsidR="00815C38" w:rsidTr="00216E0F">
        <w:trPr>
          <w:jc w:val="center"/>
        </w:trPr>
        <w:tc>
          <w:tcPr>
            <w:tcW w:w="9637" w:type="dxa"/>
            <w:shd w:val="clear" w:color="auto" w:fill="auto"/>
          </w:tcPr>
          <w:p w:rsidR="00815C38" w:rsidRPr="000001E7" w:rsidRDefault="00815C38" w:rsidP="00216E0F">
            <w:pPr>
              <w:spacing w:before="240" w:after="120"/>
              <w:ind w:left="255"/>
              <w:rPr>
                <w:i/>
                <w:sz w:val="24"/>
              </w:rPr>
            </w:pPr>
            <w:r w:rsidRPr="000001E7">
              <w:rPr>
                <w:i/>
                <w:sz w:val="24"/>
              </w:rPr>
              <w:t>Résumé</w:t>
            </w:r>
          </w:p>
        </w:tc>
      </w:tr>
      <w:tr w:rsidR="00815C38" w:rsidTr="00216E0F">
        <w:trPr>
          <w:jc w:val="center"/>
        </w:trPr>
        <w:tc>
          <w:tcPr>
            <w:tcW w:w="9637" w:type="dxa"/>
            <w:shd w:val="clear" w:color="auto" w:fill="auto"/>
          </w:tcPr>
          <w:p w:rsidR="00815C38" w:rsidRDefault="00815C38" w:rsidP="00C84F74">
            <w:pPr>
              <w:pStyle w:val="SingleTxtG"/>
              <w:ind w:left="2552" w:hanging="2268"/>
            </w:pPr>
            <w:r w:rsidRPr="00815C38">
              <w:rPr>
                <w:b/>
                <w:lang w:val="fr-FR"/>
              </w:rPr>
              <w:t xml:space="preserve">Résumé </w:t>
            </w:r>
            <w:r w:rsidRPr="00815C38">
              <w:rPr>
                <w:b/>
              </w:rPr>
              <w:t>analytique </w:t>
            </w:r>
            <w:r w:rsidRPr="00815C38">
              <w:rPr>
                <w:b/>
                <w:lang w:val="fr-FR"/>
              </w:rPr>
              <w:t>:</w:t>
            </w:r>
            <w:r>
              <w:rPr>
                <w:lang w:val="fr-FR"/>
              </w:rPr>
              <w:tab/>
            </w:r>
            <w:r w:rsidRPr="00B94979">
              <w:rPr>
                <w:lang w:val="fr-FR"/>
              </w:rPr>
              <w:t>Les citernes équipées d</w:t>
            </w:r>
            <w:r w:rsidR="00787782">
              <w:rPr>
                <w:lang w:val="fr-FR"/>
              </w:rPr>
              <w:t>’</w:t>
            </w:r>
            <w:r w:rsidRPr="00B94979">
              <w:rPr>
                <w:lang w:val="fr-FR"/>
              </w:rPr>
              <w:t xml:space="preserve">un revêtement protecteur et dont le réservoir </w:t>
            </w:r>
            <w:r>
              <w:rPr>
                <w:lang w:val="fr-FR"/>
              </w:rPr>
              <w:t>est</w:t>
            </w:r>
            <w:r w:rsidRPr="00B94979">
              <w:rPr>
                <w:lang w:val="fr-FR"/>
              </w:rPr>
              <w:t xml:space="preserve"> constitué de matériaux réagissant violemment avec le contenu lorsque ledit revêtement présente un défaut ne devraient pas être utilisées. Le présent rapport </w:t>
            </w:r>
            <w:r>
              <w:rPr>
                <w:lang w:val="fr-FR"/>
              </w:rPr>
              <w:t>rend compte des</w:t>
            </w:r>
            <w:r w:rsidRPr="00B94979">
              <w:rPr>
                <w:lang w:val="fr-FR"/>
              </w:rPr>
              <w:t xml:space="preserve"> débats du groupe de travail informel</w:t>
            </w:r>
            <w:r>
              <w:rPr>
                <w:lang w:val="fr-FR"/>
              </w:rPr>
              <w:t>,</w:t>
            </w:r>
            <w:r w:rsidRPr="00B94979">
              <w:rPr>
                <w:lang w:val="fr-FR"/>
              </w:rPr>
              <w:t xml:space="preserve"> qui a tenu une réunion à La Haye les 20 et 21</w:t>
            </w:r>
            <w:r w:rsidR="00C84F74">
              <w:rPr>
                <w:lang w:val="fr-FR"/>
              </w:rPr>
              <w:t> </w:t>
            </w:r>
            <w:r w:rsidRPr="00B94979">
              <w:rPr>
                <w:lang w:val="fr-FR"/>
              </w:rPr>
              <w:t>avril 2016, ainsi qu</w:t>
            </w:r>
            <w:r>
              <w:rPr>
                <w:lang w:val="fr-FR"/>
              </w:rPr>
              <w:t>e</w:t>
            </w:r>
            <w:r w:rsidRPr="00B94979">
              <w:rPr>
                <w:lang w:val="fr-FR"/>
              </w:rPr>
              <w:t xml:space="preserve"> de</w:t>
            </w:r>
            <w:r>
              <w:rPr>
                <w:lang w:val="fr-FR"/>
              </w:rPr>
              <w:t xml:space="preserve"> </w:t>
            </w:r>
            <w:r w:rsidRPr="00B94979">
              <w:rPr>
                <w:lang w:val="fr-FR"/>
              </w:rPr>
              <w:t>s</w:t>
            </w:r>
            <w:r>
              <w:rPr>
                <w:lang w:val="fr-FR"/>
              </w:rPr>
              <w:t>es</w:t>
            </w:r>
            <w:r w:rsidRPr="00B94979">
              <w:rPr>
                <w:lang w:val="fr-FR"/>
              </w:rPr>
              <w:t xml:space="preserve"> propositions d</w:t>
            </w:r>
            <w:r w:rsidR="00787782">
              <w:rPr>
                <w:lang w:val="fr-FR"/>
              </w:rPr>
              <w:t>’</w:t>
            </w:r>
            <w:r w:rsidRPr="00B94979">
              <w:rPr>
                <w:lang w:val="fr-FR"/>
              </w:rPr>
              <w:t xml:space="preserve">amendements. </w:t>
            </w:r>
          </w:p>
        </w:tc>
      </w:tr>
      <w:tr w:rsidR="00815C38" w:rsidTr="00216E0F">
        <w:trPr>
          <w:jc w:val="center"/>
        </w:trPr>
        <w:tc>
          <w:tcPr>
            <w:tcW w:w="9637" w:type="dxa"/>
            <w:shd w:val="clear" w:color="auto" w:fill="auto"/>
          </w:tcPr>
          <w:p w:rsidR="00815C38" w:rsidRDefault="00815C38" w:rsidP="00815C38">
            <w:pPr>
              <w:pStyle w:val="SingleTxtG"/>
              <w:ind w:left="2552" w:hanging="2268"/>
            </w:pPr>
            <w:r w:rsidRPr="00815C38">
              <w:rPr>
                <w:b/>
                <w:lang w:val="fr-FR"/>
              </w:rPr>
              <w:t>Mesures à</w:t>
            </w:r>
            <w:r w:rsidRPr="00911728">
              <w:rPr>
                <w:lang w:val="fr-FR"/>
              </w:rPr>
              <w:t xml:space="preserve"> </w:t>
            </w:r>
            <w:r w:rsidRPr="00815C38">
              <w:rPr>
                <w:b/>
              </w:rPr>
              <w:t>prendre </w:t>
            </w:r>
            <w:r w:rsidRPr="00815C38">
              <w:rPr>
                <w:b/>
                <w:lang w:val="fr-FR"/>
              </w:rPr>
              <w:t>:</w:t>
            </w:r>
            <w:r>
              <w:rPr>
                <w:lang w:val="fr-FR"/>
              </w:rPr>
              <w:tab/>
            </w:r>
            <w:r w:rsidRPr="00911728">
              <w:rPr>
                <w:lang w:val="fr-FR"/>
              </w:rPr>
              <w:t xml:space="preserve">Apporter des modifications aux sections 1.2.1 </w:t>
            </w:r>
            <w:r>
              <w:rPr>
                <w:lang w:val="fr-FR"/>
              </w:rPr>
              <w:t xml:space="preserve">et </w:t>
            </w:r>
            <w:r w:rsidRPr="00911728">
              <w:rPr>
                <w:lang w:val="fr-FR"/>
              </w:rPr>
              <w:t>1.6.3/1.6.4 et aux chapitres 4.3 et 6.8.</w:t>
            </w:r>
          </w:p>
        </w:tc>
      </w:tr>
      <w:tr w:rsidR="00815C38" w:rsidTr="00216E0F">
        <w:trPr>
          <w:jc w:val="center"/>
        </w:trPr>
        <w:tc>
          <w:tcPr>
            <w:tcW w:w="9637" w:type="dxa"/>
            <w:shd w:val="clear" w:color="auto" w:fill="auto"/>
          </w:tcPr>
          <w:p w:rsidR="00815C38" w:rsidRDefault="00815C38" w:rsidP="00815C38">
            <w:pPr>
              <w:pStyle w:val="SingleTxtG"/>
              <w:ind w:left="2552" w:hanging="2268"/>
            </w:pPr>
            <w:r w:rsidRPr="00815C38">
              <w:rPr>
                <w:b/>
                <w:lang w:val="fr-FR"/>
              </w:rPr>
              <w:t>Documents de référence</w:t>
            </w:r>
            <w:r>
              <w:rPr>
                <w:b/>
                <w:lang w:val="fr-FR"/>
              </w:rPr>
              <w:t> </w:t>
            </w:r>
            <w:r w:rsidRPr="00815C38">
              <w:rPr>
                <w:b/>
                <w:lang w:val="fr-FR"/>
              </w:rPr>
              <w:t>:</w:t>
            </w:r>
            <w:r>
              <w:rPr>
                <w:b/>
                <w:lang w:val="fr-FR"/>
              </w:rPr>
              <w:tab/>
            </w:r>
            <w:r w:rsidRPr="00B94979">
              <w:rPr>
                <w:lang w:val="fr-FR"/>
              </w:rPr>
              <w:t xml:space="preserve">ECE/TRANS/WP.15/AC.1/2015/10, document informel INF.50 de la </w:t>
            </w:r>
            <w:r w:rsidRPr="00C84F74">
              <w:rPr>
                <w:lang w:val="fr-FR"/>
              </w:rPr>
              <w:t xml:space="preserve">session de mars 2015 (par. 12 à 14), ECE/TRANS/WP.15/AC.1/138 </w:t>
            </w:r>
            <w:r w:rsidRPr="009A0A3C">
              <w:rPr>
                <w:spacing w:val="-2"/>
                <w:lang w:val="fr-FR"/>
              </w:rPr>
              <w:t>(par. 9), ECE/TRANS/WP.15/AC.1/2015/51, documents informels INF.28</w:t>
            </w:r>
            <w:r w:rsidRPr="00B94979">
              <w:rPr>
                <w:lang w:val="fr-FR"/>
              </w:rPr>
              <w:t xml:space="preserve"> et INF.50 (par</w:t>
            </w:r>
            <w:r>
              <w:rPr>
                <w:lang w:val="fr-FR"/>
              </w:rPr>
              <w:t>. </w:t>
            </w:r>
            <w:r w:rsidRPr="00B94979">
              <w:rPr>
                <w:lang w:val="fr-FR"/>
              </w:rPr>
              <w:t xml:space="preserve">23 à 26) de la session de septembre 2015 </w:t>
            </w:r>
            <w:r>
              <w:rPr>
                <w:lang w:val="fr-FR"/>
              </w:rPr>
              <w:t xml:space="preserve">et </w:t>
            </w:r>
            <w:r w:rsidRPr="00B94979">
              <w:rPr>
                <w:lang w:val="fr-FR"/>
              </w:rPr>
              <w:t>ECE/TRANS/</w:t>
            </w:r>
            <w:r w:rsidR="009A0A3C">
              <w:rPr>
                <w:lang w:val="fr-FR"/>
              </w:rPr>
              <w:br/>
            </w:r>
            <w:r w:rsidRPr="00B94979">
              <w:rPr>
                <w:lang w:val="fr-FR"/>
              </w:rPr>
              <w:t>WP.15/AC.1/140</w:t>
            </w:r>
            <w:r>
              <w:rPr>
                <w:lang w:val="fr-FR"/>
              </w:rPr>
              <w:t xml:space="preserve"> (</w:t>
            </w:r>
            <w:r w:rsidRPr="00B94979">
              <w:rPr>
                <w:lang w:val="fr-FR"/>
              </w:rPr>
              <w:t>par</w:t>
            </w:r>
            <w:r>
              <w:rPr>
                <w:lang w:val="fr-FR"/>
              </w:rPr>
              <w:t>. </w:t>
            </w:r>
            <w:r w:rsidRPr="00B94979">
              <w:rPr>
                <w:lang w:val="fr-FR"/>
              </w:rPr>
              <w:t>83</w:t>
            </w:r>
            <w:r>
              <w:rPr>
                <w:lang w:val="fr-FR"/>
              </w:rPr>
              <w:t>)</w:t>
            </w:r>
            <w:r w:rsidRPr="00B94979">
              <w:rPr>
                <w:lang w:val="fr-FR"/>
              </w:rPr>
              <w:t>.</w:t>
            </w:r>
          </w:p>
        </w:tc>
      </w:tr>
      <w:tr w:rsidR="00815C38" w:rsidTr="00216E0F">
        <w:trPr>
          <w:jc w:val="center"/>
        </w:trPr>
        <w:tc>
          <w:tcPr>
            <w:tcW w:w="9637" w:type="dxa"/>
            <w:shd w:val="clear" w:color="auto" w:fill="auto"/>
          </w:tcPr>
          <w:p w:rsidR="00815C38" w:rsidRDefault="00815C38" w:rsidP="00216E0F"/>
        </w:tc>
      </w:tr>
    </w:tbl>
    <w:p w:rsidR="00286B3B" w:rsidRPr="00B94979" w:rsidRDefault="00286B3B" w:rsidP="00815C38">
      <w:pPr>
        <w:pStyle w:val="HChG"/>
        <w:rPr>
          <w:lang w:val="en-GB"/>
        </w:rPr>
      </w:pPr>
      <w:r w:rsidRPr="00B94979">
        <w:rPr>
          <w:lang w:val="fr-FR"/>
        </w:rPr>
        <w:tab/>
      </w:r>
      <w:r w:rsidRPr="00B94979">
        <w:rPr>
          <w:lang w:val="fr-FR"/>
        </w:rPr>
        <w:tab/>
        <w:t>Introduction</w:t>
      </w:r>
    </w:p>
    <w:p w:rsidR="00286B3B" w:rsidRPr="00715526" w:rsidRDefault="00286B3B" w:rsidP="00C84F74">
      <w:pPr>
        <w:pStyle w:val="SingleTxtG"/>
        <w:numPr>
          <w:ilvl w:val="0"/>
          <w:numId w:val="15"/>
        </w:numPr>
        <w:ind w:left="1134" w:firstLine="0"/>
        <w:rPr>
          <w:lang w:val="fr-FR"/>
        </w:rPr>
      </w:pPr>
      <w:r w:rsidRPr="00B94979">
        <w:rPr>
          <w:lang w:val="fr-FR"/>
        </w:rPr>
        <w:t xml:space="preserve">Au paragraphe 83 du rapport de la Réunion commune RID/ADR/ADN sur sa session de septembre 2015 (ECE/TRANS/WP.15/AC.1/140), il était écrit que la Belgique et les Pays-Bas comptaient travailler sur </w:t>
      </w:r>
      <w:r>
        <w:rPr>
          <w:lang w:val="fr-FR"/>
        </w:rPr>
        <w:t>la</w:t>
      </w:r>
      <w:r w:rsidRPr="00B94979">
        <w:rPr>
          <w:lang w:val="fr-FR"/>
        </w:rPr>
        <w:t xml:space="preserve"> question </w:t>
      </w:r>
      <w:r>
        <w:rPr>
          <w:lang w:val="fr-FR"/>
        </w:rPr>
        <w:t>des ré</w:t>
      </w:r>
      <w:r w:rsidR="00C84F74">
        <w:rPr>
          <w:lang w:val="fr-FR"/>
        </w:rPr>
        <w:t>s</w:t>
      </w:r>
      <w:r>
        <w:rPr>
          <w:lang w:val="fr-FR"/>
        </w:rPr>
        <w:t xml:space="preserve">ervoirs équipés de revêtements protecteurs </w:t>
      </w:r>
      <w:r w:rsidRPr="00B94979">
        <w:rPr>
          <w:lang w:val="fr-FR"/>
        </w:rPr>
        <w:t xml:space="preserve">avec les autres </w:t>
      </w:r>
      <w:r>
        <w:rPr>
          <w:lang w:val="fr-FR"/>
        </w:rPr>
        <w:t>délégations</w:t>
      </w:r>
      <w:r w:rsidRPr="00B94979">
        <w:rPr>
          <w:lang w:val="fr-FR"/>
        </w:rPr>
        <w:t xml:space="preserve"> intéressées. À l</w:t>
      </w:r>
      <w:r w:rsidR="00787782">
        <w:rPr>
          <w:lang w:val="fr-FR"/>
        </w:rPr>
        <w:t>’</w:t>
      </w:r>
      <w:r w:rsidRPr="00B94979">
        <w:rPr>
          <w:lang w:val="fr-FR"/>
        </w:rPr>
        <w:t>issue des premiers échanges entre les experts de la Belgique et des Pays-Bas, il a été décidé que la constitution d</w:t>
      </w:r>
      <w:r w:rsidR="00787782">
        <w:rPr>
          <w:lang w:val="fr-FR"/>
        </w:rPr>
        <w:t>’</w:t>
      </w:r>
      <w:r w:rsidRPr="00B94979">
        <w:rPr>
          <w:lang w:val="fr-FR"/>
        </w:rPr>
        <w:t>un groupe de travail inform</w:t>
      </w:r>
      <w:r w:rsidRPr="00B94979">
        <w:rPr>
          <w:bCs/>
          <w:lang w:val="fr-FR"/>
        </w:rPr>
        <w:t xml:space="preserve">el était dans ce domaine la meilleure </w:t>
      </w:r>
      <w:r>
        <w:rPr>
          <w:bCs/>
          <w:lang w:val="fr-FR"/>
        </w:rPr>
        <w:t>option</w:t>
      </w:r>
      <w:r w:rsidRPr="00B94979">
        <w:rPr>
          <w:bCs/>
          <w:lang w:val="fr-FR"/>
        </w:rPr>
        <w:t>.</w:t>
      </w:r>
      <w:r w:rsidRPr="00B94979">
        <w:rPr>
          <w:lang w:val="fr-FR"/>
        </w:rPr>
        <w:t xml:space="preserve"> </w:t>
      </w:r>
    </w:p>
    <w:p w:rsidR="00286B3B" w:rsidRPr="00B94979" w:rsidRDefault="00286B3B" w:rsidP="00C84F74">
      <w:pPr>
        <w:pStyle w:val="SingleTxtG"/>
        <w:numPr>
          <w:ilvl w:val="0"/>
          <w:numId w:val="15"/>
        </w:numPr>
        <w:ind w:left="1134" w:firstLine="0"/>
        <w:rPr>
          <w:b/>
          <w:i/>
          <w:lang w:val="en-GB"/>
        </w:rPr>
      </w:pPr>
      <w:r w:rsidRPr="00B94979">
        <w:rPr>
          <w:lang w:val="fr-FR"/>
        </w:rPr>
        <w:t>Le groupe de travail informel s</w:t>
      </w:r>
      <w:r w:rsidR="00787782">
        <w:rPr>
          <w:lang w:val="fr-FR"/>
        </w:rPr>
        <w:t>’</w:t>
      </w:r>
      <w:r w:rsidRPr="00B94979">
        <w:rPr>
          <w:lang w:val="fr-FR"/>
        </w:rPr>
        <w:t>est réuni les 20 et 21</w:t>
      </w:r>
      <w:r w:rsidR="00C84F74">
        <w:rPr>
          <w:lang w:val="fr-FR"/>
        </w:rPr>
        <w:t> </w:t>
      </w:r>
      <w:r w:rsidRPr="00B94979">
        <w:rPr>
          <w:lang w:val="fr-FR"/>
        </w:rPr>
        <w:t xml:space="preserve">avril 2016 à La Haye. Il se composait de </w:t>
      </w:r>
      <w:r w:rsidR="009C46DB">
        <w:rPr>
          <w:lang w:val="fr-FR"/>
        </w:rPr>
        <w:t xml:space="preserve">16 </w:t>
      </w:r>
      <w:r w:rsidRPr="00B94979">
        <w:rPr>
          <w:lang w:val="fr-FR"/>
        </w:rPr>
        <w:t xml:space="preserve">experts représentant respectivement </w:t>
      </w:r>
      <w:r w:rsidRPr="00D479D2">
        <w:rPr>
          <w:lang w:val="fr-FR"/>
        </w:rPr>
        <w:t>l</w:t>
      </w:r>
      <w:r w:rsidR="00787782">
        <w:rPr>
          <w:lang w:val="fr-FR"/>
        </w:rPr>
        <w:t>’</w:t>
      </w:r>
      <w:r w:rsidRPr="00D479D2">
        <w:rPr>
          <w:lang w:val="fr-FR"/>
        </w:rPr>
        <w:t xml:space="preserve">Allemagne, </w:t>
      </w:r>
      <w:r w:rsidRPr="00B94979">
        <w:rPr>
          <w:lang w:val="fr-FR"/>
        </w:rPr>
        <w:t>la Belgique, la France, les Pays-Bas et la Pologne, ainsi que les organisations non gouvernementales suivantes</w:t>
      </w:r>
      <w:r w:rsidR="00402D26">
        <w:rPr>
          <w:lang w:val="fr-FR"/>
        </w:rPr>
        <w:t> :</w:t>
      </w:r>
      <w:r w:rsidRPr="00B94979">
        <w:rPr>
          <w:lang w:val="fr-FR"/>
        </w:rPr>
        <w:t xml:space="preserve"> Association européenne du transport de produits chimiques (ECTA), Conseil européen de l</w:t>
      </w:r>
      <w:r w:rsidR="00787782">
        <w:rPr>
          <w:lang w:val="fr-FR"/>
        </w:rPr>
        <w:t>’</w:t>
      </w:r>
      <w:r w:rsidRPr="00B94979">
        <w:rPr>
          <w:lang w:val="fr-FR"/>
        </w:rPr>
        <w:t>industrie chimique (CEFIC) et Comité de liaison de la construction de carrosseries et de remorques (CLCCR). La réunion était présidée par les Pays-Bas.</w:t>
      </w:r>
    </w:p>
    <w:p w:rsidR="00286B3B" w:rsidRPr="00B94979" w:rsidRDefault="00C84F74" w:rsidP="00C84F74">
      <w:pPr>
        <w:pStyle w:val="HChG"/>
        <w:rPr>
          <w:lang w:val="en-GB"/>
        </w:rPr>
      </w:pPr>
      <w:r>
        <w:rPr>
          <w:lang w:val="fr-FR"/>
        </w:rPr>
        <w:tab/>
      </w:r>
      <w:r>
        <w:rPr>
          <w:lang w:val="fr-FR"/>
        </w:rPr>
        <w:tab/>
        <w:t>Considérations générales</w:t>
      </w:r>
    </w:p>
    <w:p w:rsidR="00286B3B" w:rsidRPr="009A0A3C" w:rsidRDefault="00286B3B" w:rsidP="00C84F74">
      <w:pPr>
        <w:pStyle w:val="SingleTxtG"/>
        <w:numPr>
          <w:ilvl w:val="0"/>
          <w:numId w:val="15"/>
        </w:numPr>
        <w:ind w:left="1134" w:firstLine="0"/>
        <w:rPr>
          <w:lang w:val="fr-FR"/>
        </w:rPr>
      </w:pPr>
      <w:r w:rsidRPr="00B94979">
        <w:rPr>
          <w:lang w:val="fr-FR"/>
        </w:rPr>
        <w:t xml:space="preserve">Plusieurs participants ont proposé que les débats et les </w:t>
      </w:r>
      <w:r w:rsidRPr="00911728">
        <w:rPr>
          <w:lang w:val="fr-FR"/>
        </w:rPr>
        <w:t xml:space="preserve">modifications </w:t>
      </w:r>
      <w:r>
        <w:rPr>
          <w:lang w:val="fr-FR"/>
        </w:rPr>
        <w:t xml:space="preserve">à envisager </w:t>
      </w:r>
      <w:r w:rsidRPr="00911728">
        <w:rPr>
          <w:lang w:val="fr-FR"/>
        </w:rPr>
        <w:t>ne po</w:t>
      </w:r>
      <w:r w:rsidRPr="00B94979">
        <w:rPr>
          <w:lang w:val="fr-FR"/>
        </w:rPr>
        <w:t xml:space="preserve">rtent que sur la résolution du problème des citernes dont le réservoir réagit violemment avec </w:t>
      </w:r>
      <w:r w:rsidRPr="00911728">
        <w:rPr>
          <w:lang w:val="fr-FR"/>
        </w:rPr>
        <w:t xml:space="preserve">son contenu </w:t>
      </w:r>
      <w:r w:rsidRPr="00B94979">
        <w:rPr>
          <w:lang w:val="fr-FR"/>
        </w:rPr>
        <w:t xml:space="preserve">lorsque le revêtement présente un défaut. Il a été fait observer </w:t>
      </w:r>
      <w:r>
        <w:rPr>
          <w:lang w:val="fr-FR"/>
        </w:rPr>
        <w:t xml:space="preserve">à ce sujet </w:t>
      </w:r>
      <w:r w:rsidRPr="00B94979">
        <w:rPr>
          <w:lang w:val="fr-FR"/>
        </w:rPr>
        <w:t>que les citernes équipées d</w:t>
      </w:r>
      <w:r w:rsidR="00787782">
        <w:rPr>
          <w:lang w:val="fr-FR"/>
        </w:rPr>
        <w:t>’</w:t>
      </w:r>
      <w:r w:rsidRPr="00B94979">
        <w:rPr>
          <w:lang w:val="fr-FR"/>
        </w:rPr>
        <w:t>un revêtement protecteur et dont les réservoirs étaient en acier au carbone ou en acier inoxydable donnaient satisfaction et que leur utilisation ne devait pas être limitée. Au cours des débats, il a été question de deux différences entre les citernes du chapitre 6.7 et celles du chapitre 6.8. L</w:t>
      </w:r>
      <w:r w:rsidR="00787782">
        <w:rPr>
          <w:lang w:val="fr-FR"/>
        </w:rPr>
        <w:t>’</w:t>
      </w:r>
      <w:r w:rsidRPr="00B94979">
        <w:rPr>
          <w:lang w:val="fr-FR"/>
        </w:rPr>
        <w:t>une de ces différences est le moment auquel est appliqué le revêtement</w:t>
      </w:r>
      <w:r w:rsidRPr="009A0A3C">
        <w:rPr>
          <w:lang w:val="fr-FR"/>
        </w:rPr>
        <w:t>. Cela est courant pour les camions-citernes lorsqu</w:t>
      </w:r>
      <w:r w:rsidR="00787782" w:rsidRPr="009A0A3C">
        <w:rPr>
          <w:lang w:val="fr-FR"/>
        </w:rPr>
        <w:t>’</w:t>
      </w:r>
      <w:r w:rsidRPr="009A0A3C">
        <w:rPr>
          <w:lang w:val="fr-FR"/>
        </w:rPr>
        <w:t>ils sont fabriqués, la conception est souvent optimisée pour cette application, mais sont appliqués à n</w:t>
      </w:r>
      <w:r w:rsidR="00787782" w:rsidRPr="009A0A3C">
        <w:rPr>
          <w:lang w:val="fr-FR"/>
        </w:rPr>
        <w:t>’</w:t>
      </w:r>
      <w:r w:rsidRPr="009A0A3C">
        <w:rPr>
          <w:lang w:val="fr-FR"/>
        </w:rPr>
        <w:t>importe quel moment en usage pour les citernes mobiles, étant fabriquées en grandes séries et le revêtement appliqué lorsque nécessaire. L</w:t>
      </w:r>
      <w:r w:rsidR="00787782" w:rsidRPr="009A0A3C">
        <w:rPr>
          <w:lang w:val="fr-FR"/>
        </w:rPr>
        <w:t>’</w:t>
      </w:r>
      <w:r w:rsidRPr="009A0A3C">
        <w:rPr>
          <w:lang w:val="fr-FR"/>
        </w:rPr>
        <w:t>autre différence est la liste des matières dont le transport est autorisé en combinaison avec une matière pour laquelle le signe (+) apparaît après le code-citerne pour les conteneurs-citernes et les citernes sur wagons et véhicules, ce qui n</w:t>
      </w:r>
      <w:r w:rsidR="00787782" w:rsidRPr="009A0A3C">
        <w:rPr>
          <w:lang w:val="fr-FR"/>
        </w:rPr>
        <w:t>’</w:t>
      </w:r>
      <w:r w:rsidRPr="009A0A3C">
        <w:rPr>
          <w:lang w:val="fr-FR"/>
        </w:rPr>
        <w:t>existe pas pour les citernes mobiles.</w:t>
      </w:r>
    </w:p>
    <w:p w:rsidR="00286B3B" w:rsidRPr="00B94979" w:rsidRDefault="00286B3B" w:rsidP="00C84F74">
      <w:pPr>
        <w:pStyle w:val="HChG"/>
        <w:rPr>
          <w:i/>
          <w:lang w:val="en-GB"/>
        </w:rPr>
      </w:pPr>
      <w:r w:rsidRPr="00B94979">
        <w:rPr>
          <w:lang w:val="fr-FR"/>
        </w:rPr>
        <w:lastRenderedPageBreak/>
        <w:tab/>
      </w:r>
      <w:r w:rsidRPr="00B94979">
        <w:rPr>
          <w:lang w:val="fr-FR"/>
        </w:rPr>
        <w:tab/>
        <w:t>Réaction dangereuse</w:t>
      </w:r>
    </w:p>
    <w:p w:rsidR="00286B3B" w:rsidRPr="00715526" w:rsidRDefault="00286B3B" w:rsidP="00C84F74">
      <w:pPr>
        <w:pStyle w:val="SingleTxtG"/>
        <w:numPr>
          <w:ilvl w:val="0"/>
          <w:numId w:val="15"/>
        </w:numPr>
        <w:ind w:left="1134" w:firstLine="0"/>
        <w:rPr>
          <w:lang w:val="fr-FR"/>
        </w:rPr>
      </w:pPr>
      <w:r>
        <w:rPr>
          <w:lang w:val="fr-FR"/>
        </w:rPr>
        <w:t>Dans le cadre du débat relatif a</w:t>
      </w:r>
      <w:r w:rsidRPr="00BE6EAD">
        <w:rPr>
          <w:lang w:val="fr-FR"/>
        </w:rPr>
        <w:t xml:space="preserve">u document </w:t>
      </w:r>
      <w:r w:rsidRPr="00B94979">
        <w:rPr>
          <w:lang w:val="fr-FR"/>
        </w:rPr>
        <w:t xml:space="preserve">ECE/TRANS/WP.15/AC.1/2015/51 (Réunion </w:t>
      </w:r>
      <w:r>
        <w:rPr>
          <w:lang w:val="fr-FR"/>
        </w:rPr>
        <w:t>commune</w:t>
      </w:r>
      <w:r w:rsidRPr="00B94979">
        <w:rPr>
          <w:lang w:val="fr-FR"/>
        </w:rPr>
        <w:t xml:space="preserve"> de septembre 2015) soumis par les Pays-Bas, il a été </w:t>
      </w:r>
      <w:r>
        <w:rPr>
          <w:lang w:val="fr-FR"/>
        </w:rPr>
        <w:t>dit</w:t>
      </w:r>
      <w:r w:rsidRPr="00B94979">
        <w:rPr>
          <w:lang w:val="fr-FR"/>
        </w:rPr>
        <w:t xml:space="preserve"> </w:t>
      </w:r>
      <w:r>
        <w:rPr>
          <w:lang w:val="fr-FR"/>
        </w:rPr>
        <w:t xml:space="preserve">que </w:t>
      </w:r>
      <w:r w:rsidRPr="00B94979">
        <w:rPr>
          <w:lang w:val="fr-FR"/>
        </w:rPr>
        <w:t>la réaction entre l</w:t>
      </w:r>
      <w:r w:rsidR="00787782">
        <w:rPr>
          <w:lang w:val="fr-FR"/>
        </w:rPr>
        <w:t>’</w:t>
      </w:r>
      <w:r w:rsidRPr="00B94979">
        <w:rPr>
          <w:lang w:val="fr-FR"/>
        </w:rPr>
        <w:t>acide chlorhydrique et l</w:t>
      </w:r>
      <w:r w:rsidR="00787782">
        <w:rPr>
          <w:lang w:val="fr-FR"/>
        </w:rPr>
        <w:t>’</w:t>
      </w:r>
      <w:r w:rsidRPr="00B94979">
        <w:rPr>
          <w:lang w:val="fr-FR"/>
        </w:rPr>
        <w:t>alliage d</w:t>
      </w:r>
      <w:r w:rsidR="00787782">
        <w:rPr>
          <w:lang w:val="fr-FR"/>
        </w:rPr>
        <w:t>’</w:t>
      </w:r>
      <w:r w:rsidRPr="00B94979">
        <w:rPr>
          <w:lang w:val="fr-FR"/>
        </w:rPr>
        <w:t xml:space="preserve">aluminium ne devait pas être considérée comme une </w:t>
      </w:r>
      <w:r w:rsidR="00C84F74">
        <w:rPr>
          <w:lang w:val="fr-FR"/>
        </w:rPr>
        <w:t>« </w:t>
      </w:r>
      <w:r w:rsidRPr="00B94979">
        <w:rPr>
          <w:lang w:val="fr-FR"/>
        </w:rPr>
        <w:t>réaction dangereuse</w:t>
      </w:r>
      <w:r w:rsidR="00C84F74">
        <w:rPr>
          <w:lang w:val="fr-FR"/>
        </w:rPr>
        <w:t> »</w:t>
      </w:r>
      <w:r w:rsidRPr="00B94979">
        <w:rPr>
          <w:lang w:val="fr-FR"/>
        </w:rPr>
        <w:t xml:space="preserve">. </w:t>
      </w:r>
      <w:r>
        <w:rPr>
          <w:lang w:val="fr-FR"/>
        </w:rPr>
        <w:t>L</w:t>
      </w:r>
      <w:r w:rsidR="00787782">
        <w:rPr>
          <w:lang w:val="fr-FR"/>
        </w:rPr>
        <w:t>’</w:t>
      </w:r>
      <w:r w:rsidRPr="00B94979">
        <w:rPr>
          <w:lang w:val="fr-FR"/>
        </w:rPr>
        <w:t xml:space="preserve">expert </w:t>
      </w:r>
      <w:r>
        <w:rPr>
          <w:lang w:val="fr-FR"/>
        </w:rPr>
        <w:t>de l</w:t>
      </w:r>
      <w:r w:rsidR="00787782">
        <w:rPr>
          <w:lang w:val="fr-FR"/>
        </w:rPr>
        <w:t>’</w:t>
      </w:r>
      <w:r>
        <w:rPr>
          <w:lang w:val="fr-FR"/>
        </w:rPr>
        <w:t>Allemagne</w:t>
      </w:r>
      <w:r w:rsidRPr="00B94979">
        <w:rPr>
          <w:lang w:val="fr-FR"/>
        </w:rPr>
        <w:t xml:space="preserve"> (Office fédéral de recherche et de contrôle des matériaux)</w:t>
      </w:r>
      <w:r>
        <w:rPr>
          <w:lang w:val="fr-FR"/>
        </w:rPr>
        <w:t xml:space="preserve"> a notamment dit que même s</w:t>
      </w:r>
      <w:r w:rsidR="00787782">
        <w:rPr>
          <w:lang w:val="fr-FR"/>
        </w:rPr>
        <w:t>’</w:t>
      </w:r>
      <w:r>
        <w:rPr>
          <w:lang w:val="fr-FR"/>
        </w:rPr>
        <w:t xml:space="preserve">il produisait un échauffement, </w:t>
      </w:r>
      <w:r w:rsidRPr="00B94979">
        <w:rPr>
          <w:lang w:val="fr-FR"/>
        </w:rPr>
        <w:t>ce phénomène devait être considéré comme une réaction électrochimique normale</w:t>
      </w:r>
      <w:r>
        <w:rPr>
          <w:lang w:val="fr-FR"/>
        </w:rPr>
        <w:t>,</w:t>
      </w:r>
      <w:r w:rsidRPr="00B94979">
        <w:rPr>
          <w:lang w:val="fr-FR"/>
        </w:rPr>
        <w:t xml:space="preserve"> et non comme une </w:t>
      </w:r>
      <w:r w:rsidR="00C84F74">
        <w:rPr>
          <w:lang w:val="fr-FR"/>
        </w:rPr>
        <w:t>« </w:t>
      </w:r>
      <w:r w:rsidRPr="00B94979">
        <w:rPr>
          <w:lang w:val="fr-FR"/>
        </w:rPr>
        <w:t>réaction dangereuse</w:t>
      </w:r>
      <w:r w:rsidR="00C84F74">
        <w:rPr>
          <w:lang w:val="fr-FR"/>
        </w:rPr>
        <w:t> »</w:t>
      </w:r>
      <w:r w:rsidRPr="00B94979">
        <w:rPr>
          <w:lang w:val="fr-FR"/>
        </w:rPr>
        <w:t xml:space="preserve">. </w:t>
      </w:r>
      <w:r>
        <w:rPr>
          <w:lang w:val="fr-FR"/>
        </w:rPr>
        <w:t>C</w:t>
      </w:r>
      <w:r w:rsidRPr="00B94979">
        <w:rPr>
          <w:lang w:val="fr-FR"/>
        </w:rPr>
        <w:t>ette interprétation</w:t>
      </w:r>
      <w:r>
        <w:rPr>
          <w:lang w:val="fr-FR"/>
        </w:rPr>
        <w:t xml:space="preserve"> permet d</w:t>
      </w:r>
      <w:r w:rsidR="00787782">
        <w:rPr>
          <w:lang w:val="fr-FR"/>
        </w:rPr>
        <w:t>’</w:t>
      </w:r>
      <w:r>
        <w:rPr>
          <w:lang w:val="fr-FR"/>
        </w:rPr>
        <w:t>affirmer, comme au</w:t>
      </w:r>
      <w:r w:rsidRPr="00B94979">
        <w:rPr>
          <w:lang w:val="fr-FR"/>
        </w:rPr>
        <w:t xml:space="preserve"> 4.3.2.1.5 et </w:t>
      </w:r>
      <w:r>
        <w:rPr>
          <w:lang w:val="fr-FR"/>
        </w:rPr>
        <w:t>a</w:t>
      </w:r>
      <w:r w:rsidRPr="00B94979">
        <w:rPr>
          <w:lang w:val="fr-FR"/>
        </w:rPr>
        <w:t xml:space="preserve">u 4.2.2.7.1 (citernes mobiles), </w:t>
      </w:r>
      <w:r>
        <w:rPr>
          <w:lang w:val="fr-FR"/>
        </w:rPr>
        <w:t>que</w:t>
      </w:r>
      <w:r w:rsidRPr="00B94979">
        <w:rPr>
          <w:lang w:val="fr-FR"/>
        </w:rPr>
        <w:t xml:space="preserve"> le matériau du réservoir et le revêtement ne sont pas susceptibles de réagir dangereusement avec la matière transporté</w:t>
      </w:r>
      <w:r>
        <w:rPr>
          <w:lang w:val="fr-FR"/>
        </w:rPr>
        <w:t>e</w:t>
      </w:r>
      <w:r w:rsidRPr="00B94979">
        <w:rPr>
          <w:lang w:val="fr-FR"/>
        </w:rPr>
        <w:t xml:space="preserve">. </w:t>
      </w:r>
      <w:r>
        <w:rPr>
          <w:lang w:val="fr-FR"/>
        </w:rPr>
        <w:t>Le</w:t>
      </w:r>
      <w:r w:rsidRPr="00B94979">
        <w:rPr>
          <w:lang w:val="fr-FR"/>
        </w:rPr>
        <w:t xml:space="preserve"> groupe de travail informel</w:t>
      </w:r>
      <w:r>
        <w:rPr>
          <w:lang w:val="fr-FR"/>
        </w:rPr>
        <w:t xml:space="preserve"> a adhéré à ce principe</w:t>
      </w:r>
      <w:r w:rsidRPr="00B94979">
        <w:rPr>
          <w:lang w:val="fr-FR"/>
        </w:rPr>
        <w:t xml:space="preserve">. Il a </w:t>
      </w:r>
      <w:r>
        <w:rPr>
          <w:lang w:val="fr-FR"/>
        </w:rPr>
        <w:t xml:space="preserve">également </w:t>
      </w:r>
      <w:r w:rsidRPr="00B94979">
        <w:rPr>
          <w:lang w:val="fr-FR"/>
        </w:rPr>
        <w:t>été question d</w:t>
      </w:r>
      <w:r w:rsidR="00787782">
        <w:rPr>
          <w:lang w:val="fr-FR"/>
        </w:rPr>
        <w:t>’</w:t>
      </w:r>
      <w:r w:rsidRPr="00B94979">
        <w:rPr>
          <w:lang w:val="fr-FR"/>
        </w:rPr>
        <w:t>incohérences entre le</w:t>
      </w:r>
      <w:r w:rsidR="00C84F74">
        <w:rPr>
          <w:lang w:val="fr-FR"/>
        </w:rPr>
        <w:t> </w:t>
      </w:r>
      <w:r w:rsidRPr="00B94979">
        <w:rPr>
          <w:lang w:val="fr-FR"/>
        </w:rPr>
        <w:t>4.3.2.1.5 et le premier paragraphe du 6.8.2.1.9 (voir annexe).</w:t>
      </w:r>
    </w:p>
    <w:p w:rsidR="00286B3B" w:rsidRPr="00715526" w:rsidRDefault="00286B3B" w:rsidP="00C84F74">
      <w:pPr>
        <w:pStyle w:val="HChG"/>
        <w:rPr>
          <w:lang w:val="fr-FR"/>
        </w:rPr>
      </w:pPr>
      <w:r w:rsidRPr="00B94979">
        <w:rPr>
          <w:lang w:val="fr-FR"/>
        </w:rPr>
        <w:tab/>
      </w:r>
      <w:r w:rsidRPr="00B94979">
        <w:rPr>
          <w:lang w:val="fr-FR"/>
        </w:rPr>
        <w:tab/>
        <w:t xml:space="preserve">Citernes </w:t>
      </w:r>
      <w:r>
        <w:rPr>
          <w:lang w:val="fr-FR"/>
        </w:rPr>
        <w:t>à</w:t>
      </w:r>
      <w:r w:rsidRPr="00B94979">
        <w:rPr>
          <w:lang w:val="fr-FR"/>
        </w:rPr>
        <w:t xml:space="preserve"> revêtement protecteur</w:t>
      </w:r>
      <w:r>
        <w:rPr>
          <w:lang w:val="fr-FR"/>
        </w:rPr>
        <w:t xml:space="preserve"> et</w:t>
      </w:r>
      <w:r w:rsidRPr="00B94979">
        <w:rPr>
          <w:lang w:val="fr-FR"/>
        </w:rPr>
        <w:t xml:space="preserve"> réservoir en alliage d</w:t>
      </w:r>
      <w:r w:rsidR="00787782">
        <w:rPr>
          <w:lang w:val="fr-FR"/>
        </w:rPr>
        <w:t>’</w:t>
      </w:r>
      <w:r w:rsidRPr="00B94979">
        <w:rPr>
          <w:lang w:val="fr-FR"/>
        </w:rPr>
        <w:t>aluminium</w:t>
      </w:r>
    </w:p>
    <w:p w:rsidR="00286B3B" w:rsidRPr="00715526" w:rsidRDefault="00286B3B" w:rsidP="00C84F74">
      <w:pPr>
        <w:pStyle w:val="SingleTxtG"/>
        <w:numPr>
          <w:ilvl w:val="0"/>
          <w:numId w:val="15"/>
        </w:numPr>
        <w:ind w:left="1134" w:firstLine="0"/>
        <w:rPr>
          <w:lang w:val="fr-FR"/>
        </w:rPr>
      </w:pPr>
      <w:r w:rsidRPr="00B94979">
        <w:rPr>
          <w:lang w:val="fr-FR"/>
        </w:rPr>
        <w:t xml:space="preserve">Il a été dit que les citernes </w:t>
      </w:r>
      <w:r w:rsidRPr="00B94979">
        <w:rPr>
          <w:bCs/>
          <w:lang w:val="fr-FR"/>
        </w:rPr>
        <w:t xml:space="preserve">à revêtement protecteur </w:t>
      </w:r>
      <w:r w:rsidRPr="00E54609">
        <w:rPr>
          <w:bCs/>
          <w:lang w:val="fr-FR"/>
        </w:rPr>
        <w:t>dont les</w:t>
      </w:r>
      <w:r w:rsidRPr="00B94979">
        <w:rPr>
          <w:bCs/>
          <w:lang w:val="fr-FR"/>
        </w:rPr>
        <w:t xml:space="preserve"> réservoirs sont construits en alliage d</w:t>
      </w:r>
      <w:r w:rsidR="00787782">
        <w:rPr>
          <w:bCs/>
          <w:lang w:val="fr-FR"/>
        </w:rPr>
        <w:t>’</w:t>
      </w:r>
      <w:r w:rsidRPr="00B94979">
        <w:rPr>
          <w:bCs/>
          <w:lang w:val="fr-FR"/>
        </w:rPr>
        <w:t>aluminium</w:t>
      </w:r>
      <w:r w:rsidRPr="00B94979">
        <w:rPr>
          <w:lang w:val="fr-FR"/>
        </w:rPr>
        <w:t xml:space="preserve"> ne devaient pas être utilisées pour les matières </w:t>
      </w:r>
      <w:r>
        <w:rPr>
          <w:lang w:val="fr-FR"/>
        </w:rPr>
        <w:t xml:space="preserve">telles que </w:t>
      </w:r>
      <w:r w:rsidRPr="00B94979">
        <w:rPr>
          <w:lang w:val="fr-FR"/>
        </w:rPr>
        <w:t>l</w:t>
      </w:r>
      <w:r w:rsidR="00787782">
        <w:rPr>
          <w:lang w:val="fr-FR"/>
        </w:rPr>
        <w:t>’</w:t>
      </w:r>
      <w:r w:rsidRPr="00B94979">
        <w:rPr>
          <w:lang w:val="fr-FR"/>
        </w:rPr>
        <w:t>acide chlorhydrique</w:t>
      </w:r>
      <w:r>
        <w:rPr>
          <w:lang w:val="fr-FR"/>
        </w:rPr>
        <w:t>, qui risque</w:t>
      </w:r>
      <w:r w:rsidRPr="00B94979">
        <w:rPr>
          <w:lang w:val="fr-FR"/>
        </w:rPr>
        <w:t xml:space="preserve">nt de réagir violemment </w:t>
      </w:r>
      <w:r>
        <w:rPr>
          <w:lang w:val="fr-FR"/>
        </w:rPr>
        <w:t xml:space="preserve">avec le métal si le </w:t>
      </w:r>
      <w:r w:rsidRPr="00B94979">
        <w:rPr>
          <w:lang w:val="fr-FR"/>
        </w:rPr>
        <w:t>revêtement</w:t>
      </w:r>
      <w:r>
        <w:rPr>
          <w:lang w:val="fr-FR"/>
        </w:rPr>
        <w:t xml:space="preserve"> présente un défaut</w:t>
      </w:r>
      <w:r w:rsidRPr="00B94979">
        <w:rPr>
          <w:lang w:val="fr-FR"/>
        </w:rPr>
        <w:t xml:space="preserve">. </w:t>
      </w:r>
      <w:r>
        <w:rPr>
          <w:lang w:val="fr-FR"/>
        </w:rPr>
        <w:t>L</w:t>
      </w:r>
      <w:r w:rsidR="00787782">
        <w:rPr>
          <w:lang w:val="fr-FR"/>
        </w:rPr>
        <w:t>’</w:t>
      </w:r>
      <w:r w:rsidRPr="00B94979">
        <w:rPr>
          <w:lang w:val="fr-FR"/>
        </w:rPr>
        <w:t>interdiction de</w:t>
      </w:r>
      <w:r>
        <w:rPr>
          <w:lang w:val="fr-FR"/>
        </w:rPr>
        <w:t xml:space="preserve"> ce type de</w:t>
      </w:r>
      <w:r w:rsidRPr="00B94979">
        <w:rPr>
          <w:lang w:val="fr-FR"/>
        </w:rPr>
        <w:t xml:space="preserve"> citernes a </w:t>
      </w:r>
      <w:r>
        <w:rPr>
          <w:lang w:val="fr-FR"/>
        </w:rPr>
        <w:t xml:space="preserve">toutefois </w:t>
      </w:r>
      <w:r w:rsidRPr="00B94979">
        <w:rPr>
          <w:lang w:val="fr-FR"/>
        </w:rPr>
        <w:t xml:space="preserve">été jugée trop </w:t>
      </w:r>
      <w:r>
        <w:rPr>
          <w:lang w:val="fr-FR"/>
        </w:rPr>
        <w:t>draconienne</w:t>
      </w:r>
      <w:r w:rsidRPr="00B94979">
        <w:rPr>
          <w:lang w:val="fr-FR"/>
        </w:rPr>
        <w:t>, dans la mesure où certaines matière</w:t>
      </w:r>
      <w:r>
        <w:rPr>
          <w:lang w:val="fr-FR"/>
        </w:rPr>
        <w:t>s qu</w:t>
      </w:r>
      <w:r w:rsidR="00787782">
        <w:rPr>
          <w:lang w:val="fr-FR"/>
        </w:rPr>
        <w:t>’</w:t>
      </w:r>
      <w:r>
        <w:rPr>
          <w:lang w:val="fr-FR"/>
        </w:rPr>
        <w:t>elles servent</w:t>
      </w:r>
      <w:r w:rsidRPr="00B94979">
        <w:rPr>
          <w:lang w:val="fr-FR"/>
        </w:rPr>
        <w:t xml:space="preserve"> habituellement </w:t>
      </w:r>
      <w:r>
        <w:rPr>
          <w:lang w:val="fr-FR"/>
        </w:rPr>
        <w:t xml:space="preserve">à </w:t>
      </w:r>
      <w:r w:rsidRPr="00B94979">
        <w:rPr>
          <w:lang w:val="fr-FR"/>
        </w:rPr>
        <w:t>transport</w:t>
      </w:r>
      <w:r>
        <w:rPr>
          <w:lang w:val="fr-FR"/>
        </w:rPr>
        <w:t>er ne réagissent pas de cette manière</w:t>
      </w:r>
      <w:r w:rsidRPr="00B94979">
        <w:rPr>
          <w:lang w:val="fr-FR"/>
        </w:rPr>
        <w:t xml:space="preserve">. </w:t>
      </w:r>
      <w:r>
        <w:rPr>
          <w:lang w:val="fr-FR"/>
        </w:rPr>
        <w:t>Étant donné que les citernes peuvent contenir des</w:t>
      </w:r>
      <w:r w:rsidRPr="00B94979">
        <w:rPr>
          <w:lang w:val="fr-FR"/>
        </w:rPr>
        <w:t xml:space="preserve"> mélanges, de</w:t>
      </w:r>
      <w:r>
        <w:rPr>
          <w:lang w:val="fr-FR"/>
        </w:rPr>
        <w:t>s</w:t>
      </w:r>
      <w:r w:rsidRPr="00B94979">
        <w:rPr>
          <w:lang w:val="fr-FR"/>
        </w:rPr>
        <w:t xml:space="preserve"> solutions ou de</w:t>
      </w:r>
      <w:r>
        <w:rPr>
          <w:lang w:val="fr-FR"/>
        </w:rPr>
        <w:t>s</w:t>
      </w:r>
      <w:r w:rsidRPr="00B94979">
        <w:rPr>
          <w:lang w:val="fr-FR"/>
        </w:rPr>
        <w:t xml:space="preserve"> matières </w:t>
      </w:r>
      <w:r>
        <w:rPr>
          <w:lang w:val="fr-FR"/>
        </w:rPr>
        <w:t>contenant des</w:t>
      </w:r>
      <w:r w:rsidRPr="00B94979">
        <w:rPr>
          <w:lang w:val="fr-FR"/>
        </w:rPr>
        <w:t xml:space="preserve"> impuretés,</w:t>
      </w:r>
      <w:r>
        <w:rPr>
          <w:lang w:val="fr-FR"/>
        </w:rPr>
        <w:t xml:space="preserve"> </w:t>
      </w:r>
      <w:r w:rsidRPr="00B94979">
        <w:rPr>
          <w:lang w:val="fr-FR"/>
        </w:rPr>
        <w:t xml:space="preserve">il peut être difficile de </w:t>
      </w:r>
      <w:r w:rsidRPr="00A06D70">
        <w:rPr>
          <w:lang w:val="fr-FR"/>
        </w:rPr>
        <w:t xml:space="preserve">repérer </w:t>
      </w:r>
      <w:r w:rsidRPr="00B94979">
        <w:rPr>
          <w:lang w:val="fr-FR"/>
        </w:rPr>
        <w:t>tous les numéros ONU concernés. À l</w:t>
      </w:r>
      <w:r w:rsidR="00787782">
        <w:rPr>
          <w:lang w:val="fr-FR"/>
        </w:rPr>
        <w:t>’</w:t>
      </w:r>
      <w:r w:rsidRPr="00B94979">
        <w:rPr>
          <w:lang w:val="fr-FR"/>
        </w:rPr>
        <w:t>issue des débats, il a été décidé de ne pas réglementer la construction et l</w:t>
      </w:r>
      <w:r w:rsidR="00787782">
        <w:rPr>
          <w:lang w:val="fr-FR"/>
        </w:rPr>
        <w:t>’</w:t>
      </w:r>
      <w:r>
        <w:rPr>
          <w:lang w:val="fr-FR"/>
        </w:rPr>
        <w:t>agrément</w:t>
      </w:r>
      <w:r w:rsidRPr="00B94979">
        <w:rPr>
          <w:lang w:val="fr-FR"/>
        </w:rPr>
        <w:t xml:space="preserve"> des citernes, mais leur utilisation, et cela uniquement pour les matières susceptibles de réagir fortement avec l</w:t>
      </w:r>
      <w:r w:rsidR="00787782">
        <w:rPr>
          <w:lang w:val="fr-FR"/>
        </w:rPr>
        <w:t>’</w:t>
      </w:r>
      <w:r w:rsidRPr="00B94979">
        <w:rPr>
          <w:lang w:val="fr-FR"/>
        </w:rPr>
        <w:t>alliage d</w:t>
      </w:r>
      <w:r w:rsidR="00787782">
        <w:rPr>
          <w:lang w:val="fr-FR"/>
        </w:rPr>
        <w:t>’</w:t>
      </w:r>
      <w:r w:rsidRPr="00B94979">
        <w:rPr>
          <w:lang w:val="fr-FR"/>
        </w:rPr>
        <w:t xml:space="preserve">aluminium. </w:t>
      </w:r>
      <w:r w:rsidRPr="008F4EBF">
        <w:rPr>
          <w:lang w:val="fr-FR"/>
        </w:rPr>
        <w:t>Les matières normalement transportées dans des citernes équipées d</w:t>
      </w:r>
      <w:r w:rsidR="00787782">
        <w:rPr>
          <w:lang w:val="fr-FR"/>
        </w:rPr>
        <w:t>’</w:t>
      </w:r>
      <w:r w:rsidRPr="008F4EBF">
        <w:rPr>
          <w:lang w:val="fr-FR"/>
        </w:rPr>
        <w:t>un revêtement protecteur seraient les premières à</w:t>
      </w:r>
      <w:r w:rsidR="009C46DB">
        <w:rPr>
          <w:lang w:val="fr-FR"/>
        </w:rPr>
        <w:t xml:space="preserve"> </w:t>
      </w:r>
      <w:r w:rsidRPr="008F4EBF">
        <w:rPr>
          <w:lang w:val="fr-FR"/>
        </w:rPr>
        <w:t xml:space="preserve">être soumises à une nouvelle disposition spéciale </w:t>
      </w:r>
      <w:proofErr w:type="spellStart"/>
      <w:r w:rsidRPr="008F4EBF">
        <w:rPr>
          <w:lang w:val="fr-FR"/>
        </w:rPr>
        <w:t>TUyy</w:t>
      </w:r>
      <w:proofErr w:type="spellEnd"/>
      <w:r>
        <w:rPr>
          <w:lang w:val="fr-FR"/>
        </w:rPr>
        <w:t>,</w:t>
      </w:r>
      <w:r w:rsidRPr="008F4EBF">
        <w:rPr>
          <w:lang w:val="fr-FR"/>
        </w:rPr>
        <w:t xml:space="preserve"> qui serait mentionnée dans la colonne 13 du tableau du chapitre 3.2</w:t>
      </w:r>
      <w:r w:rsidRPr="00B94979">
        <w:rPr>
          <w:lang w:val="fr-FR"/>
        </w:rPr>
        <w:t xml:space="preserve">. </w:t>
      </w:r>
      <w:r>
        <w:rPr>
          <w:lang w:val="fr-FR"/>
        </w:rPr>
        <w:t>Toute matière portant l</w:t>
      </w:r>
      <w:r w:rsidR="00787782">
        <w:rPr>
          <w:lang w:val="fr-FR"/>
        </w:rPr>
        <w:t>’</w:t>
      </w:r>
      <w:r>
        <w:rPr>
          <w:lang w:val="fr-FR"/>
        </w:rPr>
        <w:t>un des numéros ONU</w:t>
      </w:r>
      <w:r w:rsidR="00AC6D8C">
        <w:rPr>
          <w:lang w:val="fr-FR"/>
        </w:rPr>
        <w:t> </w:t>
      </w:r>
      <w:r>
        <w:rPr>
          <w:lang w:val="fr-FR"/>
        </w:rPr>
        <w:t xml:space="preserve">correspondants ne pourrait être </w:t>
      </w:r>
      <w:r w:rsidRPr="00B94979">
        <w:rPr>
          <w:lang w:val="fr-FR"/>
        </w:rPr>
        <w:t>transporté</w:t>
      </w:r>
      <w:r>
        <w:rPr>
          <w:lang w:val="fr-FR"/>
        </w:rPr>
        <w:t>e qu</w:t>
      </w:r>
      <w:r w:rsidR="00787782">
        <w:rPr>
          <w:lang w:val="fr-FR"/>
        </w:rPr>
        <w:t>’</w:t>
      </w:r>
      <w:r>
        <w:rPr>
          <w:lang w:val="fr-FR"/>
        </w:rPr>
        <w:t>à condition que son p</w:t>
      </w:r>
      <w:r w:rsidRPr="00B94979">
        <w:rPr>
          <w:lang w:val="fr-FR"/>
        </w:rPr>
        <w:t xml:space="preserve">H </w:t>
      </w:r>
      <w:r>
        <w:rPr>
          <w:lang w:val="fr-FR"/>
        </w:rPr>
        <w:t>soit compris ent</w:t>
      </w:r>
      <w:r w:rsidRPr="00B94979">
        <w:rPr>
          <w:lang w:val="fr-FR"/>
        </w:rPr>
        <w:t>re 5 et 8</w:t>
      </w:r>
      <w:r>
        <w:rPr>
          <w:lang w:val="fr-FR"/>
        </w:rPr>
        <w:t>.</w:t>
      </w:r>
    </w:p>
    <w:p w:rsidR="00286B3B" w:rsidRPr="00715526" w:rsidRDefault="00286B3B" w:rsidP="00C84F74">
      <w:pPr>
        <w:pStyle w:val="HChG"/>
        <w:rPr>
          <w:lang w:val="fr-FR"/>
        </w:rPr>
      </w:pPr>
      <w:r w:rsidRPr="00B94979">
        <w:rPr>
          <w:lang w:val="fr-FR"/>
        </w:rPr>
        <w:tab/>
      </w:r>
      <w:r w:rsidRPr="00B94979">
        <w:rPr>
          <w:lang w:val="fr-FR"/>
        </w:rPr>
        <w:tab/>
        <w:t>Mécanismes de défaillance de</w:t>
      </w:r>
      <w:r>
        <w:rPr>
          <w:lang w:val="fr-FR"/>
        </w:rPr>
        <w:t>s</w:t>
      </w:r>
      <w:r w:rsidRPr="00B94979">
        <w:rPr>
          <w:lang w:val="fr-FR"/>
        </w:rPr>
        <w:t xml:space="preserve"> revêtement</w:t>
      </w:r>
      <w:r>
        <w:rPr>
          <w:lang w:val="fr-FR"/>
        </w:rPr>
        <w:t>s</w:t>
      </w:r>
      <w:r w:rsidRPr="00B94979">
        <w:rPr>
          <w:lang w:val="fr-FR"/>
        </w:rPr>
        <w:t xml:space="preserve"> protecteur</w:t>
      </w:r>
      <w:r>
        <w:rPr>
          <w:lang w:val="fr-FR"/>
        </w:rPr>
        <w:t>s</w:t>
      </w:r>
    </w:p>
    <w:p w:rsidR="00286B3B" w:rsidRPr="00715526" w:rsidRDefault="00286B3B" w:rsidP="00C84F74">
      <w:pPr>
        <w:pStyle w:val="SingleTxtG"/>
        <w:numPr>
          <w:ilvl w:val="0"/>
          <w:numId w:val="15"/>
        </w:numPr>
        <w:ind w:left="1134" w:firstLine="0"/>
        <w:rPr>
          <w:lang w:val="fr-FR"/>
        </w:rPr>
      </w:pPr>
      <w:r w:rsidRPr="00B94979">
        <w:rPr>
          <w:lang w:val="fr-FR"/>
        </w:rPr>
        <w:t>Il a été dit qu</w:t>
      </w:r>
      <w:r>
        <w:rPr>
          <w:lang w:val="fr-FR"/>
        </w:rPr>
        <w:t xml:space="preserve">e la fiabilité des </w:t>
      </w:r>
      <w:r w:rsidRPr="00B94979">
        <w:rPr>
          <w:lang w:val="fr-FR"/>
        </w:rPr>
        <w:t xml:space="preserve">revêtements protecteurs (ébonite) était </w:t>
      </w:r>
      <w:r>
        <w:rPr>
          <w:lang w:val="fr-FR"/>
        </w:rPr>
        <w:t>en moyenne de</w:t>
      </w:r>
      <w:r w:rsidRPr="00B94979">
        <w:rPr>
          <w:lang w:val="fr-FR"/>
        </w:rPr>
        <w:t xml:space="preserve"> </w:t>
      </w:r>
      <w:r w:rsidR="00C84F74">
        <w:rPr>
          <w:lang w:val="fr-FR"/>
        </w:rPr>
        <w:t xml:space="preserve">quinze </w:t>
      </w:r>
      <w:r w:rsidRPr="00B94979">
        <w:rPr>
          <w:lang w:val="fr-FR"/>
        </w:rPr>
        <w:t>ans et qu</w:t>
      </w:r>
      <w:r w:rsidR="00787782">
        <w:rPr>
          <w:lang w:val="fr-FR"/>
        </w:rPr>
        <w:t>’</w:t>
      </w:r>
      <w:r w:rsidRPr="00B94979">
        <w:rPr>
          <w:lang w:val="fr-FR"/>
        </w:rPr>
        <w:t>après ce délai les réparations étaient plus fréquentes.</w:t>
      </w:r>
    </w:p>
    <w:p w:rsidR="00286B3B" w:rsidRPr="00715526" w:rsidRDefault="00286B3B" w:rsidP="00C84F74">
      <w:pPr>
        <w:pStyle w:val="SingleTxtG"/>
        <w:numPr>
          <w:ilvl w:val="0"/>
          <w:numId w:val="15"/>
        </w:numPr>
        <w:ind w:left="1134" w:firstLine="0"/>
        <w:rPr>
          <w:lang w:val="fr-FR"/>
        </w:rPr>
      </w:pPr>
      <w:r>
        <w:rPr>
          <w:lang w:val="fr-FR"/>
        </w:rPr>
        <w:t>Certains</w:t>
      </w:r>
      <w:r w:rsidRPr="00B94979">
        <w:rPr>
          <w:lang w:val="fr-FR"/>
        </w:rPr>
        <w:t xml:space="preserve"> </w:t>
      </w:r>
      <w:r>
        <w:rPr>
          <w:lang w:val="fr-FR"/>
        </w:rPr>
        <w:t xml:space="preserve">experts </w:t>
      </w:r>
      <w:r w:rsidRPr="00B94979">
        <w:rPr>
          <w:lang w:val="fr-FR"/>
        </w:rPr>
        <w:t xml:space="preserve">ont </w:t>
      </w:r>
      <w:r>
        <w:rPr>
          <w:lang w:val="fr-FR"/>
        </w:rPr>
        <w:t>fait</w:t>
      </w:r>
      <w:r w:rsidRPr="00B94979">
        <w:rPr>
          <w:lang w:val="fr-FR"/>
        </w:rPr>
        <w:t xml:space="preserve"> observer qu</w:t>
      </w:r>
      <w:r w:rsidR="00787782">
        <w:rPr>
          <w:lang w:val="fr-FR"/>
        </w:rPr>
        <w:t>’</w:t>
      </w:r>
      <w:r w:rsidRPr="00B94979">
        <w:rPr>
          <w:lang w:val="fr-FR"/>
        </w:rPr>
        <w:t>il convenait de tenir également compte de l</w:t>
      </w:r>
      <w:r w:rsidR="00787782">
        <w:rPr>
          <w:lang w:val="fr-FR"/>
        </w:rPr>
        <w:t>’</w:t>
      </w:r>
      <w:r w:rsidRPr="00B94979">
        <w:rPr>
          <w:lang w:val="fr-FR"/>
        </w:rPr>
        <w:t xml:space="preserve">utilisation de la citerne et de la qualité du revêtement. </w:t>
      </w:r>
      <w:r>
        <w:rPr>
          <w:lang w:val="fr-FR"/>
        </w:rPr>
        <w:t>Il importe en fait d</w:t>
      </w:r>
      <w:r w:rsidRPr="00B94979">
        <w:rPr>
          <w:lang w:val="fr-FR"/>
        </w:rPr>
        <w:t>e savoir si la citerne est utilisée pour un seul produit</w:t>
      </w:r>
      <w:r>
        <w:rPr>
          <w:lang w:val="fr-FR"/>
        </w:rPr>
        <w:t>,</w:t>
      </w:r>
      <w:r w:rsidRPr="00B94979">
        <w:rPr>
          <w:lang w:val="fr-FR"/>
        </w:rPr>
        <w:t xml:space="preserve"> ou si la matière t</w:t>
      </w:r>
      <w:r>
        <w:rPr>
          <w:lang w:val="fr-FR"/>
        </w:rPr>
        <w:t>ransportée change régulièrement</w:t>
      </w:r>
      <w:r w:rsidRPr="00B94979">
        <w:rPr>
          <w:lang w:val="fr-FR"/>
        </w:rPr>
        <w:t xml:space="preserve"> et si</w:t>
      </w:r>
      <w:r>
        <w:rPr>
          <w:lang w:val="fr-FR"/>
        </w:rPr>
        <w:t xml:space="preserve"> la citerne</w:t>
      </w:r>
      <w:r w:rsidRPr="00B94979">
        <w:rPr>
          <w:lang w:val="fr-FR"/>
        </w:rPr>
        <w:t xml:space="preserve"> est </w:t>
      </w:r>
      <w:r>
        <w:rPr>
          <w:lang w:val="fr-FR"/>
        </w:rPr>
        <w:t xml:space="preserve">alors </w:t>
      </w:r>
      <w:r w:rsidRPr="00B94979">
        <w:rPr>
          <w:lang w:val="fr-FR"/>
        </w:rPr>
        <w:t>nettoyée comme il se doit.</w:t>
      </w:r>
    </w:p>
    <w:p w:rsidR="00286B3B" w:rsidRPr="00715526" w:rsidRDefault="00286B3B" w:rsidP="00C84F74">
      <w:pPr>
        <w:pStyle w:val="SingleTxtG"/>
        <w:numPr>
          <w:ilvl w:val="0"/>
          <w:numId w:val="15"/>
        </w:numPr>
        <w:ind w:left="1134" w:firstLine="0"/>
        <w:rPr>
          <w:lang w:val="fr-FR"/>
        </w:rPr>
      </w:pPr>
      <w:r>
        <w:rPr>
          <w:lang w:val="fr-FR"/>
        </w:rPr>
        <w:t>Au cours du</w:t>
      </w:r>
      <w:r w:rsidRPr="00B94979">
        <w:rPr>
          <w:lang w:val="fr-FR"/>
        </w:rPr>
        <w:t xml:space="preserve"> nettoyage</w:t>
      </w:r>
      <w:r>
        <w:rPr>
          <w:lang w:val="fr-FR"/>
        </w:rPr>
        <w:t xml:space="preserve">, </w:t>
      </w:r>
      <w:r w:rsidRPr="00B94979">
        <w:rPr>
          <w:lang w:val="fr-FR"/>
        </w:rPr>
        <w:t>le revêtement risque d</w:t>
      </w:r>
      <w:r w:rsidR="00787782">
        <w:rPr>
          <w:lang w:val="fr-FR"/>
        </w:rPr>
        <w:t>’</w:t>
      </w:r>
      <w:r>
        <w:rPr>
          <w:lang w:val="fr-FR"/>
        </w:rPr>
        <w:t xml:space="preserve">être </w:t>
      </w:r>
      <w:r w:rsidRPr="00B94979">
        <w:rPr>
          <w:lang w:val="fr-FR"/>
        </w:rPr>
        <w:t>endommag</w:t>
      </w:r>
      <w:r>
        <w:rPr>
          <w:lang w:val="fr-FR"/>
        </w:rPr>
        <w:t>é</w:t>
      </w:r>
      <w:r w:rsidR="00C84F74">
        <w:rPr>
          <w:lang w:val="fr-FR"/>
        </w:rPr>
        <w:t xml:space="preserve"> </w:t>
      </w:r>
      <w:r>
        <w:rPr>
          <w:lang w:val="fr-FR"/>
        </w:rPr>
        <w:t xml:space="preserve">quand bien même </w:t>
      </w:r>
      <w:r w:rsidRPr="00B94979">
        <w:rPr>
          <w:lang w:val="fr-FR"/>
        </w:rPr>
        <w:t>les transporteurs et les nettoyeurs de citerne</w:t>
      </w:r>
      <w:r>
        <w:rPr>
          <w:lang w:val="fr-FR"/>
        </w:rPr>
        <w:t>s</w:t>
      </w:r>
      <w:r w:rsidRPr="00B94979">
        <w:rPr>
          <w:lang w:val="fr-FR"/>
        </w:rPr>
        <w:t xml:space="preserve"> sont convenus de procédures</w:t>
      </w:r>
      <w:r>
        <w:rPr>
          <w:lang w:val="fr-FR"/>
        </w:rPr>
        <w:t xml:space="preserve"> </w:t>
      </w:r>
      <w:r w:rsidRPr="00B94979">
        <w:rPr>
          <w:lang w:val="fr-FR"/>
        </w:rPr>
        <w:t xml:space="preserve">spéciales. </w:t>
      </w:r>
      <w:r>
        <w:rPr>
          <w:lang w:val="fr-FR"/>
        </w:rPr>
        <w:t>D</w:t>
      </w:r>
      <w:r w:rsidRPr="00B94979">
        <w:rPr>
          <w:lang w:val="fr-FR"/>
        </w:rPr>
        <w:t xml:space="preserve">es traces de matière </w:t>
      </w:r>
      <w:r>
        <w:rPr>
          <w:lang w:val="fr-FR"/>
        </w:rPr>
        <w:t xml:space="preserve">subsistant </w:t>
      </w:r>
      <w:r w:rsidRPr="00B94979">
        <w:rPr>
          <w:lang w:val="fr-FR"/>
        </w:rPr>
        <w:t>sur le revêtement après nettoyage de la citerne</w:t>
      </w:r>
      <w:r>
        <w:rPr>
          <w:lang w:val="fr-FR"/>
        </w:rPr>
        <w:t xml:space="preserve"> sont susceptibles de réagir avec le </w:t>
      </w:r>
      <w:r w:rsidRPr="00B94979">
        <w:rPr>
          <w:lang w:val="fr-FR"/>
        </w:rPr>
        <w:t xml:space="preserve">chargement suivant et </w:t>
      </w:r>
      <w:r>
        <w:rPr>
          <w:lang w:val="fr-FR"/>
        </w:rPr>
        <w:t>d</w:t>
      </w:r>
      <w:r w:rsidR="00787782">
        <w:rPr>
          <w:lang w:val="fr-FR"/>
        </w:rPr>
        <w:t>’</w:t>
      </w:r>
      <w:r>
        <w:rPr>
          <w:lang w:val="fr-FR"/>
        </w:rPr>
        <w:t>occasionner</w:t>
      </w:r>
      <w:r w:rsidRPr="00B94979">
        <w:rPr>
          <w:lang w:val="fr-FR"/>
        </w:rPr>
        <w:t xml:space="preserve"> des dégâts. </w:t>
      </w:r>
      <w:r>
        <w:rPr>
          <w:lang w:val="fr-FR"/>
        </w:rPr>
        <w:t>L</w:t>
      </w:r>
      <w:r w:rsidR="00787782">
        <w:rPr>
          <w:lang w:val="fr-FR"/>
        </w:rPr>
        <w:t>’</w:t>
      </w:r>
      <w:r w:rsidRPr="00B94979">
        <w:rPr>
          <w:lang w:val="fr-FR"/>
        </w:rPr>
        <w:t>action du soleil</w:t>
      </w:r>
      <w:r>
        <w:rPr>
          <w:lang w:val="fr-FR"/>
        </w:rPr>
        <w:t xml:space="preserve"> peut réchauffer l</w:t>
      </w:r>
      <w:r w:rsidRPr="00B94979">
        <w:rPr>
          <w:lang w:val="fr-FR"/>
        </w:rPr>
        <w:t>a matière</w:t>
      </w:r>
      <w:r>
        <w:rPr>
          <w:lang w:val="fr-FR"/>
        </w:rPr>
        <w:t xml:space="preserve"> transportée et augmenter la réactivité, ce qui peut endommager</w:t>
      </w:r>
      <w:r w:rsidRPr="00B94979">
        <w:rPr>
          <w:lang w:val="fr-FR"/>
        </w:rPr>
        <w:t xml:space="preserve"> le revêtement. </w:t>
      </w:r>
      <w:r>
        <w:rPr>
          <w:lang w:val="fr-FR"/>
        </w:rPr>
        <w:t xml:space="preserve">Une </w:t>
      </w:r>
      <w:r w:rsidRPr="007239AC">
        <w:rPr>
          <w:lang w:val="fr-FR"/>
        </w:rPr>
        <w:t xml:space="preserve">détérioration </w:t>
      </w:r>
      <w:r>
        <w:rPr>
          <w:lang w:val="fr-FR"/>
        </w:rPr>
        <w:t>m</w:t>
      </w:r>
      <w:r w:rsidRPr="007239AC">
        <w:rPr>
          <w:lang w:val="fr-FR"/>
        </w:rPr>
        <w:t>écanique</w:t>
      </w:r>
      <w:r w:rsidRPr="00B94979">
        <w:rPr>
          <w:lang w:val="fr-FR"/>
        </w:rPr>
        <w:t xml:space="preserve"> </w:t>
      </w:r>
      <w:r>
        <w:rPr>
          <w:lang w:val="fr-FR"/>
        </w:rPr>
        <w:t xml:space="preserve">extérieure </w:t>
      </w:r>
      <w:r w:rsidRPr="00B94979">
        <w:rPr>
          <w:lang w:val="fr-FR"/>
        </w:rPr>
        <w:t>peut être à l</w:t>
      </w:r>
      <w:r w:rsidR="00787782">
        <w:rPr>
          <w:lang w:val="fr-FR"/>
        </w:rPr>
        <w:t>’</w:t>
      </w:r>
      <w:r w:rsidRPr="00B94979">
        <w:rPr>
          <w:lang w:val="fr-FR"/>
        </w:rPr>
        <w:t>origine d</w:t>
      </w:r>
      <w:r>
        <w:rPr>
          <w:lang w:val="fr-FR"/>
        </w:rPr>
        <w:t>e défauts</w:t>
      </w:r>
      <w:r w:rsidRPr="00B94979">
        <w:rPr>
          <w:lang w:val="fr-FR"/>
        </w:rPr>
        <w:t xml:space="preserve">. Le simple </w:t>
      </w:r>
      <w:r>
        <w:rPr>
          <w:lang w:val="fr-FR"/>
        </w:rPr>
        <w:t xml:space="preserve">fait de </w:t>
      </w:r>
      <w:r w:rsidRPr="00B94979">
        <w:rPr>
          <w:lang w:val="fr-FR"/>
        </w:rPr>
        <w:t>démont</w:t>
      </w:r>
      <w:r>
        <w:rPr>
          <w:lang w:val="fr-FR"/>
        </w:rPr>
        <w:t>er</w:t>
      </w:r>
      <w:r w:rsidRPr="00B94979">
        <w:rPr>
          <w:lang w:val="fr-FR"/>
        </w:rPr>
        <w:t xml:space="preserve"> </w:t>
      </w:r>
      <w:r>
        <w:rPr>
          <w:lang w:val="fr-FR"/>
        </w:rPr>
        <w:t>et remonter</w:t>
      </w:r>
      <w:r w:rsidRPr="00B94979">
        <w:rPr>
          <w:lang w:val="fr-FR"/>
        </w:rPr>
        <w:t xml:space="preserve"> l</w:t>
      </w:r>
      <w:r w:rsidR="00787782">
        <w:rPr>
          <w:lang w:val="fr-FR"/>
        </w:rPr>
        <w:t>’</w:t>
      </w:r>
      <w:r w:rsidRPr="00B94979">
        <w:rPr>
          <w:lang w:val="fr-FR"/>
        </w:rPr>
        <w:t>équipement de service de la citerne ou le fait qu</w:t>
      </w:r>
      <w:r w:rsidR="00787782">
        <w:rPr>
          <w:lang w:val="fr-FR"/>
        </w:rPr>
        <w:t>’</w:t>
      </w:r>
      <w:r w:rsidRPr="00B94979">
        <w:rPr>
          <w:lang w:val="fr-FR"/>
        </w:rPr>
        <w:t xml:space="preserve">une personne y pénètre peut </w:t>
      </w:r>
      <w:r>
        <w:rPr>
          <w:lang w:val="fr-FR"/>
        </w:rPr>
        <w:t xml:space="preserve">aussi </w:t>
      </w:r>
      <w:r w:rsidRPr="00B94979">
        <w:rPr>
          <w:lang w:val="fr-FR"/>
        </w:rPr>
        <w:t xml:space="preserve">être </w:t>
      </w:r>
      <w:r>
        <w:rPr>
          <w:lang w:val="fr-FR"/>
        </w:rPr>
        <w:t xml:space="preserve">la cause de défauts </w:t>
      </w:r>
      <w:r w:rsidRPr="00E50499">
        <w:rPr>
          <w:lang w:val="fr-FR"/>
        </w:rPr>
        <w:t>à court terme</w:t>
      </w:r>
      <w:r w:rsidRPr="00B94979">
        <w:rPr>
          <w:lang w:val="fr-FR"/>
        </w:rPr>
        <w:t>.</w:t>
      </w:r>
    </w:p>
    <w:p w:rsidR="00286B3B" w:rsidRPr="00715526" w:rsidRDefault="00286B3B" w:rsidP="00C84F74">
      <w:pPr>
        <w:pStyle w:val="SingleTxtG"/>
        <w:numPr>
          <w:ilvl w:val="0"/>
          <w:numId w:val="15"/>
        </w:numPr>
        <w:ind w:left="1134" w:firstLine="0"/>
        <w:rPr>
          <w:lang w:val="fr-FR"/>
        </w:rPr>
      </w:pPr>
      <w:r w:rsidRPr="00B94979">
        <w:rPr>
          <w:lang w:val="fr-FR"/>
        </w:rPr>
        <w:lastRenderedPageBreak/>
        <w:t xml:space="preserve">Plus </w:t>
      </w:r>
      <w:r>
        <w:rPr>
          <w:lang w:val="fr-FR"/>
        </w:rPr>
        <w:t>l</w:t>
      </w:r>
      <w:r w:rsidRPr="00B94979">
        <w:rPr>
          <w:lang w:val="fr-FR"/>
        </w:rPr>
        <w:t xml:space="preserve">es citernes </w:t>
      </w:r>
      <w:r>
        <w:rPr>
          <w:lang w:val="fr-FR"/>
        </w:rPr>
        <w:t xml:space="preserve">considérées </w:t>
      </w:r>
      <w:r w:rsidRPr="00B94979">
        <w:rPr>
          <w:lang w:val="fr-FR"/>
        </w:rPr>
        <w:t>sont l</w:t>
      </w:r>
      <w:r w:rsidR="00787782">
        <w:rPr>
          <w:lang w:val="fr-FR"/>
        </w:rPr>
        <w:t>’</w:t>
      </w:r>
      <w:r w:rsidRPr="00B94979">
        <w:rPr>
          <w:lang w:val="fr-FR"/>
        </w:rPr>
        <w:t>objet d</w:t>
      </w:r>
      <w:r w:rsidR="00787782">
        <w:rPr>
          <w:lang w:val="fr-FR"/>
        </w:rPr>
        <w:t>’</w:t>
      </w:r>
      <w:r w:rsidRPr="00B94979">
        <w:rPr>
          <w:lang w:val="fr-FR"/>
        </w:rPr>
        <w:t>interventions, plus grand est le risque</w:t>
      </w:r>
      <w:r>
        <w:rPr>
          <w:lang w:val="fr-FR"/>
        </w:rPr>
        <w:t xml:space="preserve"> de défaillance, ce</w:t>
      </w:r>
      <w:r w:rsidRPr="00B94979">
        <w:rPr>
          <w:lang w:val="fr-FR"/>
        </w:rPr>
        <w:t xml:space="preserve"> pourquoi personne n</w:t>
      </w:r>
      <w:r>
        <w:rPr>
          <w:lang w:val="fr-FR"/>
        </w:rPr>
        <w:t>e souhaite augmenter la</w:t>
      </w:r>
      <w:r w:rsidR="006E05B2">
        <w:rPr>
          <w:lang w:val="fr-FR"/>
        </w:rPr>
        <w:t xml:space="preserve"> </w:t>
      </w:r>
      <w:r>
        <w:rPr>
          <w:lang w:val="fr-FR"/>
        </w:rPr>
        <w:t>fréquence des interventions à l</w:t>
      </w:r>
      <w:r w:rsidR="00787782">
        <w:rPr>
          <w:lang w:val="fr-FR"/>
        </w:rPr>
        <w:t>’</w:t>
      </w:r>
      <w:r>
        <w:rPr>
          <w:lang w:val="fr-FR"/>
        </w:rPr>
        <w:t>intérieur</w:t>
      </w:r>
      <w:r w:rsidRPr="00B94979">
        <w:rPr>
          <w:lang w:val="fr-FR"/>
        </w:rPr>
        <w:t xml:space="preserve">. </w:t>
      </w:r>
      <w:r>
        <w:rPr>
          <w:lang w:val="fr-FR"/>
        </w:rPr>
        <w:t xml:space="preserve">Pour ce qui est de la protection contre le </w:t>
      </w:r>
      <w:r w:rsidRPr="00B94979">
        <w:rPr>
          <w:lang w:val="fr-FR"/>
        </w:rPr>
        <w:t xml:space="preserve">rayonnement solaire et </w:t>
      </w:r>
      <w:r>
        <w:rPr>
          <w:lang w:val="fr-FR"/>
        </w:rPr>
        <w:t>l</w:t>
      </w:r>
      <w:r w:rsidRPr="00B94979">
        <w:rPr>
          <w:lang w:val="fr-FR"/>
        </w:rPr>
        <w:t>es chocs mécaniques</w:t>
      </w:r>
      <w:r>
        <w:rPr>
          <w:lang w:val="fr-FR"/>
        </w:rPr>
        <w:t xml:space="preserve"> extérieurs, il a été estimé que les</w:t>
      </w:r>
      <w:r w:rsidRPr="00B94979">
        <w:rPr>
          <w:lang w:val="fr-FR"/>
        </w:rPr>
        <w:t xml:space="preserve"> revêtement</w:t>
      </w:r>
      <w:r>
        <w:rPr>
          <w:lang w:val="fr-FR"/>
        </w:rPr>
        <w:t>s</w:t>
      </w:r>
      <w:r w:rsidRPr="00B94979">
        <w:rPr>
          <w:lang w:val="fr-FR"/>
        </w:rPr>
        <w:t xml:space="preserve"> externe</w:t>
      </w:r>
      <w:r>
        <w:rPr>
          <w:lang w:val="fr-FR"/>
        </w:rPr>
        <w:t>s étaient une solution intéressante</w:t>
      </w:r>
      <w:r w:rsidRPr="00B94979">
        <w:rPr>
          <w:lang w:val="fr-FR"/>
        </w:rPr>
        <w:t xml:space="preserve">. Il a </w:t>
      </w:r>
      <w:r>
        <w:rPr>
          <w:lang w:val="fr-FR"/>
        </w:rPr>
        <w:t xml:space="preserve">également été question du fait que </w:t>
      </w:r>
      <w:r w:rsidRPr="00B94979">
        <w:rPr>
          <w:lang w:val="fr-FR"/>
        </w:rPr>
        <w:t>les épreuves produisant des étincell</w:t>
      </w:r>
      <w:r>
        <w:rPr>
          <w:lang w:val="fr-FR"/>
        </w:rPr>
        <w:t>es</w:t>
      </w:r>
      <w:r w:rsidRPr="00B94979">
        <w:rPr>
          <w:lang w:val="fr-FR"/>
        </w:rPr>
        <w:t xml:space="preserve"> pouvaient être à l</w:t>
      </w:r>
      <w:r w:rsidR="00787782">
        <w:rPr>
          <w:lang w:val="fr-FR"/>
        </w:rPr>
        <w:t>’</w:t>
      </w:r>
      <w:r w:rsidRPr="00B94979">
        <w:rPr>
          <w:lang w:val="fr-FR"/>
        </w:rPr>
        <w:t>origine de déf</w:t>
      </w:r>
      <w:r>
        <w:rPr>
          <w:lang w:val="fr-FR"/>
        </w:rPr>
        <w:t>aut</w:t>
      </w:r>
      <w:r w:rsidRPr="00B94979">
        <w:rPr>
          <w:lang w:val="fr-FR"/>
        </w:rPr>
        <w:t xml:space="preserve">s, en particulier lorsque la tension utilisée </w:t>
      </w:r>
      <w:r>
        <w:rPr>
          <w:lang w:val="fr-FR"/>
        </w:rPr>
        <w:t>était</w:t>
      </w:r>
      <w:r w:rsidRPr="00B94979">
        <w:rPr>
          <w:lang w:val="fr-FR"/>
        </w:rPr>
        <w:t xml:space="preserve"> élevée. Il a également été indiqué que la tension de sécurité devait être plus </w:t>
      </w:r>
      <w:r>
        <w:rPr>
          <w:lang w:val="fr-FR"/>
        </w:rPr>
        <w:t>faible</w:t>
      </w:r>
      <w:r w:rsidRPr="00B94979">
        <w:rPr>
          <w:lang w:val="fr-FR"/>
        </w:rPr>
        <w:t xml:space="preserve"> pour les revêtements </w:t>
      </w:r>
      <w:r>
        <w:rPr>
          <w:lang w:val="fr-FR"/>
        </w:rPr>
        <w:t>ayant déjà servi</w:t>
      </w:r>
      <w:r w:rsidRPr="00B94979">
        <w:rPr>
          <w:lang w:val="fr-FR"/>
        </w:rPr>
        <w:t xml:space="preserve"> que pour les revêtements neufs. Il a </w:t>
      </w:r>
      <w:r>
        <w:rPr>
          <w:lang w:val="fr-FR"/>
        </w:rPr>
        <w:t xml:space="preserve">par conséquent </w:t>
      </w:r>
      <w:r w:rsidRPr="00B94979">
        <w:rPr>
          <w:lang w:val="fr-FR"/>
        </w:rPr>
        <w:t xml:space="preserve">été </w:t>
      </w:r>
      <w:r>
        <w:rPr>
          <w:lang w:val="fr-FR"/>
        </w:rPr>
        <w:t>suggéré</w:t>
      </w:r>
      <w:r w:rsidRPr="00B94979">
        <w:rPr>
          <w:lang w:val="fr-FR"/>
        </w:rPr>
        <w:t xml:space="preserve"> que le fabricant, le fournisseur ou l</w:t>
      </w:r>
      <w:r w:rsidR="00787782">
        <w:rPr>
          <w:lang w:val="fr-FR"/>
        </w:rPr>
        <w:t>’</w:t>
      </w:r>
      <w:r w:rsidRPr="00B94979">
        <w:rPr>
          <w:lang w:val="fr-FR"/>
        </w:rPr>
        <w:t xml:space="preserve">applicateur du revêtement </w:t>
      </w:r>
      <w:r>
        <w:rPr>
          <w:lang w:val="fr-FR"/>
        </w:rPr>
        <w:t>indiquent les</w:t>
      </w:r>
      <w:r w:rsidRPr="00280791">
        <w:rPr>
          <w:lang w:val="fr-FR"/>
        </w:rPr>
        <w:t xml:space="preserve"> tension</w:t>
      </w:r>
      <w:r>
        <w:rPr>
          <w:lang w:val="fr-FR"/>
        </w:rPr>
        <w:t>s</w:t>
      </w:r>
      <w:r w:rsidRPr="00280791">
        <w:rPr>
          <w:lang w:val="fr-FR"/>
        </w:rPr>
        <w:t xml:space="preserve"> de sécurité</w:t>
      </w:r>
      <w:r w:rsidRPr="00B94979">
        <w:rPr>
          <w:lang w:val="fr-FR"/>
        </w:rPr>
        <w:t xml:space="preserve"> </w:t>
      </w:r>
      <w:r>
        <w:rPr>
          <w:lang w:val="fr-FR"/>
        </w:rPr>
        <w:t xml:space="preserve">à respecter en fonction de </w:t>
      </w:r>
      <w:r w:rsidRPr="00B94979">
        <w:rPr>
          <w:lang w:val="fr-FR"/>
        </w:rPr>
        <w:t>l</w:t>
      </w:r>
      <w:r w:rsidR="00787782">
        <w:rPr>
          <w:lang w:val="fr-FR"/>
        </w:rPr>
        <w:t>’</w:t>
      </w:r>
      <w:r w:rsidRPr="00B94979">
        <w:rPr>
          <w:lang w:val="fr-FR"/>
        </w:rPr>
        <w:t>âge d</w:t>
      </w:r>
      <w:r>
        <w:rPr>
          <w:lang w:val="fr-FR"/>
        </w:rPr>
        <w:t xml:space="preserve">udit </w:t>
      </w:r>
      <w:r w:rsidRPr="00B94979">
        <w:rPr>
          <w:lang w:val="fr-FR"/>
        </w:rPr>
        <w:t>revêtement.</w:t>
      </w:r>
    </w:p>
    <w:p w:rsidR="00286B3B" w:rsidRPr="00715526" w:rsidRDefault="00286B3B" w:rsidP="00C84F74">
      <w:pPr>
        <w:pStyle w:val="SingleTxtG"/>
        <w:numPr>
          <w:ilvl w:val="0"/>
          <w:numId w:val="15"/>
        </w:numPr>
        <w:ind w:left="1134" w:firstLine="0"/>
        <w:rPr>
          <w:lang w:val="fr-FR"/>
        </w:rPr>
      </w:pPr>
      <w:r w:rsidRPr="00B94979">
        <w:rPr>
          <w:lang w:val="fr-FR"/>
        </w:rPr>
        <w:t xml:space="preserve">Au cours de la réunion, un représentant de </w:t>
      </w:r>
      <w:r>
        <w:rPr>
          <w:lang w:val="fr-FR"/>
        </w:rPr>
        <w:t xml:space="preserve">la société </w:t>
      </w:r>
      <w:r w:rsidRPr="00B94979">
        <w:rPr>
          <w:lang w:val="fr-FR"/>
        </w:rPr>
        <w:t>Simona AG a fait un exposé sur les propriétés et l</w:t>
      </w:r>
      <w:r w:rsidR="00787782">
        <w:rPr>
          <w:lang w:val="fr-FR"/>
        </w:rPr>
        <w:t>’</w:t>
      </w:r>
      <w:r w:rsidRPr="00B94979">
        <w:rPr>
          <w:lang w:val="fr-FR"/>
        </w:rPr>
        <w:t>application des revêtements thermoplastiques. Il a été question des avantages qu</w:t>
      </w:r>
      <w:r w:rsidR="00787782">
        <w:rPr>
          <w:lang w:val="fr-FR"/>
        </w:rPr>
        <w:t>’</w:t>
      </w:r>
      <w:r w:rsidRPr="00B94979">
        <w:rPr>
          <w:lang w:val="fr-FR"/>
        </w:rPr>
        <w:t xml:space="preserve">ils présentaient, notamment leur très bonne résistance à certaines matières et leur longue durée de vie, </w:t>
      </w:r>
      <w:r w:rsidRPr="008F4EBF">
        <w:rPr>
          <w:lang w:val="fr-FR"/>
        </w:rPr>
        <w:t xml:space="preserve">mais aussi des différences de prix entre les matériaux en PVC ordinaire et les </w:t>
      </w:r>
      <w:r>
        <w:rPr>
          <w:lang w:val="fr-FR"/>
        </w:rPr>
        <w:t>matériaux</w:t>
      </w:r>
      <w:r w:rsidRPr="008F4EBF">
        <w:rPr>
          <w:lang w:val="fr-FR"/>
        </w:rPr>
        <w:t xml:space="preserve"> plus </w:t>
      </w:r>
      <w:r>
        <w:rPr>
          <w:lang w:val="fr-FR"/>
        </w:rPr>
        <w:t>élaborés</w:t>
      </w:r>
      <w:r w:rsidRPr="00B94979">
        <w:rPr>
          <w:lang w:val="fr-FR"/>
        </w:rPr>
        <w:t>, d</w:t>
      </w:r>
      <w:r>
        <w:rPr>
          <w:lang w:val="fr-FR"/>
        </w:rPr>
        <w:t>e la nécessité d</w:t>
      </w:r>
      <w:r w:rsidR="00787782">
        <w:rPr>
          <w:lang w:val="fr-FR"/>
        </w:rPr>
        <w:t>’</w:t>
      </w:r>
      <w:r>
        <w:rPr>
          <w:lang w:val="fr-FR"/>
        </w:rPr>
        <w:t>un pr</w:t>
      </w:r>
      <w:r w:rsidRPr="00B94979">
        <w:rPr>
          <w:lang w:val="fr-FR"/>
        </w:rPr>
        <w:t xml:space="preserve">éformage </w:t>
      </w:r>
      <w:r w:rsidRPr="008F4EBF">
        <w:rPr>
          <w:lang w:val="fr-FR"/>
        </w:rPr>
        <w:t>pour les plaques faites d</w:t>
      </w:r>
      <w:r w:rsidR="00787782">
        <w:rPr>
          <w:lang w:val="fr-FR"/>
        </w:rPr>
        <w:t>’</w:t>
      </w:r>
      <w:r w:rsidRPr="008F4EBF">
        <w:rPr>
          <w:lang w:val="fr-FR"/>
        </w:rPr>
        <w:t>un matériau plus rigide</w:t>
      </w:r>
      <w:r w:rsidRPr="00B94979">
        <w:rPr>
          <w:lang w:val="fr-FR"/>
        </w:rPr>
        <w:t xml:space="preserve">, de la soudure des </w:t>
      </w:r>
      <w:r>
        <w:rPr>
          <w:lang w:val="fr-FR"/>
        </w:rPr>
        <w:t xml:space="preserve">différents éléments </w:t>
      </w:r>
      <w:r w:rsidRPr="00B94979">
        <w:rPr>
          <w:lang w:val="fr-FR"/>
        </w:rPr>
        <w:t>et d</w:t>
      </w:r>
      <w:r>
        <w:rPr>
          <w:lang w:val="fr-FR"/>
        </w:rPr>
        <w:t>u collage</w:t>
      </w:r>
      <w:r w:rsidR="006E05B2">
        <w:rPr>
          <w:lang w:val="fr-FR"/>
        </w:rPr>
        <w:t xml:space="preserve"> </w:t>
      </w:r>
      <w:r w:rsidRPr="00B94979">
        <w:rPr>
          <w:lang w:val="fr-FR"/>
        </w:rPr>
        <w:t>au réservoir. Le groupe de travail informel a remercié le représentant de Simona AG pour son exposé très instructif et pour ses réponses aux questions posées.</w:t>
      </w:r>
    </w:p>
    <w:p w:rsidR="00286B3B" w:rsidRPr="00B94979" w:rsidRDefault="00286B3B" w:rsidP="00C84F74">
      <w:pPr>
        <w:pStyle w:val="HChG"/>
        <w:rPr>
          <w:lang w:val="en-GB"/>
        </w:rPr>
      </w:pPr>
      <w:r w:rsidRPr="00B94979">
        <w:rPr>
          <w:lang w:val="fr-FR"/>
        </w:rPr>
        <w:tab/>
      </w:r>
      <w:r w:rsidRPr="00B94979">
        <w:rPr>
          <w:lang w:val="fr-FR"/>
        </w:rPr>
        <w:tab/>
        <w:t>Amendements</w:t>
      </w:r>
      <w:r>
        <w:rPr>
          <w:lang w:val="fr-FR"/>
        </w:rPr>
        <w:t xml:space="preserve"> au texte réglementaire</w:t>
      </w:r>
    </w:p>
    <w:p w:rsidR="00286B3B" w:rsidRPr="00715526" w:rsidRDefault="00286B3B" w:rsidP="00C84F74">
      <w:pPr>
        <w:pStyle w:val="SingleTxtG"/>
        <w:numPr>
          <w:ilvl w:val="0"/>
          <w:numId w:val="15"/>
        </w:numPr>
        <w:ind w:left="1134" w:firstLine="0"/>
        <w:rPr>
          <w:lang w:val="fr-FR"/>
        </w:rPr>
      </w:pPr>
      <w:r w:rsidRPr="00B94979">
        <w:rPr>
          <w:lang w:val="fr-FR"/>
        </w:rPr>
        <w:t xml:space="preserve">Les amendements </w:t>
      </w:r>
      <w:r>
        <w:rPr>
          <w:lang w:val="fr-FR"/>
        </w:rPr>
        <w:t xml:space="preserve">à envisager </w:t>
      </w:r>
      <w:r w:rsidRPr="00B94979">
        <w:rPr>
          <w:lang w:val="fr-FR"/>
        </w:rPr>
        <w:t>ont été examinés sur la base d</w:t>
      </w:r>
      <w:r w:rsidR="00787782">
        <w:rPr>
          <w:lang w:val="fr-FR"/>
        </w:rPr>
        <w:t>’</w:t>
      </w:r>
      <w:r w:rsidRPr="00B94979">
        <w:rPr>
          <w:lang w:val="fr-FR"/>
        </w:rPr>
        <w:t>un document fourni aux participants par l</w:t>
      </w:r>
      <w:r w:rsidR="00787782">
        <w:rPr>
          <w:lang w:val="fr-FR"/>
        </w:rPr>
        <w:t>’</w:t>
      </w:r>
      <w:r w:rsidRPr="00B94979">
        <w:rPr>
          <w:lang w:val="fr-FR"/>
        </w:rPr>
        <w:t xml:space="preserve">expert des Pays-Bas avant la réunion. Les conclusions </w:t>
      </w:r>
      <w:r>
        <w:rPr>
          <w:lang w:val="fr-FR"/>
        </w:rPr>
        <w:t xml:space="preserve">des débats </w:t>
      </w:r>
      <w:r w:rsidRPr="00B94979">
        <w:rPr>
          <w:lang w:val="fr-FR"/>
        </w:rPr>
        <w:t>figurent à l</w:t>
      </w:r>
      <w:r w:rsidR="00787782">
        <w:rPr>
          <w:lang w:val="fr-FR"/>
        </w:rPr>
        <w:t>’</w:t>
      </w:r>
      <w:r w:rsidRPr="00B94979">
        <w:rPr>
          <w:lang w:val="fr-FR"/>
        </w:rPr>
        <w:t xml:space="preserve">annexe du présent rapport. </w:t>
      </w:r>
    </w:p>
    <w:p w:rsidR="00286B3B" w:rsidRPr="00715526" w:rsidRDefault="00286B3B" w:rsidP="00C84F74">
      <w:pPr>
        <w:pStyle w:val="SingleTxtG"/>
        <w:numPr>
          <w:ilvl w:val="0"/>
          <w:numId w:val="15"/>
        </w:numPr>
        <w:ind w:left="1134" w:firstLine="0"/>
        <w:rPr>
          <w:lang w:val="fr-FR"/>
        </w:rPr>
      </w:pPr>
      <w:r w:rsidRPr="00B94979">
        <w:rPr>
          <w:lang w:val="fr-FR"/>
        </w:rPr>
        <w:t>Il convient de noter qu</w:t>
      </w:r>
      <w:r w:rsidR="00787782">
        <w:rPr>
          <w:lang w:val="fr-FR"/>
        </w:rPr>
        <w:t>’</w:t>
      </w:r>
      <w:r w:rsidRPr="00B94979">
        <w:rPr>
          <w:lang w:val="fr-FR"/>
        </w:rPr>
        <w:t>il n</w:t>
      </w:r>
      <w:r w:rsidR="00787782">
        <w:rPr>
          <w:lang w:val="fr-FR"/>
        </w:rPr>
        <w:t>’</w:t>
      </w:r>
      <w:r w:rsidRPr="00B94979">
        <w:rPr>
          <w:lang w:val="fr-FR"/>
        </w:rPr>
        <w:t xml:space="preserve">y a pas eu de consensus à propos de la modification des prescriptions de </w:t>
      </w:r>
      <w:r>
        <w:rPr>
          <w:lang w:val="fr-FR"/>
        </w:rPr>
        <w:t xml:space="preserve">construction </w:t>
      </w:r>
      <w:r w:rsidRPr="00B94979">
        <w:rPr>
          <w:lang w:val="fr-FR"/>
        </w:rPr>
        <w:t>du 6.8.2.1.24 aux fins d</w:t>
      </w:r>
      <w:r w:rsidR="00787782">
        <w:rPr>
          <w:lang w:val="fr-FR"/>
        </w:rPr>
        <w:t>’</w:t>
      </w:r>
      <w:r w:rsidRPr="00B94979">
        <w:rPr>
          <w:lang w:val="fr-FR"/>
        </w:rPr>
        <w:t xml:space="preserve">harmonisation avec </w:t>
      </w:r>
      <w:r>
        <w:rPr>
          <w:lang w:val="fr-FR"/>
        </w:rPr>
        <w:t>le</w:t>
      </w:r>
      <w:r w:rsidRPr="00B94979">
        <w:rPr>
          <w:lang w:val="fr-FR"/>
        </w:rPr>
        <w:t xml:space="preserve"> chapitre 6.7. </w:t>
      </w:r>
      <w:r>
        <w:rPr>
          <w:lang w:val="fr-FR"/>
        </w:rPr>
        <w:t>Il</w:t>
      </w:r>
      <w:r w:rsidRPr="00B94979">
        <w:rPr>
          <w:lang w:val="fr-FR"/>
        </w:rPr>
        <w:t xml:space="preserve"> a </w:t>
      </w:r>
      <w:r>
        <w:rPr>
          <w:lang w:val="fr-FR"/>
        </w:rPr>
        <w:t xml:space="preserve">notamment </w:t>
      </w:r>
      <w:r w:rsidRPr="00B94979">
        <w:rPr>
          <w:lang w:val="fr-FR"/>
        </w:rPr>
        <w:t xml:space="preserve">été estimé que la deuxième et </w:t>
      </w:r>
      <w:r>
        <w:rPr>
          <w:lang w:val="fr-FR"/>
        </w:rPr>
        <w:t xml:space="preserve">la </w:t>
      </w:r>
      <w:r w:rsidRPr="00B94979">
        <w:rPr>
          <w:lang w:val="fr-FR"/>
        </w:rPr>
        <w:t>dernière phrase du 6.7.2.2.4 concernant l</w:t>
      </w:r>
      <w:r w:rsidR="00787782">
        <w:rPr>
          <w:lang w:val="fr-FR"/>
        </w:rPr>
        <w:t>’</w:t>
      </w:r>
      <w:r w:rsidRPr="00B94979">
        <w:rPr>
          <w:lang w:val="fr-FR"/>
        </w:rPr>
        <w:t>application d</w:t>
      </w:r>
      <w:r w:rsidR="00787782">
        <w:rPr>
          <w:lang w:val="fr-FR"/>
        </w:rPr>
        <w:t>’</w:t>
      </w:r>
      <w:r w:rsidRPr="00B94979">
        <w:rPr>
          <w:lang w:val="fr-FR"/>
        </w:rPr>
        <w:t xml:space="preserve">un matériau de revêtement sur la face des brides ne correspondait plus à la technologie actuelle, ce qui peut également avoir une incidence </w:t>
      </w:r>
      <w:r>
        <w:rPr>
          <w:lang w:val="fr-FR"/>
        </w:rPr>
        <w:t>pour</w:t>
      </w:r>
      <w:r w:rsidRPr="00B94979">
        <w:rPr>
          <w:lang w:val="fr-FR"/>
        </w:rPr>
        <w:t xml:space="preserve"> les citernes mobiles. </w:t>
      </w:r>
    </w:p>
    <w:p w:rsidR="00286B3B" w:rsidRDefault="00286B3B" w:rsidP="00C84F74">
      <w:pPr>
        <w:pStyle w:val="HChG"/>
        <w:rPr>
          <w:lang w:val="fr-FR"/>
        </w:rPr>
      </w:pPr>
      <w:r w:rsidRPr="00715526">
        <w:rPr>
          <w:lang w:val="fr-FR"/>
        </w:rPr>
        <w:br w:type="page"/>
      </w:r>
      <w:r w:rsidRPr="00B94979">
        <w:rPr>
          <w:lang w:val="fr-FR"/>
        </w:rPr>
        <w:lastRenderedPageBreak/>
        <w:t xml:space="preserve">Annexe </w:t>
      </w:r>
    </w:p>
    <w:tbl>
      <w:tblPr>
        <w:tblStyle w:val="Grilledutableau"/>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2"/>
        <w:gridCol w:w="4372"/>
        <w:gridCol w:w="4651"/>
      </w:tblGrid>
      <w:tr w:rsidR="00DC0E7E" w:rsidRPr="00D23AD6" w:rsidTr="009B2BA4">
        <w:trPr>
          <w:tblHeader/>
          <w:jc w:val="center"/>
        </w:trPr>
        <w:tc>
          <w:tcPr>
            <w:tcW w:w="60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D23AD6" w:rsidRPr="00D23AD6" w:rsidRDefault="00D23AD6" w:rsidP="00C368A5">
            <w:pPr>
              <w:spacing w:before="40" w:after="120"/>
              <w:ind w:left="113" w:right="113"/>
              <w:rPr>
                <w:i/>
                <w:sz w:val="16"/>
              </w:rPr>
            </w:pPr>
            <w:r w:rsidRPr="009B2BA4">
              <w:rPr>
                <w:i/>
                <w:sz w:val="16"/>
              </w:rPr>
              <w:t>Point</w:t>
            </w:r>
          </w:p>
        </w:tc>
        <w:tc>
          <w:tcPr>
            <w:tcW w:w="437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D23AD6" w:rsidRPr="00D23AD6" w:rsidRDefault="00D23AD6" w:rsidP="00C368A5">
            <w:pPr>
              <w:spacing w:before="40" w:after="120"/>
              <w:ind w:left="113" w:right="113"/>
              <w:rPr>
                <w:i/>
                <w:sz w:val="16"/>
              </w:rPr>
            </w:pPr>
            <w:r w:rsidRPr="009A1013">
              <w:rPr>
                <w:i/>
                <w:sz w:val="16"/>
                <w:lang w:val="fr-FR"/>
              </w:rPr>
              <w:t>Proposition</w:t>
            </w:r>
          </w:p>
        </w:tc>
        <w:tc>
          <w:tcPr>
            <w:tcW w:w="4651"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D23AD6" w:rsidRPr="00D23AD6" w:rsidRDefault="00D23AD6" w:rsidP="00C368A5">
            <w:pPr>
              <w:spacing w:before="40" w:after="120"/>
              <w:ind w:left="113" w:right="113"/>
              <w:rPr>
                <w:i/>
                <w:sz w:val="16"/>
              </w:rPr>
            </w:pPr>
            <w:r w:rsidRPr="009A1013">
              <w:rPr>
                <w:i/>
                <w:sz w:val="16"/>
                <w:lang w:val="fr-FR"/>
              </w:rPr>
              <w:t>Justification</w:t>
            </w:r>
          </w:p>
        </w:tc>
      </w:tr>
      <w:tr w:rsidR="00DC0E7E" w:rsidRPr="00D23AD6" w:rsidTr="009B2BA4">
        <w:trPr>
          <w:jc w:val="center"/>
        </w:trPr>
        <w:tc>
          <w:tcPr>
            <w:tcW w:w="602" w:type="dxa"/>
            <w:tcBorders>
              <w:left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t>1</w:t>
            </w:r>
          </w:p>
        </w:tc>
        <w:tc>
          <w:tcPr>
            <w:tcW w:w="4372" w:type="dxa"/>
            <w:tcBorders>
              <w:left w:val="single" w:sz="4" w:space="0" w:color="auto"/>
              <w:right w:val="single" w:sz="4" w:space="0" w:color="auto"/>
            </w:tcBorders>
            <w:shd w:val="clear" w:color="auto" w:fill="auto"/>
            <w:tcMar>
              <w:left w:w="0" w:type="dxa"/>
              <w:right w:w="0" w:type="dxa"/>
            </w:tcMar>
          </w:tcPr>
          <w:p w:rsidR="00D23AD6" w:rsidRDefault="00D23AD6" w:rsidP="00C368A5">
            <w:pPr>
              <w:spacing w:before="40" w:after="120"/>
              <w:ind w:left="113" w:right="113"/>
              <w:rPr>
                <w:lang w:val="fr-FR"/>
              </w:rPr>
            </w:pPr>
            <w:r w:rsidRPr="009A1013">
              <w:rPr>
                <w:lang w:val="fr-FR"/>
              </w:rPr>
              <w:t>Ajouter au 1.2.1 une nouvelle définition libellée comme suit</w:t>
            </w:r>
            <w:r>
              <w:rPr>
                <w:lang w:val="fr-FR"/>
              </w:rPr>
              <w:t> </w:t>
            </w:r>
            <w:r w:rsidRPr="009A1013">
              <w:rPr>
                <w:lang w:val="fr-FR"/>
              </w:rPr>
              <w:t>:</w:t>
            </w:r>
          </w:p>
          <w:p w:rsidR="00D23AD6" w:rsidRDefault="00D23AD6" w:rsidP="00C368A5">
            <w:pPr>
              <w:spacing w:before="40" w:after="120"/>
              <w:ind w:left="113" w:right="113"/>
              <w:rPr>
                <w:lang w:val="fr-FR"/>
              </w:rPr>
            </w:pPr>
            <w:r>
              <w:rPr>
                <w:lang w:val="fr-FR"/>
              </w:rPr>
              <w:t>« </w:t>
            </w:r>
            <w:r w:rsidRPr="009A1013">
              <w:rPr>
                <w:i/>
                <w:lang w:val="fr-FR"/>
              </w:rPr>
              <w:t>Revêtement protecteur</w:t>
            </w:r>
            <w:r w:rsidRPr="009A1013">
              <w:rPr>
                <w:lang w:val="fr-FR"/>
              </w:rPr>
              <w:t xml:space="preserve"> (pour les citernes), un revêtement collé ou appliqué par vaporisation protégeant le métal de la citerne des matières transportées.</w:t>
            </w:r>
          </w:p>
          <w:p w:rsidR="00D23AD6" w:rsidRPr="00D23AD6" w:rsidRDefault="00D23AD6" w:rsidP="00C368A5">
            <w:pPr>
              <w:spacing w:before="40" w:after="120"/>
              <w:ind w:left="113" w:right="113"/>
            </w:pPr>
            <w:r w:rsidRPr="009A1013">
              <w:rPr>
                <w:b/>
                <w:bCs/>
                <w:i/>
                <w:iCs/>
                <w:lang w:val="fr-FR"/>
              </w:rPr>
              <w:t>N</w:t>
            </w:r>
            <w:r w:rsidR="00DC0E7E">
              <w:rPr>
                <w:b/>
                <w:bCs/>
                <w:i/>
                <w:iCs/>
                <w:lang w:val="fr-FR"/>
              </w:rPr>
              <w:t>OTA</w:t>
            </w:r>
            <w:r w:rsidRPr="00817111">
              <w:rPr>
                <w:bCs/>
                <w:i/>
                <w:iCs/>
                <w:lang w:val="fr-FR"/>
              </w:rPr>
              <w:t> :</w:t>
            </w:r>
            <w:r w:rsidRPr="00817111">
              <w:rPr>
                <w:i/>
                <w:lang w:val="fr-FR"/>
              </w:rPr>
              <w:t xml:space="preserve"> </w:t>
            </w:r>
            <w:r w:rsidRPr="009A1013">
              <w:rPr>
                <w:i/>
                <w:lang w:val="fr-FR"/>
              </w:rPr>
              <w:t>Cette disposition ne s</w:t>
            </w:r>
            <w:r w:rsidR="00787782">
              <w:rPr>
                <w:i/>
                <w:lang w:val="fr-FR"/>
              </w:rPr>
              <w:t>’</w:t>
            </w:r>
            <w:r w:rsidRPr="009A1013">
              <w:rPr>
                <w:i/>
                <w:lang w:val="fr-FR"/>
              </w:rPr>
              <w:t>applique pas aux revêtements servant uniquement à protéger les matières transportées.</w:t>
            </w:r>
            <w:r>
              <w:rPr>
                <w:i/>
                <w:lang w:val="fr-FR"/>
              </w:rPr>
              <w:t> </w:t>
            </w:r>
            <w:r w:rsidRPr="009A1013">
              <w:rPr>
                <w:lang w:val="fr-FR"/>
              </w:rPr>
              <w:t>»</w:t>
            </w:r>
            <w:r w:rsidRPr="009A1013">
              <w:rPr>
                <w:i/>
                <w:lang w:val="fr-FR"/>
              </w:rPr>
              <w:t>.</w:t>
            </w:r>
          </w:p>
        </w:tc>
        <w:tc>
          <w:tcPr>
            <w:tcW w:w="4651" w:type="dxa"/>
            <w:tcBorders>
              <w:left w:val="single" w:sz="4" w:space="0" w:color="auto"/>
              <w:right w:val="single" w:sz="4" w:space="0" w:color="auto"/>
            </w:tcBorders>
            <w:shd w:val="clear" w:color="auto" w:fill="auto"/>
            <w:tcMar>
              <w:left w:w="0" w:type="dxa"/>
              <w:right w:w="0" w:type="dxa"/>
            </w:tcMar>
          </w:tcPr>
          <w:p w:rsidR="00D23AD6" w:rsidRDefault="00D23AD6" w:rsidP="00C368A5">
            <w:pPr>
              <w:spacing w:before="40" w:after="120"/>
              <w:ind w:left="113" w:right="113"/>
              <w:rPr>
                <w:lang w:val="fr-FR"/>
              </w:rPr>
            </w:pPr>
            <w:r w:rsidRPr="009A1013">
              <w:rPr>
                <w:lang w:val="fr-FR"/>
              </w:rPr>
              <w:t>Les citernes sont le plus souvent garnies d</w:t>
            </w:r>
            <w:r w:rsidR="00787782">
              <w:rPr>
                <w:lang w:val="fr-FR"/>
              </w:rPr>
              <w:t>’</w:t>
            </w:r>
            <w:r w:rsidRPr="009A1013">
              <w:rPr>
                <w:lang w:val="fr-FR"/>
              </w:rPr>
              <w:t>un revêtement servant à protéger le matériau des parois de la matière transportée ou à préserver la qualité de ladite matière. L</w:t>
            </w:r>
            <w:r w:rsidR="00787782">
              <w:rPr>
                <w:lang w:val="fr-FR"/>
              </w:rPr>
              <w:t>’</w:t>
            </w:r>
            <w:r w:rsidRPr="009A1013">
              <w:rPr>
                <w:lang w:val="fr-FR"/>
              </w:rPr>
              <w:t xml:space="preserve">expression </w:t>
            </w:r>
            <w:r>
              <w:rPr>
                <w:lang w:val="fr-FR"/>
              </w:rPr>
              <w:t>« </w:t>
            </w:r>
            <w:r w:rsidRPr="009A1013">
              <w:rPr>
                <w:lang w:val="fr-FR"/>
              </w:rPr>
              <w:t>revêtement protecteur</w:t>
            </w:r>
            <w:r>
              <w:rPr>
                <w:lang w:val="fr-FR"/>
              </w:rPr>
              <w:t> »</w:t>
            </w:r>
            <w:r w:rsidRPr="009A1013">
              <w:rPr>
                <w:lang w:val="fr-FR"/>
              </w:rPr>
              <w:t xml:space="preserve"> apparaît à plusieurs reprises dans le règlement, mais la fonction de ce type de revêtement n</w:t>
            </w:r>
            <w:r w:rsidR="00787782">
              <w:rPr>
                <w:lang w:val="fr-FR"/>
              </w:rPr>
              <w:t>’</w:t>
            </w:r>
            <w:r w:rsidRPr="009A1013">
              <w:rPr>
                <w:lang w:val="fr-FR"/>
              </w:rPr>
              <w:t>est pas précisée. C</w:t>
            </w:r>
            <w:r w:rsidR="00787782">
              <w:rPr>
                <w:lang w:val="fr-FR"/>
              </w:rPr>
              <w:t>’</w:t>
            </w:r>
            <w:r w:rsidRPr="009A1013">
              <w:rPr>
                <w:lang w:val="fr-FR"/>
              </w:rPr>
              <w:t>est pourquoi il est proposé d</w:t>
            </w:r>
            <w:r w:rsidR="00787782">
              <w:rPr>
                <w:lang w:val="fr-FR"/>
              </w:rPr>
              <w:t>’</w:t>
            </w:r>
            <w:r w:rsidRPr="009A1013">
              <w:rPr>
                <w:lang w:val="fr-FR"/>
              </w:rPr>
              <w:t>ajouter une telle définition.</w:t>
            </w:r>
          </w:p>
          <w:p w:rsidR="00D23AD6" w:rsidRPr="00D23AD6" w:rsidRDefault="00D23AD6" w:rsidP="00C368A5">
            <w:pPr>
              <w:spacing w:before="40" w:after="120"/>
              <w:ind w:left="113" w:right="113"/>
            </w:pPr>
            <w:r w:rsidRPr="009A1013">
              <w:rPr>
                <w:lang w:val="fr-FR"/>
              </w:rPr>
              <w:t>Étant donné qu</w:t>
            </w:r>
            <w:r w:rsidR="00787782">
              <w:rPr>
                <w:lang w:val="fr-FR"/>
              </w:rPr>
              <w:t>’</w:t>
            </w:r>
            <w:r w:rsidRPr="009A1013">
              <w:rPr>
                <w:lang w:val="fr-FR"/>
              </w:rPr>
              <w:t>une telle définition ne figure pas au 6.7, la concordance avec ce chapitre a été vérifiée. Il n</w:t>
            </w:r>
            <w:r w:rsidR="00787782">
              <w:rPr>
                <w:lang w:val="fr-FR"/>
              </w:rPr>
              <w:t>’</w:t>
            </w:r>
            <w:r w:rsidRPr="009A1013">
              <w:rPr>
                <w:lang w:val="fr-FR"/>
              </w:rPr>
              <w:t xml:space="preserve">y a pas de conflit avec le chapitre 6.9, dans lequel le libellé </w:t>
            </w:r>
            <w:r>
              <w:rPr>
                <w:lang w:val="fr-FR"/>
              </w:rPr>
              <w:t>« </w:t>
            </w:r>
            <w:r w:rsidRPr="009A1013">
              <w:rPr>
                <w:lang w:val="fr-FR"/>
              </w:rPr>
              <w:t>revêtement protecteur</w:t>
            </w:r>
            <w:r w:rsidR="00817111">
              <w:rPr>
                <w:lang w:val="fr-FR"/>
              </w:rPr>
              <w:t> »</w:t>
            </w:r>
            <w:r w:rsidRPr="009A1013">
              <w:rPr>
                <w:lang w:val="fr-FR"/>
              </w:rPr>
              <w:t xml:space="preserve"> ne figure pas.</w:t>
            </w:r>
          </w:p>
        </w:tc>
      </w:tr>
      <w:tr w:rsidR="00DC0E7E" w:rsidRPr="00D23AD6" w:rsidTr="009B2BA4">
        <w:trPr>
          <w:jc w:val="center"/>
        </w:trPr>
        <w:tc>
          <w:tcPr>
            <w:tcW w:w="602" w:type="dxa"/>
            <w:tcBorders>
              <w:left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372" w:type="dxa"/>
            <w:tcBorders>
              <w:left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651" w:type="dxa"/>
            <w:tcBorders>
              <w:left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rsidRPr="009A1013">
              <w:rPr>
                <w:lang w:val="fr-FR"/>
              </w:rPr>
              <w:t>Un revêtement protecteur pouvant être appliqué par collage d</w:t>
            </w:r>
            <w:r w:rsidR="00787782">
              <w:rPr>
                <w:lang w:val="fr-FR"/>
              </w:rPr>
              <w:t>’</w:t>
            </w:r>
            <w:r w:rsidRPr="009A1013">
              <w:rPr>
                <w:lang w:val="fr-FR"/>
              </w:rPr>
              <w:t>une ou plusieurs pellicules de matériau protecteur, ou par vaporisation, il a été décidé de mentionner les deux procédés. Toutefois, pour ne pas trop modifier le règlement, il a été décidé de n</w:t>
            </w:r>
            <w:r w:rsidR="00787782">
              <w:rPr>
                <w:lang w:val="fr-FR"/>
              </w:rPr>
              <w:t>’</w:t>
            </w:r>
            <w:r w:rsidRPr="009A1013">
              <w:rPr>
                <w:lang w:val="fr-FR"/>
              </w:rPr>
              <w:t xml:space="preserve">en faire </w:t>
            </w:r>
            <w:r>
              <w:rPr>
                <w:lang w:val="fr-FR"/>
              </w:rPr>
              <w:t>mention que dans la définition.</w:t>
            </w:r>
          </w:p>
        </w:tc>
      </w:tr>
      <w:tr w:rsidR="00DC0E7E" w:rsidRPr="00D23AD6" w:rsidTr="009B2BA4">
        <w:trPr>
          <w:jc w:val="center"/>
        </w:trPr>
        <w:tc>
          <w:tcPr>
            <w:tcW w:w="60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37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651"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rsidRPr="009A1013">
              <w:rPr>
                <w:lang w:val="fr-FR"/>
              </w:rPr>
              <w:t>La proposition tendant à faire porter la réglementation sur les deux usages du revêtement et de leur attribuer des modalités d</w:t>
            </w:r>
            <w:r w:rsidR="00787782">
              <w:rPr>
                <w:lang w:val="fr-FR"/>
              </w:rPr>
              <w:t>’</w:t>
            </w:r>
            <w:r w:rsidRPr="009A1013">
              <w:rPr>
                <w:lang w:val="fr-FR"/>
              </w:rPr>
              <w:t>agrément et de contrôle différentes n</w:t>
            </w:r>
            <w:r w:rsidR="00787782">
              <w:rPr>
                <w:lang w:val="fr-FR"/>
              </w:rPr>
              <w:t>’</w:t>
            </w:r>
            <w:r w:rsidRPr="009A1013">
              <w:rPr>
                <w:lang w:val="fr-FR"/>
              </w:rPr>
              <w:t>a pas été acceptée. Il a été décidé de suivre autant que faire se peut la formulation utilisée pour la norme EN</w:t>
            </w:r>
            <w:r>
              <w:rPr>
                <w:lang w:val="fr-FR"/>
              </w:rPr>
              <w:t> </w:t>
            </w:r>
            <w:r w:rsidRPr="009A1013">
              <w:rPr>
                <w:lang w:val="fr-FR"/>
              </w:rPr>
              <w:t>12972:2015 (par.</w:t>
            </w:r>
            <w:r>
              <w:rPr>
                <w:lang w:val="fr-FR"/>
              </w:rPr>
              <w:t> </w:t>
            </w:r>
            <w:r w:rsidRPr="009A1013">
              <w:rPr>
                <w:lang w:val="fr-FR"/>
              </w:rPr>
              <w:t xml:space="preserve">3.4). </w:t>
            </w:r>
          </w:p>
        </w:tc>
      </w:tr>
      <w:tr w:rsidR="00DC0E7E" w:rsidRPr="00D23AD6" w:rsidTr="009B2BA4">
        <w:trPr>
          <w:jc w:val="center"/>
        </w:trPr>
        <w:tc>
          <w:tcPr>
            <w:tcW w:w="602" w:type="dxa"/>
            <w:tcBorders>
              <w:top w:val="single" w:sz="4" w:space="0" w:color="auto"/>
              <w:left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t>2</w:t>
            </w:r>
          </w:p>
        </w:tc>
        <w:tc>
          <w:tcPr>
            <w:tcW w:w="4372" w:type="dxa"/>
            <w:tcBorders>
              <w:top w:val="single" w:sz="4" w:space="0" w:color="auto"/>
              <w:left w:val="single" w:sz="4" w:space="0" w:color="auto"/>
              <w:right w:val="single" w:sz="4" w:space="0" w:color="auto"/>
            </w:tcBorders>
            <w:shd w:val="clear" w:color="auto" w:fill="auto"/>
            <w:tcMar>
              <w:left w:w="0" w:type="dxa"/>
              <w:right w:w="0" w:type="dxa"/>
            </w:tcMar>
          </w:tcPr>
          <w:p w:rsidR="00D23AD6" w:rsidRDefault="00D23AD6" w:rsidP="00C368A5">
            <w:pPr>
              <w:spacing w:before="40" w:after="120"/>
              <w:ind w:left="113" w:right="113"/>
              <w:rPr>
                <w:lang w:val="fr-FR"/>
              </w:rPr>
            </w:pPr>
            <w:r w:rsidRPr="009A1013">
              <w:rPr>
                <w:lang w:val="fr-FR"/>
              </w:rPr>
              <w:t>Ajouter une nouvelle mesure transitoire 1.6.3.xx et 1.6.4.xx, libellée comme suit</w:t>
            </w:r>
            <w:r>
              <w:rPr>
                <w:lang w:val="fr-FR"/>
              </w:rPr>
              <w:t> </w:t>
            </w:r>
            <w:r w:rsidRPr="009A1013">
              <w:rPr>
                <w:lang w:val="fr-FR"/>
              </w:rPr>
              <w:t>:</w:t>
            </w:r>
          </w:p>
          <w:p w:rsidR="00D23AD6" w:rsidRPr="00D23AD6" w:rsidRDefault="00D23AD6" w:rsidP="00C368A5">
            <w:pPr>
              <w:spacing w:before="40" w:after="120"/>
              <w:ind w:left="113" w:right="113"/>
            </w:pPr>
            <w:r>
              <w:rPr>
                <w:lang w:val="fr-FR"/>
              </w:rPr>
              <w:t>« </w:t>
            </w:r>
            <w:r w:rsidRPr="009A1013">
              <w:rPr>
                <w:lang w:val="fr-FR"/>
              </w:rPr>
              <w:t xml:space="preserve">Les citernes fixes et les citernes démontables/wagons-citernes/conteneurs-citernes construits avant le </w:t>
            </w:r>
            <w:proofErr w:type="spellStart"/>
            <w:r w:rsidRPr="009A1013">
              <w:rPr>
                <w:lang w:val="fr-FR"/>
              </w:rPr>
              <w:t>l</w:t>
            </w:r>
            <w:r w:rsidRPr="009A1013">
              <w:rPr>
                <w:vertAlign w:val="superscript"/>
                <w:lang w:val="fr-FR"/>
              </w:rPr>
              <w:t>er</w:t>
            </w:r>
            <w:proofErr w:type="spellEnd"/>
            <w:r>
              <w:rPr>
                <w:lang w:val="fr-FR"/>
              </w:rPr>
              <w:t> </w:t>
            </w:r>
            <w:r w:rsidRPr="009A1013">
              <w:rPr>
                <w:lang w:val="fr-FR"/>
              </w:rPr>
              <w:t>juillet 2019 conformément aux prescriptions applicables jusqu</w:t>
            </w:r>
            <w:r w:rsidR="00787782">
              <w:rPr>
                <w:lang w:val="fr-FR"/>
              </w:rPr>
              <w:t>’</w:t>
            </w:r>
            <w:r w:rsidRPr="009A1013">
              <w:rPr>
                <w:lang w:val="fr-FR"/>
              </w:rPr>
              <w:t>au 31</w:t>
            </w:r>
            <w:r>
              <w:rPr>
                <w:lang w:val="fr-FR"/>
              </w:rPr>
              <w:t> </w:t>
            </w:r>
            <w:r w:rsidRPr="009A1013">
              <w:rPr>
                <w:lang w:val="fr-FR"/>
              </w:rPr>
              <w:t xml:space="preserve">décembre 2018, mais qui ne sont pas conformes à la disposition spéciale </w:t>
            </w:r>
            <w:proofErr w:type="spellStart"/>
            <w:r w:rsidRPr="009A1013">
              <w:rPr>
                <w:lang w:val="fr-FR"/>
              </w:rPr>
              <w:t>TUyy</w:t>
            </w:r>
            <w:proofErr w:type="spellEnd"/>
            <w:r w:rsidRPr="009A1013">
              <w:rPr>
                <w:lang w:val="fr-FR"/>
              </w:rPr>
              <w:t xml:space="preserve"> pourront encore être utilisés pour le transport de ces matières jusqu</w:t>
            </w:r>
            <w:r w:rsidR="00787782">
              <w:rPr>
                <w:lang w:val="fr-FR"/>
              </w:rPr>
              <w:t>’</w:t>
            </w:r>
            <w:r w:rsidRPr="009A1013">
              <w:rPr>
                <w:lang w:val="fr-FR"/>
              </w:rPr>
              <w:t>au 1</w:t>
            </w:r>
            <w:r w:rsidRPr="009A1013">
              <w:rPr>
                <w:vertAlign w:val="superscript"/>
                <w:lang w:val="fr-FR"/>
              </w:rPr>
              <w:t>er</w:t>
            </w:r>
            <w:r>
              <w:rPr>
                <w:lang w:val="fr-FR"/>
              </w:rPr>
              <w:t> </w:t>
            </w:r>
            <w:r w:rsidRPr="009A1013">
              <w:rPr>
                <w:lang w:val="fr-FR"/>
              </w:rPr>
              <w:t>janvier 2023.</w:t>
            </w:r>
            <w:r>
              <w:rPr>
                <w:lang w:val="fr-FR"/>
              </w:rPr>
              <w:t> »</w:t>
            </w:r>
            <w:r w:rsidRPr="009A1013">
              <w:rPr>
                <w:lang w:val="fr-FR"/>
              </w:rPr>
              <w:t>.</w:t>
            </w:r>
          </w:p>
        </w:tc>
        <w:tc>
          <w:tcPr>
            <w:tcW w:w="4651" w:type="dxa"/>
            <w:tcBorders>
              <w:top w:val="single" w:sz="4" w:space="0" w:color="auto"/>
              <w:left w:val="single" w:sz="4" w:space="0" w:color="auto"/>
              <w:right w:val="single" w:sz="4" w:space="0" w:color="auto"/>
            </w:tcBorders>
            <w:shd w:val="clear" w:color="auto" w:fill="auto"/>
            <w:tcMar>
              <w:left w:w="0" w:type="dxa"/>
              <w:right w:w="0" w:type="dxa"/>
            </w:tcMar>
          </w:tcPr>
          <w:p w:rsidR="00D23AD6" w:rsidRDefault="00D23AD6" w:rsidP="00C368A5">
            <w:pPr>
              <w:spacing w:before="40" w:after="120"/>
              <w:ind w:left="113" w:right="113"/>
              <w:rPr>
                <w:lang w:val="fr-FR"/>
              </w:rPr>
            </w:pPr>
            <w:r w:rsidRPr="009A1013">
              <w:rPr>
                <w:lang w:val="fr-FR"/>
              </w:rPr>
              <w:t>Les citernes garnies d</w:t>
            </w:r>
            <w:r w:rsidR="00787782">
              <w:rPr>
                <w:lang w:val="fr-FR"/>
              </w:rPr>
              <w:t>’</w:t>
            </w:r>
            <w:r w:rsidRPr="009A1013">
              <w:rPr>
                <w:lang w:val="fr-FR"/>
              </w:rPr>
              <w:t>un revêtement protecteur sont utilisées pour une certaine catégorie de matières corrosives et un certain temps sera nécessaire pour le remplacement des citernes à réservoir en alliage d</w:t>
            </w:r>
            <w:r w:rsidR="00787782">
              <w:rPr>
                <w:lang w:val="fr-FR"/>
              </w:rPr>
              <w:t>’</w:t>
            </w:r>
            <w:r w:rsidRPr="009A1013">
              <w:rPr>
                <w:lang w:val="fr-FR"/>
              </w:rPr>
              <w:t>aluminium existantes, d</w:t>
            </w:r>
            <w:r w:rsidR="00787782">
              <w:rPr>
                <w:lang w:val="fr-FR"/>
              </w:rPr>
              <w:t>’</w:t>
            </w:r>
            <w:r w:rsidRPr="009A1013">
              <w:rPr>
                <w:lang w:val="fr-FR"/>
              </w:rPr>
              <w:t>où la nécessité d</w:t>
            </w:r>
            <w:r w:rsidR="00787782">
              <w:rPr>
                <w:lang w:val="fr-FR"/>
              </w:rPr>
              <w:t>’</w:t>
            </w:r>
            <w:r w:rsidRPr="009A1013">
              <w:rPr>
                <w:lang w:val="fr-FR"/>
              </w:rPr>
              <w:t>une période de transition consécutive à la modification du règlement. Il a également été estimé qu</w:t>
            </w:r>
            <w:r w:rsidR="00787782">
              <w:rPr>
                <w:lang w:val="fr-FR"/>
              </w:rPr>
              <w:t>’</w:t>
            </w:r>
            <w:r w:rsidRPr="009A1013">
              <w:rPr>
                <w:lang w:val="fr-FR"/>
              </w:rPr>
              <w:t>un certain délai serait nécessaire pour amortir les investissements dans les citernes en service</w:t>
            </w:r>
            <w:r>
              <w:rPr>
                <w:lang w:val="fr-FR"/>
              </w:rPr>
              <w:t>.</w:t>
            </w:r>
          </w:p>
          <w:p w:rsidR="00D23AD6" w:rsidRPr="00D23AD6" w:rsidRDefault="00D23AD6" w:rsidP="00C368A5">
            <w:pPr>
              <w:spacing w:before="40" w:after="120"/>
              <w:ind w:left="113" w:right="113"/>
            </w:pPr>
            <w:r w:rsidRPr="009A1013">
              <w:rPr>
                <w:lang w:val="fr-FR"/>
              </w:rPr>
              <w:t>Il a été dit que la dernière citerne à réservoir en alliage d</w:t>
            </w:r>
            <w:r w:rsidR="00787782">
              <w:rPr>
                <w:lang w:val="fr-FR"/>
              </w:rPr>
              <w:t>’</w:t>
            </w:r>
            <w:r w:rsidRPr="009A1013">
              <w:rPr>
                <w:lang w:val="fr-FR"/>
              </w:rPr>
              <w:t>aluminium avait été construite huit ans plus tôt. En comptant une durée d</w:t>
            </w:r>
            <w:r w:rsidR="00787782">
              <w:rPr>
                <w:lang w:val="fr-FR"/>
              </w:rPr>
              <w:t>’</w:t>
            </w:r>
            <w:r w:rsidRPr="009A1013">
              <w:rPr>
                <w:lang w:val="fr-FR"/>
              </w:rPr>
              <w:t xml:space="preserve">utilisation sûre de </w:t>
            </w:r>
            <w:r>
              <w:rPr>
                <w:lang w:val="fr-FR"/>
              </w:rPr>
              <w:t>quinze</w:t>
            </w:r>
            <w:r w:rsidRPr="009A1013">
              <w:rPr>
                <w:lang w:val="fr-FR"/>
              </w:rPr>
              <w:t xml:space="preserve"> ans et les </w:t>
            </w:r>
            <w:r>
              <w:rPr>
                <w:lang w:val="fr-FR"/>
              </w:rPr>
              <w:t>trois</w:t>
            </w:r>
            <w:r w:rsidRPr="009A1013">
              <w:rPr>
                <w:lang w:val="fr-FR"/>
              </w:rPr>
              <w:t xml:space="preserve"> années de la période 2016-2019, une période transitoire de </w:t>
            </w:r>
            <w:r>
              <w:rPr>
                <w:lang w:val="fr-FR"/>
              </w:rPr>
              <w:t>quatre</w:t>
            </w:r>
            <w:r w:rsidRPr="009A1013">
              <w:rPr>
                <w:lang w:val="fr-FR"/>
              </w:rPr>
              <w:t xml:space="preserve"> ans (jusqu</w:t>
            </w:r>
            <w:r w:rsidR="00787782">
              <w:rPr>
                <w:lang w:val="fr-FR"/>
              </w:rPr>
              <w:t>’</w:t>
            </w:r>
            <w:r w:rsidRPr="009A1013">
              <w:rPr>
                <w:lang w:val="fr-FR"/>
              </w:rPr>
              <w:t>au 1</w:t>
            </w:r>
            <w:r w:rsidRPr="009A1013">
              <w:rPr>
                <w:vertAlign w:val="superscript"/>
                <w:lang w:val="fr-FR"/>
              </w:rPr>
              <w:t>er</w:t>
            </w:r>
            <w:r>
              <w:rPr>
                <w:lang w:val="fr-FR"/>
              </w:rPr>
              <w:t> </w:t>
            </w:r>
            <w:r w:rsidRPr="009A1013">
              <w:rPr>
                <w:lang w:val="fr-FR"/>
              </w:rPr>
              <w:t>janvier 2023) serait justifiée. Après la réunion, il a été fait observer que cette période de transition serait peut-être trop courte, la fabrication des citernes à réservoir en alliage d</w:t>
            </w:r>
            <w:r w:rsidR="00787782">
              <w:rPr>
                <w:lang w:val="fr-FR"/>
              </w:rPr>
              <w:t>’</w:t>
            </w:r>
            <w:r w:rsidRPr="009A1013">
              <w:rPr>
                <w:lang w:val="fr-FR"/>
              </w:rPr>
              <w:t>aluminium garnies d</w:t>
            </w:r>
            <w:r w:rsidR="00787782">
              <w:rPr>
                <w:lang w:val="fr-FR"/>
              </w:rPr>
              <w:t>’</w:t>
            </w:r>
            <w:r w:rsidRPr="009A1013">
              <w:rPr>
                <w:lang w:val="fr-FR"/>
              </w:rPr>
              <w:t>un revêtement étant autorisée jusqu</w:t>
            </w:r>
            <w:r w:rsidR="00787782">
              <w:rPr>
                <w:lang w:val="fr-FR"/>
              </w:rPr>
              <w:t>’</w:t>
            </w:r>
            <w:r w:rsidRPr="009A1013">
              <w:rPr>
                <w:lang w:val="fr-FR"/>
              </w:rPr>
              <w:t>au 1</w:t>
            </w:r>
            <w:r w:rsidRPr="009A1013">
              <w:rPr>
                <w:vertAlign w:val="superscript"/>
                <w:lang w:val="fr-FR"/>
              </w:rPr>
              <w:t>er</w:t>
            </w:r>
            <w:r>
              <w:rPr>
                <w:lang w:val="fr-FR"/>
              </w:rPr>
              <w:t> </w:t>
            </w:r>
            <w:r w:rsidRPr="009A1013">
              <w:rPr>
                <w:lang w:val="fr-FR"/>
              </w:rPr>
              <w:t>juillet 2019.</w:t>
            </w:r>
          </w:p>
        </w:tc>
      </w:tr>
      <w:tr w:rsidR="00DC0E7E" w:rsidRPr="00D23AD6" w:rsidTr="009B2BA4">
        <w:trPr>
          <w:jc w:val="center"/>
        </w:trPr>
        <w:tc>
          <w:tcPr>
            <w:tcW w:w="602" w:type="dxa"/>
            <w:tcBorders>
              <w:left w:val="single" w:sz="4" w:space="0" w:color="auto"/>
              <w:right w:val="single" w:sz="4" w:space="0" w:color="auto"/>
            </w:tcBorders>
            <w:shd w:val="clear" w:color="auto" w:fill="auto"/>
            <w:tcMar>
              <w:left w:w="0" w:type="dxa"/>
              <w:right w:w="0" w:type="dxa"/>
            </w:tcMar>
          </w:tcPr>
          <w:p w:rsidR="00D23AD6" w:rsidRPr="00D23AD6" w:rsidRDefault="00D23AD6" w:rsidP="009B2BA4">
            <w:pPr>
              <w:keepNext/>
              <w:spacing w:before="40" w:after="120"/>
              <w:ind w:left="4" w:right="4"/>
            </w:pPr>
          </w:p>
        </w:tc>
        <w:tc>
          <w:tcPr>
            <w:tcW w:w="4372" w:type="dxa"/>
            <w:tcBorders>
              <w:left w:val="single" w:sz="4" w:space="0" w:color="auto"/>
              <w:right w:val="single" w:sz="4" w:space="0" w:color="auto"/>
            </w:tcBorders>
            <w:shd w:val="clear" w:color="auto" w:fill="auto"/>
            <w:tcMar>
              <w:left w:w="0" w:type="dxa"/>
              <w:right w:w="0" w:type="dxa"/>
            </w:tcMar>
          </w:tcPr>
          <w:p w:rsidR="00D23AD6" w:rsidRPr="00D23AD6" w:rsidRDefault="00D23AD6" w:rsidP="009B2BA4">
            <w:pPr>
              <w:keepNext/>
              <w:spacing w:before="40" w:after="120"/>
              <w:ind w:left="4" w:right="4"/>
            </w:pPr>
          </w:p>
        </w:tc>
        <w:tc>
          <w:tcPr>
            <w:tcW w:w="4651" w:type="dxa"/>
            <w:tcBorders>
              <w:left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rsidRPr="00C368A5">
              <w:t>Il</w:t>
            </w:r>
            <w:r w:rsidRPr="009A1013">
              <w:rPr>
                <w:lang w:val="fr-FR"/>
              </w:rPr>
              <w:t xml:space="preserve"> pourra être décidé qu</w:t>
            </w:r>
            <w:r w:rsidR="00787782">
              <w:rPr>
                <w:lang w:val="fr-FR"/>
              </w:rPr>
              <w:t>’</w:t>
            </w:r>
            <w:r w:rsidRPr="009A1013">
              <w:rPr>
                <w:lang w:val="fr-FR"/>
              </w:rPr>
              <w:t>une mesure transitoire n</w:t>
            </w:r>
            <w:r w:rsidR="00787782">
              <w:rPr>
                <w:lang w:val="fr-FR"/>
              </w:rPr>
              <w:t>’</w:t>
            </w:r>
            <w:r w:rsidRPr="009A1013">
              <w:rPr>
                <w:lang w:val="fr-FR"/>
              </w:rPr>
              <w:t>est pas nécessaire pour les wagons-citernes en raison des matériaux choisis pour leurs réservoirs.</w:t>
            </w:r>
          </w:p>
        </w:tc>
      </w:tr>
      <w:tr w:rsidR="00DC0E7E" w:rsidRPr="00D23AD6" w:rsidTr="009B2BA4">
        <w:trPr>
          <w:jc w:val="center"/>
        </w:trPr>
        <w:tc>
          <w:tcPr>
            <w:tcW w:w="60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37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9B2BA4">
            <w:pPr>
              <w:spacing w:before="40" w:after="120"/>
              <w:ind w:left="4" w:right="4"/>
            </w:pPr>
          </w:p>
        </w:tc>
        <w:tc>
          <w:tcPr>
            <w:tcW w:w="4651"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rsidRPr="009A1013">
              <w:rPr>
                <w:lang w:val="fr-FR"/>
              </w:rPr>
              <w:t>Après la réunion, il a été fait observer que la mesure transitoire devrait peut-être être plus longue, étant donné que les citernes concernées pouvaient être fabriquées jusqu</w:t>
            </w:r>
            <w:r w:rsidR="00787782">
              <w:rPr>
                <w:lang w:val="fr-FR"/>
              </w:rPr>
              <w:t>’</w:t>
            </w:r>
            <w:r w:rsidRPr="009A1013">
              <w:rPr>
                <w:lang w:val="fr-FR"/>
              </w:rPr>
              <w:t>au 1</w:t>
            </w:r>
            <w:r w:rsidRPr="009A1013">
              <w:rPr>
                <w:vertAlign w:val="superscript"/>
                <w:lang w:val="fr-FR"/>
              </w:rPr>
              <w:t>er</w:t>
            </w:r>
            <w:r>
              <w:rPr>
                <w:lang w:val="fr-FR"/>
              </w:rPr>
              <w:t> </w:t>
            </w:r>
            <w:r w:rsidRPr="009A1013">
              <w:rPr>
                <w:lang w:val="fr-FR"/>
              </w:rPr>
              <w:t>juillet 2019.</w:t>
            </w:r>
          </w:p>
        </w:tc>
      </w:tr>
      <w:tr w:rsidR="00DC0E7E" w:rsidRPr="00D23AD6" w:rsidTr="009B2BA4">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t>3</w:t>
            </w:r>
          </w:p>
        </w:tc>
        <w:tc>
          <w:tcPr>
            <w:tcW w:w="437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D23AD6" w:rsidRDefault="00D23AD6" w:rsidP="00C368A5">
            <w:pPr>
              <w:spacing w:before="40" w:after="120"/>
              <w:ind w:left="113" w:right="113"/>
            </w:pPr>
            <w:r w:rsidRPr="009A1013">
              <w:rPr>
                <w:lang w:val="fr-FR"/>
              </w:rPr>
              <w:t xml:space="preserve">Ajouter une disposition spéciale </w:t>
            </w:r>
            <w:proofErr w:type="spellStart"/>
            <w:r w:rsidRPr="009A1013">
              <w:rPr>
                <w:lang w:val="fr-FR"/>
              </w:rPr>
              <w:t>TUyy</w:t>
            </w:r>
            <w:proofErr w:type="spellEnd"/>
            <w:r w:rsidRPr="009A1013">
              <w:rPr>
                <w:lang w:val="fr-FR"/>
              </w:rPr>
              <w:t xml:space="preserve"> dans la colonne</w:t>
            </w:r>
            <w:r w:rsidR="007371CA">
              <w:rPr>
                <w:lang w:val="fr-FR"/>
              </w:rPr>
              <w:t> </w:t>
            </w:r>
            <w:r w:rsidRPr="009A1013">
              <w:rPr>
                <w:lang w:val="fr-FR"/>
              </w:rPr>
              <w:t>13 du tableau A du 3.2.1 du RID/ADR pour les numéros ONU suivants</w:t>
            </w:r>
            <w:r w:rsidR="00402D26">
              <w:rPr>
                <w:lang w:val="fr-FR"/>
              </w:rPr>
              <w:t> :</w:t>
            </w:r>
            <w:r w:rsidRPr="009A1013">
              <w:rPr>
                <w:lang w:val="fr-FR"/>
              </w:rPr>
              <w:t xml:space="preserve"> 1755 groupes d</w:t>
            </w:r>
            <w:r w:rsidR="00787782">
              <w:rPr>
                <w:lang w:val="fr-FR"/>
              </w:rPr>
              <w:t>’</w:t>
            </w:r>
            <w:r w:rsidRPr="009A1013">
              <w:rPr>
                <w:lang w:val="fr-FR"/>
              </w:rPr>
              <w:t>emballage II et</w:t>
            </w:r>
            <w:r w:rsidR="006E05B2">
              <w:rPr>
                <w:lang w:val="fr-FR"/>
              </w:rPr>
              <w:t xml:space="preserve"> </w:t>
            </w:r>
            <w:r w:rsidRPr="009A1013">
              <w:rPr>
                <w:lang w:val="fr-FR"/>
              </w:rPr>
              <w:t>III, 1778 groupe d</w:t>
            </w:r>
            <w:r w:rsidR="00787782">
              <w:rPr>
                <w:lang w:val="fr-FR"/>
              </w:rPr>
              <w:t>’</w:t>
            </w:r>
            <w:r w:rsidRPr="009A1013">
              <w:rPr>
                <w:lang w:val="fr-FR"/>
              </w:rPr>
              <w:t>emballage II, 1779 groupe d</w:t>
            </w:r>
            <w:r w:rsidR="00787782">
              <w:rPr>
                <w:lang w:val="fr-FR"/>
              </w:rPr>
              <w:t>’</w:t>
            </w:r>
            <w:r w:rsidRPr="009A1013">
              <w:rPr>
                <w:lang w:val="fr-FR"/>
              </w:rPr>
              <w:t>emballage II, 1788 groupes d</w:t>
            </w:r>
            <w:r w:rsidR="00787782">
              <w:rPr>
                <w:lang w:val="fr-FR"/>
              </w:rPr>
              <w:t>’</w:t>
            </w:r>
            <w:r w:rsidRPr="009A1013">
              <w:rPr>
                <w:lang w:val="fr-FR"/>
              </w:rPr>
              <w:t>emballage II et</w:t>
            </w:r>
            <w:r w:rsidR="006E05B2">
              <w:rPr>
                <w:lang w:val="fr-FR"/>
              </w:rPr>
              <w:t xml:space="preserve"> </w:t>
            </w:r>
            <w:r w:rsidRPr="009A1013">
              <w:rPr>
                <w:lang w:val="fr-FR"/>
              </w:rPr>
              <w:t>III, 1789 groupes d</w:t>
            </w:r>
            <w:r w:rsidR="00787782">
              <w:rPr>
                <w:lang w:val="fr-FR"/>
              </w:rPr>
              <w:t>’</w:t>
            </w:r>
            <w:r w:rsidRPr="009A1013">
              <w:rPr>
                <w:lang w:val="fr-FR"/>
              </w:rPr>
              <w:t>emballage II et</w:t>
            </w:r>
            <w:r w:rsidR="006E05B2">
              <w:rPr>
                <w:lang w:val="fr-FR"/>
              </w:rPr>
              <w:t xml:space="preserve"> </w:t>
            </w:r>
            <w:r w:rsidRPr="009A1013">
              <w:rPr>
                <w:lang w:val="fr-FR"/>
              </w:rPr>
              <w:t>III, 1791 groupes d</w:t>
            </w:r>
            <w:r w:rsidR="00787782">
              <w:rPr>
                <w:lang w:val="fr-FR"/>
              </w:rPr>
              <w:t>’</w:t>
            </w:r>
            <w:r w:rsidRPr="009A1013">
              <w:rPr>
                <w:lang w:val="fr-FR"/>
              </w:rPr>
              <w:t>emballage II et</w:t>
            </w:r>
            <w:r w:rsidR="006E05B2">
              <w:rPr>
                <w:lang w:val="fr-FR"/>
              </w:rPr>
              <w:t xml:space="preserve"> </w:t>
            </w:r>
            <w:r w:rsidRPr="009A1013">
              <w:rPr>
                <w:lang w:val="fr-FR"/>
              </w:rPr>
              <w:t>III, 1803 groupe d</w:t>
            </w:r>
            <w:r w:rsidR="00787782">
              <w:rPr>
                <w:lang w:val="fr-FR"/>
              </w:rPr>
              <w:t>’</w:t>
            </w:r>
            <w:r w:rsidRPr="009A1013">
              <w:rPr>
                <w:lang w:val="fr-FR"/>
              </w:rPr>
              <w:t>emballage II, 1805 groupe d</w:t>
            </w:r>
            <w:r w:rsidR="00787782">
              <w:rPr>
                <w:lang w:val="fr-FR"/>
              </w:rPr>
              <w:t>’</w:t>
            </w:r>
            <w:r w:rsidRPr="009A1013">
              <w:rPr>
                <w:lang w:val="fr-FR"/>
              </w:rPr>
              <w:t>emballage III, 1814 groupes d</w:t>
            </w:r>
            <w:r w:rsidR="00787782">
              <w:rPr>
                <w:lang w:val="fr-FR"/>
              </w:rPr>
              <w:t>’</w:t>
            </w:r>
            <w:r w:rsidRPr="009A1013">
              <w:rPr>
                <w:lang w:val="fr-FR"/>
              </w:rPr>
              <w:t>emballage II et</w:t>
            </w:r>
            <w:r w:rsidR="007371CA">
              <w:rPr>
                <w:lang w:val="fr-FR"/>
              </w:rPr>
              <w:t> </w:t>
            </w:r>
            <w:r w:rsidRPr="009A1013">
              <w:rPr>
                <w:lang w:val="fr-FR"/>
              </w:rPr>
              <w:t>III, 1819 groupes d</w:t>
            </w:r>
            <w:r w:rsidR="00787782">
              <w:rPr>
                <w:lang w:val="fr-FR"/>
              </w:rPr>
              <w:t>’</w:t>
            </w:r>
            <w:r w:rsidRPr="009A1013">
              <w:rPr>
                <w:lang w:val="fr-FR"/>
              </w:rPr>
              <w:t>emballage II et</w:t>
            </w:r>
            <w:r w:rsidR="006E05B2">
              <w:rPr>
                <w:lang w:val="fr-FR"/>
              </w:rPr>
              <w:t xml:space="preserve"> </w:t>
            </w:r>
            <w:r w:rsidRPr="009A1013">
              <w:rPr>
                <w:lang w:val="fr-FR"/>
              </w:rPr>
              <w:t>III, 1814 groupes d</w:t>
            </w:r>
            <w:r w:rsidR="00787782">
              <w:rPr>
                <w:lang w:val="fr-FR"/>
              </w:rPr>
              <w:t>’</w:t>
            </w:r>
            <w:r w:rsidRPr="009A1013">
              <w:rPr>
                <w:lang w:val="fr-FR"/>
              </w:rPr>
              <w:t>emballage II et</w:t>
            </w:r>
            <w:r w:rsidR="006E05B2">
              <w:rPr>
                <w:lang w:val="fr-FR"/>
              </w:rPr>
              <w:t xml:space="preserve"> </w:t>
            </w:r>
            <w:r w:rsidRPr="009A1013">
              <w:rPr>
                <w:lang w:val="fr-FR"/>
              </w:rPr>
              <w:t>III, 1819 groupes d</w:t>
            </w:r>
            <w:r w:rsidR="00787782">
              <w:rPr>
                <w:lang w:val="fr-FR"/>
              </w:rPr>
              <w:t>’</w:t>
            </w:r>
            <w:r w:rsidRPr="009A1013">
              <w:rPr>
                <w:lang w:val="fr-FR"/>
              </w:rPr>
              <w:t>emballage II et</w:t>
            </w:r>
            <w:r w:rsidR="007371CA">
              <w:rPr>
                <w:lang w:val="fr-FR"/>
              </w:rPr>
              <w:t> </w:t>
            </w:r>
            <w:r w:rsidRPr="009A1013">
              <w:rPr>
                <w:lang w:val="fr-FR"/>
              </w:rPr>
              <w:t>III, 1824 groupes d</w:t>
            </w:r>
            <w:r w:rsidR="00787782">
              <w:rPr>
                <w:lang w:val="fr-FR"/>
              </w:rPr>
              <w:t>’</w:t>
            </w:r>
            <w:r w:rsidRPr="009A1013">
              <w:rPr>
                <w:lang w:val="fr-FR"/>
              </w:rPr>
              <w:t>emballage II et</w:t>
            </w:r>
            <w:r w:rsidR="006E05B2">
              <w:rPr>
                <w:lang w:val="fr-FR"/>
              </w:rPr>
              <w:t xml:space="preserve"> </w:t>
            </w:r>
            <w:r w:rsidRPr="009A1013">
              <w:rPr>
                <w:lang w:val="fr-FR"/>
              </w:rPr>
              <w:t>III, 1830 groupe d</w:t>
            </w:r>
            <w:r w:rsidR="00787782">
              <w:rPr>
                <w:lang w:val="fr-FR"/>
              </w:rPr>
              <w:t>’</w:t>
            </w:r>
            <w:r w:rsidRPr="009A1013">
              <w:rPr>
                <w:lang w:val="fr-FR"/>
              </w:rPr>
              <w:t>emballage II, 1832 groupe d</w:t>
            </w:r>
            <w:r w:rsidR="00787782">
              <w:rPr>
                <w:lang w:val="fr-FR"/>
              </w:rPr>
              <w:t>’</w:t>
            </w:r>
            <w:r w:rsidRPr="009A1013">
              <w:rPr>
                <w:lang w:val="fr-FR"/>
              </w:rPr>
              <w:t>emballage II, 1840 groupe d</w:t>
            </w:r>
            <w:r w:rsidR="00787782">
              <w:rPr>
                <w:lang w:val="fr-FR"/>
              </w:rPr>
              <w:t>’</w:t>
            </w:r>
            <w:r w:rsidRPr="009A1013">
              <w:rPr>
                <w:lang w:val="fr-FR"/>
              </w:rPr>
              <w:t>emballage II, 1906 groupe d</w:t>
            </w:r>
            <w:r w:rsidR="00787782">
              <w:rPr>
                <w:lang w:val="fr-FR"/>
              </w:rPr>
              <w:t>’</w:t>
            </w:r>
            <w:r w:rsidRPr="009A1013">
              <w:rPr>
                <w:lang w:val="fr-FR"/>
              </w:rPr>
              <w:t>emballage II, 2031 groupe d</w:t>
            </w:r>
            <w:r w:rsidR="00787782">
              <w:rPr>
                <w:lang w:val="fr-FR"/>
              </w:rPr>
              <w:t>’</w:t>
            </w:r>
            <w:r w:rsidRPr="009A1013">
              <w:rPr>
                <w:lang w:val="fr-FR"/>
              </w:rPr>
              <w:t>emballage II, 2581 groupe d</w:t>
            </w:r>
            <w:r w:rsidR="00787782">
              <w:rPr>
                <w:lang w:val="fr-FR"/>
              </w:rPr>
              <w:t>’</w:t>
            </w:r>
            <w:r w:rsidRPr="009A1013">
              <w:rPr>
                <w:lang w:val="fr-FR"/>
              </w:rPr>
              <w:t>emballage</w:t>
            </w:r>
            <w:r w:rsidR="007371CA">
              <w:rPr>
                <w:lang w:val="fr-FR"/>
              </w:rPr>
              <w:t> </w:t>
            </w:r>
            <w:r w:rsidRPr="009A1013">
              <w:rPr>
                <w:lang w:val="fr-FR"/>
              </w:rPr>
              <w:t>III, 2582 groupe d</w:t>
            </w:r>
            <w:r w:rsidR="00787782">
              <w:rPr>
                <w:lang w:val="fr-FR"/>
              </w:rPr>
              <w:t>’</w:t>
            </w:r>
            <w:r w:rsidRPr="009A1013">
              <w:rPr>
                <w:lang w:val="fr-FR"/>
              </w:rPr>
              <w:t>emballage III, 2586 groupe d</w:t>
            </w:r>
            <w:r w:rsidR="00787782">
              <w:rPr>
                <w:lang w:val="fr-FR"/>
              </w:rPr>
              <w:t>’</w:t>
            </w:r>
            <w:r w:rsidRPr="009A1013">
              <w:rPr>
                <w:lang w:val="fr-FR"/>
              </w:rPr>
              <w:t>emballage III, 2693 groupe d</w:t>
            </w:r>
            <w:r w:rsidR="00787782">
              <w:rPr>
                <w:lang w:val="fr-FR"/>
              </w:rPr>
              <w:t>’</w:t>
            </w:r>
            <w:r w:rsidRPr="009A1013">
              <w:rPr>
                <w:lang w:val="fr-FR"/>
              </w:rPr>
              <w:t>emballage III, 2796 groupe d</w:t>
            </w:r>
            <w:r w:rsidR="00787782">
              <w:rPr>
                <w:lang w:val="fr-FR"/>
              </w:rPr>
              <w:t>’</w:t>
            </w:r>
            <w:r w:rsidRPr="009A1013">
              <w:rPr>
                <w:lang w:val="fr-FR"/>
              </w:rPr>
              <w:t>emballage II, 3264 groupes d</w:t>
            </w:r>
            <w:r w:rsidR="00787782">
              <w:rPr>
                <w:lang w:val="fr-FR"/>
              </w:rPr>
              <w:t>’</w:t>
            </w:r>
            <w:r w:rsidRPr="009A1013">
              <w:rPr>
                <w:lang w:val="fr-FR"/>
              </w:rPr>
              <w:t>emballage</w:t>
            </w:r>
            <w:r w:rsidR="007371CA">
              <w:rPr>
                <w:lang w:val="fr-FR"/>
              </w:rPr>
              <w:t> </w:t>
            </w:r>
            <w:r w:rsidRPr="009A1013">
              <w:rPr>
                <w:lang w:val="fr-FR"/>
              </w:rPr>
              <w:t>II et</w:t>
            </w:r>
            <w:r w:rsidR="006E05B2">
              <w:rPr>
                <w:lang w:val="fr-FR"/>
              </w:rPr>
              <w:t xml:space="preserve"> </w:t>
            </w:r>
            <w:r w:rsidRPr="009A1013">
              <w:rPr>
                <w:lang w:val="fr-FR"/>
              </w:rPr>
              <w:t xml:space="preserve">III. </w:t>
            </w:r>
          </w:p>
        </w:tc>
        <w:tc>
          <w:tcPr>
            <w:tcW w:w="46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Default="00D23AD6" w:rsidP="00C368A5">
            <w:pPr>
              <w:spacing w:before="40" w:after="120"/>
              <w:ind w:left="113" w:right="113"/>
              <w:rPr>
                <w:bCs/>
                <w:lang w:val="fr-FR"/>
              </w:rPr>
            </w:pPr>
            <w:r w:rsidRPr="009A1013">
              <w:rPr>
                <w:bCs/>
                <w:lang w:val="fr-FR"/>
              </w:rPr>
              <w:t>Voir l</w:t>
            </w:r>
            <w:r w:rsidR="00787782">
              <w:rPr>
                <w:bCs/>
                <w:lang w:val="fr-FR"/>
              </w:rPr>
              <w:t>’</w:t>
            </w:r>
            <w:r w:rsidRPr="009A1013">
              <w:rPr>
                <w:bCs/>
                <w:lang w:val="fr-FR"/>
              </w:rPr>
              <w:t>explication figurant dans le texte du rapport.</w:t>
            </w:r>
          </w:p>
          <w:p w:rsidR="00D23AD6" w:rsidRDefault="00D23AD6" w:rsidP="00C368A5">
            <w:pPr>
              <w:spacing w:before="40" w:after="120"/>
              <w:ind w:left="113" w:right="113"/>
              <w:rPr>
                <w:lang w:val="fr-FR"/>
              </w:rPr>
            </w:pPr>
            <w:r w:rsidRPr="009A1013">
              <w:rPr>
                <w:lang w:val="fr-FR"/>
              </w:rPr>
              <w:t>Pour les rubriques mentionnées, la compatibilité avec l</w:t>
            </w:r>
            <w:r w:rsidR="00787782">
              <w:rPr>
                <w:lang w:val="fr-FR"/>
              </w:rPr>
              <w:t>’</w:t>
            </w:r>
            <w:r w:rsidRPr="009A1013">
              <w:rPr>
                <w:lang w:val="fr-FR"/>
              </w:rPr>
              <w:t>alliage d</w:t>
            </w:r>
            <w:r w:rsidR="00787782">
              <w:rPr>
                <w:lang w:val="fr-FR"/>
              </w:rPr>
              <w:t>’</w:t>
            </w:r>
            <w:r w:rsidRPr="009A1013">
              <w:rPr>
                <w:lang w:val="fr-FR"/>
              </w:rPr>
              <w:t>aluminium a été vérifiée à partir d</w:t>
            </w:r>
            <w:r w:rsidR="00787782">
              <w:rPr>
                <w:lang w:val="fr-FR"/>
              </w:rPr>
              <w:t>’</w:t>
            </w:r>
            <w:r w:rsidRPr="009A1013">
              <w:rPr>
                <w:lang w:val="fr-FR"/>
              </w:rPr>
              <w:t xml:space="preserve">une version ancienne de la </w:t>
            </w:r>
            <w:r>
              <w:rPr>
                <w:lang w:val="fr-FR"/>
              </w:rPr>
              <w:t>« </w:t>
            </w:r>
            <w:r w:rsidRPr="009A1013">
              <w:rPr>
                <w:lang w:val="fr-FR"/>
              </w:rPr>
              <w:t>liste BAM</w:t>
            </w:r>
            <w:r>
              <w:rPr>
                <w:lang w:val="fr-FR"/>
              </w:rPr>
              <w:t> »</w:t>
            </w:r>
            <w:r w:rsidRPr="009A1013">
              <w:rPr>
                <w:lang w:val="fr-FR"/>
              </w:rPr>
              <w:t>.</w:t>
            </w:r>
          </w:p>
          <w:p w:rsidR="00D23AD6" w:rsidRPr="00D23AD6" w:rsidRDefault="00D23AD6" w:rsidP="00C368A5">
            <w:pPr>
              <w:spacing w:before="40" w:after="120"/>
              <w:ind w:left="113" w:right="113"/>
            </w:pPr>
            <w:r w:rsidRPr="009A1013">
              <w:rPr>
                <w:lang w:val="fr-FR"/>
              </w:rPr>
              <w:t>Au cours de la réunion, la liste à jour des matières n</w:t>
            </w:r>
            <w:r w:rsidR="00787782">
              <w:rPr>
                <w:lang w:val="fr-FR"/>
              </w:rPr>
              <w:t>’</w:t>
            </w:r>
            <w:r w:rsidRPr="009A1013">
              <w:rPr>
                <w:lang w:val="fr-FR"/>
              </w:rPr>
              <w:t>était pas disponible. Le représentant du CEFIC a fait observer après la réunion que la liste devrait être examinée plus avant par les membres du Conseil.</w:t>
            </w:r>
          </w:p>
        </w:tc>
      </w:tr>
      <w:tr w:rsidR="00DC0E7E" w:rsidRPr="00402D26" w:rsidTr="009B2BA4">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t>4</w:t>
            </w:r>
          </w:p>
        </w:tc>
        <w:tc>
          <w:tcPr>
            <w:tcW w:w="437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rPr>
                <w:lang w:val="fr-FR"/>
              </w:rPr>
            </w:pPr>
            <w:r w:rsidRPr="00402D26">
              <w:rPr>
                <w:lang w:val="fr-FR"/>
              </w:rPr>
              <w:t>Ajouter au 4.3.5 du RID/ADR une disposition spéciale libellée comme suit :</w:t>
            </w:r>
          </w:p>
          <w:p w:rsidR="00D23AD6" w:rsidRPr="00402D26" w:rsidRDefault="00D23AD6" w:rsidP="00C368A5">
            <w:pPr>
              <w:spacing w:before="40" w:after="120"/>
              <w:ind w:left="113" w:right="113"/>
            </w:pPr>
            <w:r w:rsidRPr="00402D26">
              <w:rPr>
                <w:lang w:val="fr-FR"/>
              </w:rPr>
              <w:t>« </w:t>
            </w:r>
            <w:proofErr w:type="spellStart"/>
            <w:r w:rsidRPr="00402D26">
              <w:rPr>
                <w:lang w:val="fr-FR"/>
              </w:rPr>
              <w:t>TUyy</w:t>
            </w:r>
            <w:proofErr w:type="spellEnd"/>
            <w:r w:rsidR="006E05B2" w:rsidRPr="00402D26">
              <w:rPr>
                <w:lang w:val="fr-FR"/>
              </w:rPr>
              <w:t xml:space="preserve">  </w:t>
            </w:r>
            <w:r w:rsidRPr="00402D26">
              <w:rPr>
                <w:lang w:val="fr-FR"/>
              </w:rPr>
              <w:t>Les citernes dont le réservoir est construit en alliage d</w:t>
            </w:r>
            <w:r w:rsidR="00787782">
              <w:rPr>
                <w:lang w:val="fr-FR"/>
              </w:rPr>
              <w:t>’</w:t>
            </w:r>
            <w:r w:rsidRPr="00402D26">
              <w:rPr>
                <w:lang w:val="fr-FR"/>
              </w:rPr>
              <w:t>aluminium, y compris celles équipées d</w:t>
            </w:r>
            <w:r w:rsidR="00787782">
              <w:rPr>
                <w:lang w:val="fr-FR"/>
              </w:rPr>
              <w:t>’</w:t>
            </w:r>
            <w:r w:rsidRPr="00402D26">
              <w:rPr>
                <w:lang w:val="fr-FR"/>
              </w:rPr>
              <w:t>un revêtement protecteur, ne doivent être utilisées pour cette matière que si leur pH est compris entre 5 et 8. ».</w:t>
            </w:r>
          </w:p>
        </w:tc>
        <w:tc>
          <w:tcPr>
            <w:tcW w:w="46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rPr>
                <w:lang w:val="fr-FR"/>
              </w:rPr>
              <w:t>Bien que le pH ne soit pas le seul critère, il a été convenu que la meilleure façon d</w:t>
            </w:r>
            <w:r w:rsidR="00787782">
              <w:rPr>
                <w:lang w:val="fr-FR"/>
              </w:rPr>
              <w:t>’</w:t>
            </w:r>
            <w:r w:rsidRPr="00402D26">
              <w:rPr>
                <w:lang w:val="fr-FR"/>
              </w:rPr>
              <w:t>éviter les utilisations malencontreuses serait de prévoir, pour les matières normalement transportées dans des citernes équipées d</w:t>
            </w:r>
            <w:r w:rsidR="00787782">
              <w:rPr>
                <w:lang w:val="fr-FR"/>
              </w:rPr>
              <w:t>’</w:t>
            </w:r>
            <w:r w:rsidRPr="00402D26">
              <w:rPr>
                <w:lang w:val="fr-FR"/>
              </w:rPr>
              <w:t>un revêtement protecteur, une nouvelle disposition spéciale TU comportant cette restriction.</w:t>
            </w:r>
          </w:p>
        </w:tc>
      </w:tr>
      <w:tr w:rsidR="00DC0E7E" w:rsidRPr="00402D26" w:rsidTr="00950299">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t>5</w:t>
            </w:r>
          </w:p>
        </w:tc>
        <w:tc>
          <w:tcPr>
            <w:tcW w:w="437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rPr>
                <w:lang w:val="fr-FR"/>
              </w:rPr>
            </w:pPr>
            <w:r w:rsidRPr="00402D26">
              <w:rPr>
                <w:lang w:val="fr-FR"/>
              </w:rPr>
              <w:t>Modifier comme suit le premier paragraphe du 6.8.2.1.9 (les suppressions apparaissent biffées et les éléments nouveaux en italiques) :</w:t>
            </w:r>
          </w:p>
          <w:p w:rsidR="00D23AD6" w:rsidRPr="00402D26" w:rsidRDefault="00D23AD6" w:rsidP="00C368A5">
            <w:pPr>
              <w:spacing w:before="40" w:after="120"/>
              <w:ind w:left="113" w:right="113"/>
            </w:pPr>
            <w:r w:rsidRPr="00C368A5">
              <w:t>«</w:t>
            </w:r>
            <w:r w:rsidRPr="00402D26">
              <w:rPr>
                <w:lang w:val="fr-FR"/>
              </w:rPr>
              <w:t xml:space="preserve"> Les matériaux des réservoirs </w:t>
            </w:r>
            <w:r w:rsidRPr="00402D26">
              <w:rPr>
                <w:strike/>
                <w:lang w:val="fr-FR"/>
              </w:rPr>
              <w:t>ou</w:t>
            </w:r>
            <w:r w:rsidRPr="00402D26">
              <w:rPr>
                <w:lang w:val="fr-FR"/>
              </w:rPr>
              <w:t xml:space="preserve"> </w:t>
            </w:r>
            <w:r w:rsidRPr="00402D26">
              <w:rPr>
                <w:i/>
                <w:iCs/>
                <w:lang w:val="fr-FR"/>
              </w:rPr>
              <w:t>et</w:t>
            </w:r>
            <w:r w:rsidRPr="00402D26">
              <w:rPr>
                <w:lang w:val="fr-FR"/>
              </w:rPr>
              <w:t xml:space="preserve"> de leurs revêtements protecteurs en contact </w:t>
            </w:r>
            <w:r w:rsidRPr="00402D26">
              <w:rPr>
                <w:i/>
                <w:iCs/>
                <w:lang w:val="fr-FR"/>
              </w:rPr>
              <w:t>direct</w:t>
            </w:r>
            <w:r w:rsidRPr="00402D26">
              <w:rPr>
                <w:lang w:val="fr-FR"/>
              </w:rPr>
              <w:t xml:space="preserve"> avec le contenu ne doivent pas contenir de matières susceptibles de réagir dangereusement (voir “</w:t>
            </w:r>
            <w:r w:rsidRPr="00402D26">
              <w:rPr>
                <w:i/>
                <w:lang w:val="fr-FR"/>
              </w:rPr>
              <w:t>Réaction dangereuse</w:t>
            </w:r>
            <w:r w:rsidRPr="00402D26">
              <w:rPr>
                <w:lang w:val="fr-FR"/>
              </w:rPr>
              <w:t>” sous 1.2.1) avec le contenu, de former des produits dangereux ou d</w:t>
            </w:r>
            <w:r w:rsidR="00787782">
              <w:rPr>
                <w:lang w:val="fr-FR"/>
              </w:rPr>
              <w:t>’</w:t>
            </w:r>
            <w:r w:rsidRPr="00402D26">
              <w:rPr>
                <w:lang w:val="fr-FR"/>
              </w:rPr>
              <w:t>affaiblir le matériau de manière appréciable sous l</w:t>
            </w:r>
            <w:r w:rsidR="00787782">
              <w:rPr>
                <w:lang w:val="fr-FR"/>
              </w:rPr>
              <w:t>’</w:t>
            </w:r>
            <w:r w:rsidRPr="00402D26">
              <w:rPr>
                <w:lang w:val="fr-FR"/>
              </w:rPr>
              <w:t>effet de celui</w:t>
            </w:r>
            <w:r w:rsidR="00DC0E7E">
              <w:rPr>
                <w:lang w:val="fr-FR"/>
              </w:rPr>
              <w:noBreakHyphen/>
            </w:r>
            <w:r w:rsidRPr="00402D26">
              <w:rPr>
                <w:lang w:val="fr-FR"/>
              </w:rPr>
              <w:t>ci. ».</w:t>
            </w:r>
          </w:p>
        </w:tc>
        <w:tc>
          <w:tcPr>
            <w:tcW w:w="46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rPr>
                <w:lang w:val="fr-FR"/>
              </w:rPr>
            </w:pPr>
            <w:r w:rsidRPr="00402D26">
              <w:rPr>
                <w:lang w:val="fr-FR"/>
              </w:rPr>
              <w:t>Modifications visant à harmoniser le 6.8.2.1.9 avec le 4.3.2.1.5, où il est dit, de la même façon, que le matériau du réservoir et celui du revêtement ne doivent pas être susceptibles de réagir dangereusement lorsqu</w:t>
            </w:r>
            <w:r w:rsidR="00787782">
              <w:rPr>
                <w:lang w:val="fr-FR"/>
              </w:rPr>
              <w:t>’</w:t>
            </w:r>
            <w:r w:rsidRPr="00402D26">
              <w:rPr>
                <w:lang w:val="fr-FR"/>
              </w:rPr>
              <w:t>ils sont en contact avec la matière.</w:t>
            </w:r>
          </w:p>
          <w:p w:rsidR="00D23AD6" w:rsidRPr="00402D26" w:rsidRDefault="00D23AD6" w:rsidP="00C368A5">
            <w:pPr>
              <w:spacing w:before="40" w:after="120"/>
              <w:ind w:left="113" w:right="113"/>
            </w:pPr>
            <w:r w:rsidRPr="00402D26">
              <w:rPr>
                <w:lang w:val="fr-FR"/>
              </w:rPr>
              <w:t>Remplacement, dans la version en langue anglaise, du mot « </w:t>
            </w:r>
            <w:proofErr w:type="spellStart"/>
            <w:r w:rsidRPr="00402D26">
              <w:rPr>
                <w:lang w:val="fr-FR"/>
              </w:rPr>
              <w:t>substantially</w:t>
            </w:r>
            <w:proofErr w:type="spellEnd"/>
            <w:r w:rsidRPr="00402D26">
              <w:rPr>
                <w:lang w:val="fr-FR"/>
              </w:rPr>
              <w:t> » par « </w:t>
            </w:r>
            <w:proofErr w:type="spellStart"/>
            <w:r w:rsidRPr="00402D26">
              <w:rPr>
                <w:lang w:val="fr-FR"/>
              </w:rPr>
              <w:t>appreciably</w:t>
            </w:r>
            <w:proofErr w:type="spellEnd"/>
            <w:r w:rsidRPr="00402D26">
              <w:rPr>
                <w:lang w:val="fr-FR"/>
              </w:rPr>
              <w:t> », qui est employé au 4.3 et au 4.2.</w:t>
            </w:r>
          </w:p>
        </w:tc>
      </w:tr>
      <w:tr w:rsidR="00DC0E7E" w:rsidRPr="00402D26" w:rsidTr="00950299">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50299">
            <w:pPr>
              <w:keepNext/>
              <w:spacing w:before="40" w:after="120"/>
              <w:ind w:left="113" w:right="113"/>
            </w:pPr>
            <w:r w:rsidRPr="00402D26">
              <w:lastRenderedPageBreak/>
              <w:t>6</w:t>
            </w:r>
          </w:p>
        </w:tc>
        <w:tc>
          <w:tcPr>
            <w:tcW w:w="437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50299">
            <w:pPr>
              <w:keepNext/>
              <w:spacing w:before="40" w:after="120"/>
              <w:ind w:left="113" w:right="113"/>
              <w:rPr>
                <w:lang w:val="fr-FR"/>
              </w:rPr>
            </w:pPr>
            <w:r w:rsidRPr="00402D26">
              <w:rPr>
                <w:lang w:val="fr-FR"/>
              </w:rPr>
              <w:t>Remplacer le libellé actuel du 6.8.2.1.24 par ce qui suit :</w:t>
            </w:r>
          </w:p>
          <w:p w:rsidR="00D23AD6" w:rsidRPr="00402D26" w:rsidRDefault="00D23AD6" w:rsidP="00950299">
            <w:pPr>
              <w:keepNext/>
              <w:spacing w:before="40" w:after="120"/>
              <w:ind w:left="113" w:right="113"/>
            </w:pPr>
            <w:r w:rsidRPr="00402D26">
              <w:rPr>
                <w:lang w:val="fr-FR"/>
              </w:rPr>
              <w:t>« Les revêtements protecteurs doivent être compatibles avec le matériau du réservoir en vue du collage et être suffisamment élastiques pour accompagner la dilatation du réservoir due aux variations de température et de pression. ».</w:t>
            </w:r>
          </w:p>
        </w:tc>
        <w:tc>
          <w:tcPr>
            <w:tcW w:w="46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C368A5" w:rsidRDefault="00D23AD6" w:rsidP="00950299">
            <w:pPr>
              <w:keepNext/>
              <w:spacing w:before="40" w:after="120"/>
              <w:ind w:left="113" w:right="113"/>
            </w:pPr>
            <w:r w:rsidRPr="00C368A5">
              <w:t>Les experts ont estimé qu</w:t>
            </w:r>
            <w:r w:rsidR="00787782" w:rsidRPr="00C368A5">
              <w:t>’</w:t>
            </w:r>
            <w:r w:rsidRPr="00C368A5">
              <w:t>il n</w:t>
            </w:r>
            <w:r w:rsidR="00787782" w:rsidRPr="00C368A5">
              <w:t>’</w:t>
            </w:r>
            <w:r w:rsidRPr="00C368A5">
              <w:t>était pas nécessaire de</w:t>
            </w:r>
            <w:r w:rsidR="006E05B2" w:rsidRPr="00C368A5">
              <w:t xml:space="preserve"> </w:t>
            </w:r>
            <w:r w:rsidRPr="00C368A5">
              <w:t>modifier le libellé actuel du 6.8.2.1.24. Toutefois, si la Réunion commune souhaitait modifier le 6.8.2.1.24, le libellé proposé entre guillemets serait acceptable.</w:t>
            </w:r>
          </w:p>
          <w:p w:rsidR="00D23AD6" w:rsidRPr="00402D26" w:rsidRDefault="00D23AD6" w:rsidP="00950299">
            <w:pPr>
              <w:keepNext/>
              <w:spacing w:before="40" w:after="120"/>
              <w:ind w:left="113" w:right="113"/>
            </w:pPr>
            <w:r w:rsidRPr="00C368A5">
              <w:t>Il a été estimé qu</w:t>
            </w:r>
            <w:r w:rsidR="00787782" w:rsidRPr="00C368A5">
              <w:t>’</w:t>
            </w:r>
            <w:r w:rsidRPr="00C368A5">
              <w:t>il n</w:t>
            </w:r>
            <w:r w:rsidR="00787782" w:rsidRPr="00C368A5">
              <w:t>’</w:t>
            </w:r>
            <w:r w:rsidRPr="00C368A5">
              <w:t>était pas souhaitable d</w:t>
            </w:r>
            <w:r w:rsidR="00787782" w:rsidRPr="00C368A5">
              <w:t>’</w:t>
            </w:r>
            <w:r w:rsidRPr="00C368A5">
              <w:t>ajouter un texte s</w:t>
            </w:r>
            <w:r w:rsidR="00787782" w:rsidRPr="00C368A5">
              <w:t>’</w:t>
            </w:r>
            <w:r w:rsidRPr="00C368A5">
              <w:t>inspirant de la deuxième et de la troisième phrase du 6.7.2.2.4 dans la mesure où l</w:t>
            </w:r>
            <w:r w:rsidR="00787782" w:rsidRPr="00C368A5">
              <w:t>’</w:t>
            </w:r>
            <w:r w:rsidRPr="00C368A5">
              <w:t>application d</w:t>
            </w:r>
            <w:r w:rsidR="00787782" w:rsidRPr="00C368A5">
              <w:t>’</w:t>
            </w:r>
            <w:r w:rsidRPr="00C368A5">
              <w:t>un revêtement</w:t>
            </w:r>
            <w:r w:rsidR="006E05B2" w:rsidRPr="00C368A5">
              <w:t xml:space="preserve"> </w:t>
            </w:r>
            <w:r w:rsidRPr="00C368A5">
              <w:t>enveloppant la face des brides n</w:t>
            </w:r>
            <w:r w:rsidR="00787782" w:rsidRPr="00C368A5">
              <w:t>’</w:t>
            </w:r>
            <w:r w:rsidRPr="00C368A5">
              <w:t>était plus une technique de pointe.</w:t>
            </w:r>
          </w:p>
        </w:tc>
      </w:tr>
      <w:tr w:rsidR="00DC0E7E" w:rsidRPr="00402D26" w:rsidTr="00950299">
        <w:trPr>
          <w:jc w:val="center"/>
        </w:trPr>
        <w:tc>
          <w:tcPr>
            <w:tcW w:w="602" w:type="dxa"/>
            <w:tcBorders>
              <w:top w:val="single" w:sz="4" w:space="0" w:color="auto"/>
              <w:left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t>7</w:t>
            </w:r>
          </w:p>
        </w:tc>
        <w:tc>
          <w:tcPr>
            <w:tcW w:w="4372" w:type="dxa"/>
            <w:tcBorders>
              <w:top w:val="single" w:sz="4" w:space="0" w:color="auto"/>
              <w:left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rPr>
                <w:lang w:val="fr-FR"/>
              </w:rPr>
              <w:t xml:space="preserve">Modifier comme suit le paragraphe suivant la </w:t>
            </w:r>
            <w:r w:rsidRPr="00402D26">
              <w:rPr>
                <w:bCs/>
                <w:lang w:val="fr-FR"/>
              </w:rPr>
              <w:t>deuxième série de tirets</w:t>
            </w:r>
            <w:r w:rsidRPr="00402D26">
              <w:rPr>
                <w:lang w:val="fr-FR"/>
              </w:rPr>
              <w:t xml:space="preserve"> du 6.8.2.2.2 (les suppressions apparaissent biffées et les éléments nouveaux en italiques) :</w:t>
            </w:r>
          </w:p>
        </w:tc>
        <w:tc>
          <w:tcPr>
            <w:tcW w:w="4651" w:type="dxa"/>
            <w:tcBorders>
              <w:top w:val="single" w:sz="4" w:space="0" w:color="auto"/>
              <w:left w:val="single" w:sz="4" w:space="0" w:color="auto"/>
              <w:right w:val="single" w:sz="4" w:space="0" w:color="auto"/>
            </w:tcBorders>
            <w:shd w:val="clear" w:color="auto" w:fill="auto"/>
            <w:tcMar>
              <w:left w:w="0" w:type="dxa"/>
              <w:right w:w="0" w:type="dxa"/>
            </w:tcMar>
          </w:tcPr>
          <w:p w:rsidR="00D23AD6" w:rsidRPr="00402D26" w:rsidRDefault="00D23AD6" w:rsidP="00C368A5">
            <w:pPr>
              <w:spacing w:before="40" w:after="120"/>
              <w:ind w:left="113" w:right="113"/>
            </w:pPr>
            <w:r w:rsidRPr="00402D26">
              <w:rPr>
                <w:lang w:val="fr-FR"/>
              </w:rPr>
              <w:t>Cette modification résulte de l</w:t>
            </w:r>
            <w:r w:rsidR="00787782">
              <w:rPr>
                <w:lang w:val="fr-FR"/>
              </w:rPr>
              <w:t>’</w:t>
            </w:r>
            <w:r w:rsidRPr="00402D26">
              <w:rPr>
                <w:lang w:val="fr-FR"/>
              </w:rPr>
              <w:t>insertion de la définition du « revêtement protecteur ».</w:t>
            </w:r>
          </w:p>
        </w:tc>
      </w:tr>
      <w:tr w:rsidR="00DC0E7E" w:rsidRPr="00402D26" w:rsidTr="009B2BA4">
        <w:trPr>
          <w:jc w:val="center"/>
        </w:trPr>
        <w:tc>
          <w:tcPr>
            <w:tcW w:w="60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B2BA4">
            <w:pPr>
              <w:spacing w:before="40" w:after="120"/>
              <w:ind w:left="4" w:right="4"/>
            </w:pPr>
          </w:p>
        </w:tc>
        <w:tc>
          <w:tcPr>
            <w:tcW w:w="437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pPr>
            <w:r w:rsidRPr="00402D26">
              <w:rPr>
                <w:lang w:val="fr-FR"/>
              </w:rPr>
              <w:t>« Toutefois, pour les citernes destinées au transport de certaines matières cristallisables ou très visqueuses, ainsi que pour les réservoirs munis d</w:t>
            </w:r>
            <w:r w:rsidR="00787782">
              <w:rPr>
                <w:lang w:val="fr-FR"/>
              </w:rPr>
              <w:t>’</w:t>
            </w:r>
            <w:r w:rsidRPr="00402D26">
              <w:rPr>
                <w:lang w:val="fr-FR"/>
              </w:rPr>
              <w:t xml:space="preserve">un revêtement </w:t>
            </w:r>
            <w:r w:rsidRPr="00402D26">
              <w:rPr>
                <w:strike/>
                <w:lang w:val="fr-FR"/>
              </w:rPr>
              <w:t>en ébonite ou en thermoplastique</w:t>
            </w:r>
            <w:r w:rsidRPr="00402D26">
              <w:rPr>
                <w:lang w:val="fr-FR"/>
              </w:rPr>
              <w:t xml:space="preserve"> </w:t>
            </w:r>
            <w:r w:rsidRPr="00402D26">
              <w:rPr>
                <w:i/>
                <w:iCs/>
                <w:lang w:val="fr-FR"/>
              </w:rPr>
              <w:t>protecteur,</w:t>
            </w:r>
            <w:r w:rsidRPr="00402D26">
              <w:rPr>
                <w:lang w:val="fr-FR"/>
              </w:rPr>
              <w:t xml:space="preserve"> l</w:t>
            </w:r>
            <w:r w:rsidR="00787782">
              <w:rPr>
                <w:lang w:val="fr-FR"/>
              </w:rPr>
              <w:t>’</w:t>
            </w:r>
            <w:r w:rsidRPr="00402D26">
              <w:rPr>
                <w:lang w:val="fr-FR"/>
              </w:rPr>
              <w:t>obturateur interne peut être remplacé par un obturateur externe présentant une protection supplémentaire. ».</w:t>
            </w:r>
          </w:p>
        </w:tc>
        <w:tc>
          <w:tcPr>
            <w:tcW w:w="4651"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B2BA4">
            <w:pPr>
              <w:spacing w:before="40" w:after="120"/>
              <w:ind w:left="4" w:right="4"/>
            </w:pPr>
          </w:p>
        </w:tc>
      </w:tr>
      <w:tr w:rsidR="00DC0E7E" w:rsidRPr="00402D26" w:rsidTr="009B2BA4">
        <w:trPr>
          <w:jc w:val="center"/>
        </w:trPr>
        <w:tc>
          <w:tcPr>
            <w:tcW w:w="602" w:type="dxa"/>
            <w:tcBorders>
              <w:top w:val="single" w:sz="4" w:space="0" w:color="auto"/>
              <w:left w:val="single" w:sz="4"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pPr>
            <w:r w:rsidRPr="00402D26">
              <w:t>8</w:t>
            </w:r>
          </w:p>
        </w:tc>
        <w:tc>
          <w:tcPr>
            <w:tcW w:w="4372" w:type="dxa"/>
            <w:tcBorders>
              <w:top w:val="single" w:sz="4" w:space="0" w:color="auto"/>
              <w:left w:val="single" w:sz="4"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rPr>
                <w:lang w:val="fr-FR"/>
              </w:rPr>
            </w:pPr>
            <w:r w:rsidRPr="00402D26">
              <w:rPr>
                <w:lang w:val="fr-FR"/>
              </w:rPr>
              <w:t>Ajouter à la fin du 6.8.2.4.1 un nouveau paragraphe libellé comme suit :</w:t>
            </w:r>
          </w:p>
          <w:p w:rsidR="006E05B2" w:rsidRPr="00402D26" w:rsidRDefault="006E05B2" w:rsidP="00C368A5">
            <w:pPr>
              <w:spacing w:before="40" w:after="120"/>
              <w:ind w:left="113" w:right="113"/>
            </w:pPr>
            <w:r w:rsidRPr="00402D26">
              <w:rPr>
                <w:lang w:val="fr-FR"/>
              </w:rPr>
              <w:t>« </w:t>
            </w:r>
            <w:r w:rsidRPr="00402D26">
              <w:rPr>
                <w:i/>
                <w:lang w:val="fr-FR"/>
              </w:rPr>
              <w:t>Le ou les fabricants, fournisseurs ou applicateurs du matériau de revêtement doivent fournir, pour les revêtements protecteurs du réservoir et de son équipement, une attestation indiquant la marque et le type du matériau de revêtement et ses caractéristiques, notamment son épaisseur et le nombre de couches qu</w:t>
            </w:r>
            <w:r w:rsidR="00787782">
              <w:rPr>
                <w:i/>
                <w:lang w:val="fr-FR"/>
              </w:rPr>
              <w:t>’</w:t>
            </w:r>
            <w:r w:rsidRPr="00402D26">
              <w:rPr>
                <w:i/>
                <w:lang w:val="fr-FR"/>
              </w:rPr>
              <w:t>il comporte, le type d</w:t>
            </w:r>
            <w:r w:rsidR="00787782">
              <w:rPr>
                <w:i/>
                <w:lang w:val="fr-FR"/>
              </w:rPr>
              <w:t>’</w:t>
            </w:r>
            <w:r w:rsidRPr="00402D26">
              <w:rPr>
                <w:i/>
                <w:lang w:val="fr-FR"/>
              </w:rPr>
              <w:t xml:space="preserve">épreuve(s) effectuée(s) sur le revêtement et les résultats obtenus. Le cas échéant, les paramètres applicables à des essais futurs, tels que la tension maximale pour </w:t>
            </w:r>
            <w:r w:rsidRPr="00402D26">
              <w:rPr>
                <w:bCs/>
                <w:i/>
                <w:lang w:val="fr-FR"/>
              </w:rPr>
              <w:t>les épreuves produisant des étincelles, do</w:t>
            </w:r>
            <w:r w:rsidRPr="00402D26">
              <w:rPr>
                <w:i/>
                <w:lang w:val="fr-FR"/>
              </w:rPr>
              <w:t>ivent être précisés. Une copie de l</w:t>
            </w:r>
            <w:r w:rsidR="00787782">
              <w:rPr>
                <w:i/>
                <w:lang w:val="fr-FR"/>
              </w:rPr>
              <w:t>’</w:t>
            </w:r>
            <w:r w:rsidRPr="00402D26">
              <w:rPr>
                <w:i/>
                <w:lang w:val="fr-FR"/>
              </w:rPr>
              <w:t>attestation doit être jointe au dossier de la citerne.</w:t>
            </w:r>
            <w:r w:rsidRPr="00402D26">
              <w:rPr>
                <w:lang w:val="fr-FR"/>
              </w:rPr>
              <w:t> ».</w:t>
            </w:r>
          </w:p>
        </w:tc>
        <w:tc>
          <w:tcPr>
            <w:tcW w:w="4651" w:type="dxa"/>
            <w:tcBorders>
              <w:top w:val="single" w:sz="4" w:space="0" w:color="auto"/>
              <w:left w:val="single" w:sz="4" w:space="0" w:color="auto"/>
              <w:right w:val="single" w:sz="4" w:space="0" w:color="auto"/>
            </w:tcBorders>
            <w:shd w:val="clear" w:color="auto" w:fill="auto"/>
            <w:tcMar>
              <w:left w:w="0" w:type="dxa"/>
              <w:right w:w="0" w:type="dxa"/>
            </w:tcMar>
          </w:tcPr>
          <w:p w:rsidR="009C46DB" w:rsidRDefault="006E05B2" w:rsidP="00C368A5">
            <w:pPr>
              <w:spacing w:before="40" w:after="120"/>
              <w:ind w:left="113" w:right="113"/>
              <w:rPr>
                <w:lang w:val="fr-FR"/>
              </w:rPr>
            </w:pPr>
            <w:r w:rsidRPr="00402D26">
              <w:rPr>
                <w:bCs/>
                <w:lang w:val="fr-FR"/>
              </w:rPr>
              <w:t>Il a été avancé qu</w:t>
            </w:r>
            <w:r w:rsidR="00787782">
              <w:rPr>
                <w:bCs/>
                <w:lang w:val="fr-FR"/>
              </w:rPr>
              <w:t>’</w:t>
            </w:r>
            <w:r w:rsidRPr="00402D26">
              <w:rPr>
                <w:bCs/>
                <w:lang w:val="fr-FR"/>
              </w:rPr>
              <w:t>il n</w:t>
            </w:r>
            <w:r w:rsidR="00787782">
              <w:rPr>
                <w:bCs/>
                <w:lang w:val="fr-FR"/>
              </w:rPr>
              <w:t>’</w:t>
            </w:r>
            <w:r w:rsidRPr="00402D26">
              <w:rPr>
                <w:bCs/>
                <w:lang w:val="fr-FR"/>
              </w:rPr>
              <w:t>était pas possible de demander à une seule partie de fournir une attestation pour le revêtement protecteur.</w:t>
            </w:r>
            <w:r w:rsidRPr="00402D26">
              <w:rPr>
                <w:lang w:val="fr-FR"/>
              </w:rPr>
              <w:t xml:space="preserve"> </w:t>
            </w:r>
            <w:r w:rsidRPr="00402D26">
              <w:rPr>
                <w:bCs/>
                <w:lang w:val="fr-FR"/>
              </w:rPr>
              <w:t>Dans le cas d</w:t>
            </w:r>
            <w:r w:rsidR="00787782">
              <w:rPr>
                <w:bCs/>
                <w:lang w:val="fr-FR"/>
              </w:rPr>
              <w:t>’</w:t>
            </w:r>
            <w:r w:rsidRPr="00402D26">
              <w:rPr>
                <w:bCs/>
                <w:lang w:val="fr-FR"/>
              </w:rPr>
              <w:t>une citerne neuve, la responsabilité peut en incomber au fabricant, mais il arrive que le propriétaire de la citerne fasse appliquer un revêtement par une tierce partie, ce qui modifie l</w:t>
            </w:r>
            <w:r w:rsidR="00787782">
              <w:rPr>
                <w:bCs/>
                <w:lang w:val="fr-FR"/>
              </w:rPr>
              <w:t>’</w:t>
            </w:r>
            <w:r w:rsidRPr="00402D26">
              <w:rPr>
                <w:bCs/>
                <w:lang w:val="fr-FR"/>
              </w:rPr>
              <w:t>agrément (de type).</w:t>
            </w:r>
            <w:r w:rsidRPr="00402D26">
              <w:rPr>
                <w:lang w:val="fr-FR"/>
              </w:rPr>
              <w:t xml:space="preserve"> La partie responsable peut être le fabricant de la citerne ou son propriétaire. Parfois, le fabricant du revêtement ne dispose pas des connaissances spécialisées concernant ce type particulier d</w:t>
            </w:r>
            <w:r w:rsidR="00787782">
              <w:rPr>
                <w:lang w:val="fr-FR"/>
              </w:rPr>
              <w:t>’</w:t>
            </w:r>
            <w:r w:rsidRPr="00402D26">
              <w:rPr>
                <w:lang w:val="fr-FR"/>
              </w:rPr>
              <w:t>application, au contraire du fournisseur ou de l</w:t>
            </w:r>
            <w:r w:rsidR="00787782">
              <w:rPr>
                <w:lang w:val="fr-FR"/>
              </w:rPr>
              <w:t>’</w:t>
            </w:r>
            <w:r w:rsidRPr="00402D26">
              <w:rPr>
                <w:lang w:val="fr-FR"/>
              </w:rPr>
              <w:t xml:space="preserve">applicateur. </w:t>
            </w:r>
          </w:p>
          <w:p w:rsidR="006E05B2" w:rsidRPr="00402D26" w:rsidRDefault="006E05B2" w:rsidP="00C368A5">
            <w:pPr>
              <w:spacing w:before="40" w:after="120"/>
              <w:ind w:left="113" w:right="113"/>
            </w:pPr>
            <w:r w:rsidRPr="00402D26">
              <w:rPr>
                <w:lang w:val="fr-FR"/>
              </w:rPr>
              <w:t>C</w:t>
            </w:r>
            <w:r w:rsidR="00787782">
              <w:rPr>
                <w:lang w:val="fr-FR"/>
              </w:rPr>
              <w:t>’</w:t>
            </w:r>
            <w:r w:rsidRPr="00402D26">
              <w:rPr>
                <w:lang w:val="fr-FR"/>
              </w:rPr>
              <w:t>est pourquoi l</w:t>
            </w:r>
            <w:r w:rsidR="00787782">
              <w:rPr>
                <w:lang w:val="fr-FR"/>
              </w:rPr>
              <w:t>’</w:t>
            </w:r>
            <w:r w:rsidRPr="00402D26">
              <w:rPr>
                <w:lang w:val="fr-FR"/>
              </w:rPr>
              <w:t>attestation doit pouvoir être demandée au fabricant, au fournisseur ou à l</w:t>
            </w:r>
            <w:r w:rsidR="00787782">
              <w:rPr>
                <w:lang w:val="fr-FR"/>
              </w:rPr>
              <w:t>’</w:t>
            </w:r>
            <w:r w:rsidRPr="00402D26">
              <w:rPr>
                <w:lang w:val="fr-FR"/>
              </w:rPr>
              <w:t>applicateur.</w:t>
            </w:r>
          </w:p>
        </w:tc>
      </w:tr>
      <w:tr w:rsidR="009C46DB" w:rsidRPr="00402D26" w:rsidTr="009B2BA4">
        <w:trPr>
          <w:jc w:val="center"/>
        </w:trPr>
        <w:tc>
          <w:tcPr>
            <w:tcW w:w="602" w:type="dxa"/>
            <w:tcBorders>
              <w:left w:val="single" w:sz="4" w:space="0" w:color="auto"/>
              <w:right w:val="single" w:sz="4" w:space="0" w:color="auto"/>
            </w:tcBorders>
            <w:shd w:val="clear" w:color="auto" w:fill="auto"/>
            <w:tcMar>
              <w:left w:w="0" w:type="dxa"/>
              <w:right w:w="0" w:type="dxa"/>
            </w:tcMar>
          </w:tcPr>
          <w:p w:rsidR="009C46DB" w:rsidRPr="00402D26" w:rsidRDefault="009C46DB" w:rsidP="009B2BA4">
            <w:pPr>
              <w:spacing w:before="40" w:after="120"/>
              <w:ind w:left="4" w:right="4"/>
            </w:pPr>
          </w:p>
        </w:tc>
        <w:tc>
          <w:tcPr>
            <w:tcW w:w="4372" w:type="dxa"/>
            <w:tcBorders>
              <w:left w:val="single" w:sz="4" w:space="0" w:color="auto"/>
              <w:right w:val="single" w:sz="4" w:space="0" w:color="auto"/>
            </w:tcBorders>
            <w:shd w:val="clear" w:color="auto" w:fill="auto"/>
            <w:tcMar>
              <w:left w:w="0" w:type="dxa"/>
              <w:right w:w="0" w:type="dxa"/>
            </w:tcMar>
          </w:tcPr>
          <w:p w:rsidR="009C46DB" w:rsidRPr="00402D26" w:rsidRDefault="009C46DB" w:rsidP="009B2BA4">
            <w:pPr>
              <w:spacing w:before="40" w:after="120"/>
              <w:ind w:left="4" w:right="4"/>
            </w:pPr>
          </w:p>
        </w:tc>
        <w:tc>
          <w:tcPr>
            <w:tcW w:w="4651" w:type="dxa"/>
            <w:tcBorders>
              <w:left w:val="single" w:sz="4" w:space="0" w:color="auto"/>
              <w:right w:val="single" w:sz="4" w:space="0" w:color="auto"/>
            </w:tcBorders>
            <w:shd w:val="clear" w:color="auto" w:fill="auto"/>
            <w:tcMar>
              <w:left w:w="0" w:type="dxa"/>
              <w:right w:w="0" w:type="dxa"/>
            </w:tcMar>
          </w:tcPr>
          <w:p w:rsidR="009C46DB" w:rsidRPr="00402D26" w:rsidRDefault="009C46DB" w:rsidP="00C368A5">
            <w:pPr>
              <w:spacing w:before="40" w:after="120"/>
              <w:ind w:left="113" w:right="113"/>
              <w:rPr>
                <w:lang w:val="fr-FR"/>
              </w:rPr>
            </w:pPr>
            <w:r w:rsidRPr="00402D26">
              <w:rPr>
                <w:bCs/>
                <w:lang w:val="fr-FR"/>
              </w:rPr>
              <w:t>Dans ce paragraphe, il est également demandé de fournir des informations plus détaillées quant au revêtement appliqué.</w:t>
            </w:r>
          </w:p>
        </w:tc>
      </w:tr>
      <w:tr w:rsidR="00DC0E7E" w:rsidRPr="00402D26" w:rsidTr="00950299">
        <w:trPr>
          <w:jc w:val="center"/>
        </w:trPr>
        <w:tc>
          <w:tcPr>
            <w:tcW w:w="60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B2BA4">
            <w:pPr>
              <w:spacing w:before="40" w:after="120"/>
              <w:ind w:left="4" w:right="4"/>
            </w:pPr>
          </w:p>
        </w:tc>
        <w:tc>
          <w:tcPr>
            <w:tcW w:w="4372"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D23AD6" w:rsidP="009B2BA4">
            <w:pPr>
              <w:spacing w:before="40" w:after="120"/>
              <w:ind w:left="4" w:right="4"/>
            </w:pPr>
          </w:p>
        </w:tc>
        <w:tc>
          <w:tcPr>
            <w:tcW w:w="4651" w:type="dxa"/>
            <w:tcBorders>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pPr>
            <w:r w:rsidRPr="00402D26">
              <w:rPr>
                <w:lang w:val="fr-FR"/>
              </w:rPr>
              <w:t>Il a été suggéré d</w:t>
            </w:r>
            <w:r w:rsidR="00787782">
              <w:rPr>
                <w:lang w:val="fr-FR"/>
              </w:rPr>
              <w:t>’</w:t>
            </w:r>
            <w:r w:rsidRPr="00402D26">
              <w:rPr>
                <w:lang w:val="fr-FR"/>
              </w:rPr>
              <w:t xml:space="preserve">ajouter cette disposition au 6.8.3, </w:t>
            </w:r>
            <w:r w:rsidRPr="00402D26">
              <w:rPr>
                <w:bCs/>
                <w:lang w:val="fr-FR"/>
              </w:rPr>
              <w:t>mais étant donné que cette section renvoie à la délivrance d</w:t>
            </w:r>
            <w:r w:rsidR="00787782">
              <w:rPr>
                <w:bCs/>
                <w:lang w:val="fr-FR"/>
              </w:rPr>
              <w:t>’</w:t>
            </w:r>
            <w:r w:rsidRPr="00402D26">
              <w:rPr>
                <w:bCs/>
                <w:lang w:val="fr-FR"/>
              </w:rPr>
              <w:t>attestations (agrément de type) par les autorités compétentes, et qu</w:t>
            </w:r>
            <w:r w:rsidR="00787782">
              <w:rPr>
                <w:bCs/>
                <w:lang w:val="fr-FR"/>
              </w:rPr>
              <w:t>’</w:t>
            </w:r>
            <w:r w:rsidRPr="00402D26">
              <w:rPr>
                <w:bCs/>
                <w:lang w:val="fr-FR"/>
              </w:rPr>
              <w:t>elle concerne plutôt certaines citernes, il a été décidé de la conserver dans le 6.8.2.4 (épreuve des citernes).</w:t>
            </w:r>
          </w:p>
        </w:tc>
      </w:tr>
      <w:tr w:rsidR="00DC0E7E" w:rsidRPr="00402D26" w:rsidTr="00950299">
        <w:trPr>
          <w:jc w:val="center"/>
        </w:trPr>
        <w:tc>
          <w:tcPr>
            <w:tcW w:w="6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6E05B2" w:rsidP="00950299">
            <w:pPr>
              <w:keepNext/>
              <w:spacing w:before="40" w:after="120"/>
              <w:ind w:left="113" w:right="113"/>
            </w:pPr>
            <w:r w:rsidRPr="00402D26">
              <w:lastRenderedPageBreak/>
              <w:t>9</w:t>
            </w:r>
          </w:p>
        </w:tc>
        <w:tc>
          <w:tcPr>
            <w:tcW w:w="437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6E05B2" w:rsidP="00950299">
            <w:pPr>
              <w:keepNext/>
              <w:spacing w:before="40" w:after="120"/>
              <w:ind w:left="113" w:right="113"/>
              <w:rPr>
                <w:lang w:val="fr-FR"/>
              </w:rPr>
            </w:pPr>
            <w:r w:rsidRPr="00402D26">
              <w:rPr>
                <w:lang w:val="fr-FR"/>
              </w:rPr>
              <w:t>Ajouter à la fin du 6.8.2.4.2 un nouveau paragraphe libellé comme suit :</w:t>
            </w:r>
          </w:p>
          <w:p w:rsidR="006E05B2" w:rsidRPr="00402D26" w:rsidRDefault="006E05B2" w:rsidP="00950299">
            <w:pPr>
              <w:keepNext/>
              <w:spacing w:before="40" w:after="120"/>
              <w:ind w:left="113" w:right="113"/>
            </w:pPr>
            <w:r w:rsidRPr="00402D26">
              <w:rPr>
                <w:lang w:val="fr-FR"/>
              </w:rPr>
              <w:t>« </w:t>
            </w:r>
            <w:r w:rsidRPr="00402D26">
              <w:rPr>
                <w:i/>
                <w:lang w:val="fr-FR"/>
              </w:rPr>
              <w:t>Les revêtements protecteurs doivent faire l</w:t>
            </w:r>
            <w:r w:rsidR="00787782">
              <w:rPr>
                <w:i/>
                <w:lang w:val="fr-FR"/>
              </w:rPr>
              <w:t>’</w:t>
            </w:r>
            <w:r w:rsidRPr="00402D26">
              <w:rPr>
                <w:i/>
                <w:lang w:val="fr-FR"/>
              </w:rPr>
              <w:t>objet d</w:t>
            </w:r>
            <w:r w:rsidR="00787782">
              <w:rPr>
                <w:i/>
                <w:lang w:val="fr-FR"/>
              </w:rPr>
              <w:t>’</w:t>
            </w:r>
            <w:r w:rsidRPr="00402D26">
              <w:rPr>
                <w:i/>
                <w:lang w:val="fr-FR"/>
              </w:rPr>
              <w:t>un examen visuel visant à détecter d</w:t>
            </w:r>
            <w:r w:rsidR="00787782">
              <w:rPr>
                <w:i/>
                <w:lang w:val="fr-FR"/>
              </w:rPr>
              <w:t>’</w:t>
            </w:r>
            <w:r w:rsidRPr="00402D26">
              <w:rPr>
                <w:i/>
                <w:lang w:val="fr-FR"/>
              </w:rPr>
              <w:t>éventuels défauts. En cas d</w:t>
            </w:r>
            <w:r w:rsidR="00787782">
              <w:rPr>
                <w:i/>
                <w:lang w:val="fr-FR"/>
              </w:rPr>
              <w:t>’</w:t>
            </w:r>
            <w:r w:rsidRPr="00402D26">
              <w:rPr>
                <w:i/>
                <w:lang w:val="fr-FR"/>
              </w:rPr>
              <w:t>anomalie, l</w:t>
            </w:r>
            <w:r w:rsidR="00787782">
              <w:rPr>
                <w:i/>
                <w:lang w:val="fr-FR"/>
              </w:rPr>
              <w:t>’</w:t>
            </w:r>
            <w:r w:rsidRPr="00402D26">
              <w:rPr>
                <w:i/>
                <w:lang w:val="fr-FR"/>
              </w:rPr>
              <w:t>état du revêtement doit être contrôlé par l</w:t>
            </w:r>
            <w:r w:rsidR="00787782">
              <w:rPr>
                <w:i/>
                <w:lang w:val="fr-FR"/>
              </w:rPr>
              <w:t>’</w:t>
            </w:r>
            <w:r w:rsidRPr="00402D26">
              <w:rPr>
                <w:i/>
                <w:lang w:val="fr-FR"/>
              </w:rPr>
              <w:t>épreuve ou les épreuves appropriées.</w:t>
            </w:r>
            <w:r w:rsidRPr="00402D26">
              <w:rPr>
                <w:lang w:val="fr-FR"/>
              </w:rPr>
              <w:t> ».</w:t>
            </w:r>
          </w:p>
        </w:tc>
        <w:tc>
          <w:tcPr>
            <w:tcW w:w="46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23AD6" w:rsidRPr="00402D26" w:rsidRDefault="006E05B2" w:rsidP="00950299">
            <w:pPr>
              <w:keepNext/>
              <w:spacing w:before="40" w:after="120"/>
              <w:ind w:left="113" w:right="113"/>
            </w:pPr>
            <w:r w:rsidRPr="00402D26">
              <w:rPr>
                <w:lang w:val="fr-FR"/>
              </w:rPr>
              <w:t>Il a été décidé d</w:t>
            </w:r>
            <w:r w:rsidR="00787782">
              <w:rPr>
                <w:lang w:val="fr-FR"/>
              </w:rPr>
              <w:t>’</w:t>
            </w:r>
            <w:r w:rsidRPr="00402D26">
              <w:rPr>
                <w:lang w:val="fr-FR"/>
              </w:rPr>
              <w:t>ajouter au 6.8.2.4.2 (contrôles périodiques) des dispositions relatives aux citernes munies d</w:t>
            </w:r>
            <w:r w:rsidR="00787782">
              <w:rPr>
                <w:lang w:val="fr-FR"/>
              </w:rPr>
              <w:t>’</w:t>
            </w:r>
            <w:r w:rsidRPr="00402D26">
              <w:rPr>
                <w:lang w:val="fr-FR"/>
              </w:rPr>
              <w:t>un revêtement protecteur. Il a en particulier été souligné que les épreuves produisant des étincelles étant susceptibles d</w:t>
            </w:r>
            <w:r w:rsidR="00787782">
              <w:rPr>
                <w:lang w:val="fr-FR"/>
              </w:rPr>
              <w:t>’</w:t>
            </w:r>
            <w:r w:rsidRPr="00402D26">
              <w:rPr>
                <w:lang w:val="fr-FR"/>
              </w:rPr>
              <w:t>endommager le revêtement protecteur, il était préférable de n</w:t>
            </w:r>
            <w:r w:rsidR="00787782">
              <w:rPr>
                <w:lang w:val="fr-FR"/>
              </w:rPr>
              <w:t>’</w:t>
            </w:r>
            <w:r w:rsidRPr="00402D26">
              <w:rPr>
                <w:lang w:val="fr-FR"/>
              </w:rPr>
              <w:t>y recourir que si l</w:t>
            </w:r>
            <w:r w:rsidR="00787782">
              <w:rPr>
                <w:lang w:val="fr-FR"/>
              </w:rPr>
              <w:t>’</w:t>
            </w:r>
            <w:r w:rsidRPr="00402D26">
              <w:rPr>
                <w:lang w:val="fr-FR"/>
              </w:rPr>
              <w:t>on soupçonnait un défaut. C</w:t>
            </w:r>
            <w:r w:rsidR="00787782">
              <w:rPr>
                <w:lang w:val="fr-FR"/>
              </w:rPr>
              <w:t>’</w:t>
            </w:r>
            <w:r w:rsidRPr="00402D26">
              <w:rPr>
                <w:lang w:val="fr-FR"/>
              </w:rPr>
              <w:t xml:space="preserve">est pourquoi il est proposé que le </w:t>
            </w:r>
            <w:r w:rsidRPr="009C46DB">
              <w:rPr>
                <w:lang w:val="fr-FR"/>
              </w:rPr>
              <w:t>contrôle initial</w:t>
            </w:r>
            <w:r w:rsidRPr="00402D26">
              <w:rPr>
                <w:i/>
                <w:lang w:val="fr-FR"/>
              </w:rPr>
              <w:t xml:space="preserve"> </w:t>
            </w:r>
            <w:r w:rsidRPr="00402D26">
              <w:rPr>
                <w:lang w:val="fr-FR"/>
              </w:rPr>
              <w:t>soit visuel.</w:t>
            </w:r>
          </w:p>
        </w:tc>
      </w:tr>
      <w:tr w:rsidR="00DC0E7E" w:rsidRPr="00402D26" w:rsidTr="00950299">
        <w:trPr>
          <w:jc w:val="center"/>
        </w:trPr>
        <w:tc>
          <w:tcPr>
            <w:tcW w:w="60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pPr>
            <w:r w:rsidRPr="00402D26">
              <w:t>10</w:t>
            </w:r>
          </w:p>
        </w:tc>
        <w:tc>
          <w:tcPr>
            <w:tcW w:w="437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rPr>
                <w:lang w:val="fr-FR"/>
              </w:rPr>
            </w:pPr>
            <w:r w:rsidRPr="00C368A5">
              <w:t>Ajouter</w:t>
            </w:r>
            <w:r w:rsidRPr="00402D26">
              <w:rPr>
                <w:lang w:val="fr-FR"/>
              </w:rPr>
              <w:t xml:space="preserve"> à la fin du 6.8.2.4.3 un nouveau paragraphe libellé comme suit :</w:t>
            </w:r>
          </w:p>
          <w:p w:rsidR="006E05B2" w:rsidRPr="00402D26" w:rsidRDefault="006E05B2" w:rsidP="00C368A5">
            <w:pPr>
              <w:spacing w:before="40" w:after="120"/>
              <w:ind w:left="113" w:right="113"/>
            </w:pPr>
            <w:r w:rsidRPr="00402D26">
              <w:rPr>
                <w:lang w:val="fr-FR"/>
              </w:rPr>
              <w:t>« </w:t>
            </w:r>
            <w:r w:rsidRPr="00402D26">
              <w:rPr>
                <w:i/>
                <w:lang w:val="fr-FR"/>
              </w:rPr>
              <w:t>Les revêtements protecteurs doivent faire l</w:t>
            </w:r>
            <w:r w:rsidR="00787782">
              <w:rPr>
                <w:i/>
                <w:lang w:val="fr-FR"/>
              </w:rPr>
              <w:t>’</w:t>
            </w:r>
            <w:r w:rsidRPr="00402D26">
              <w:rPr>
                <w:i/>
                <w:lang w:val="fr-FR"/>
              </w:rPr>
              <w:t>objet d</w:t>
            </w:r>
            <w:r w:rsidR="00787782">
              <w:rPr>
                <w:i/>
                <w:lang w:val="fr-FR"/>
              </w:rPr>
              <w:t>’</w:t>
            </w:r>
            <w:r w:rsidRPr="00402D26">
              <w:rPr>
                <w:i/>
                <w:lang w:val="fr-FR"/>
              </w:rPr>
              <w:t>un examen visuel visant à détecter d</w:t>
            </w:r>
            <w:r w:rsidR="00787782">
              <w:rPr>
                <w:i/>
                <w:lang w:val="fr-FR"/>
              </w:rPr>
              <w:t>’</w:t>
            </w:r>
            <w:r w:rsidRPr="00402D26">
              <w:rPr>
                <w:i/>
                <w:lang w:val="fr-FR"/>
              </w:rPr>
              <w:t>éventuels défauts. En cas d</w:t>
            </w:r>
            <w:r w:rsidR="00787782">
              <w:rPr>
                <w:i/>
                <w:lang w:val="fr-FR"/>
              </w:rPr>
              <w:t>’</w:t>
            </w:r>
            <w:r w:rsidRPr="00402D26">
              <w:rPr>
                <w:i/>
                <w:lang w:val="fr-FR"/>
              </w:rPr>
              <w:t>anomalie, l</w:t>
            </w:r>
            <w:r w:rsidR="00787782">
              <w:rPr>
                <w:i/>
                <w:lang w:val="fr-FR"/>
              </w:rPr>
              <w:t>’</w:t>
            </w:r>
            <w:r w:rsidRPr="00402D26">
              <w:rPr>
                <w:i/>
                <w:lang w:val="fr-FR"/>
              </w:rPr>
              <w:t>état du revêtement doit être contrôlé par l</w:t>
            </w:r>
            <w:r w:rsidR="00787782">
              <w:rPr>
                <w:i/>
                <w:lang w:val="fr-FR"/>
              </w:rPr>
              <w:t>’</w:t>
            </w:r>
            <w:r w:rsidRPr="00402D26">
              <w:rPr>
                <w:i/>
                <w:lang w:val="fr-FR"/>
              </w:rPr>
              <w:t>épreuve ou les</w:t>
            </w:r>
            <w:r w:rsidR="00243912" w:rsidRPr="00402D26">
              <w:rPr>
                <w:i/>
                <w:lang w:val="fr-FR"/>
              </w:rPr>
              <w:t xml:space="preserve"> </w:t>
            </w:r>
            <w:r w:rsidRPr="00402D26">
              <w:rPr>
                <w:i/>
                <w:lang w:val="fr-FR"/>
              </w:rPr>
              <w:t>épreuves appropriées. </w:t>
            </w:r>
            <w:r w:rsidRPr="00402D26">
              <w:rPr>
                <w:lang w:val="fr-FR"/>
              </w:rPr>
              <w:t xml:space="preserve">». </w:t>
            </w:r>
          </w:p>
        </w:tc>
        <w:tc>
          <w:tcPr>
            <w:tcW w:w="4651"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D23AD6" w:rsidRPr="00402D26" w:rsidRDefault="006E05B2" w:rsidP="00C368A5">
            <w:pPr>
              <w:spacing w:before="40" w:after="120"/>
              <w:ind w:left="113" w:right="113"/>
            </w:pPr>
            <w:r w:rsidRPr="00402D26">
              <w:rPr>
                <w:lang w:val="fr-FR"/>
              </w:rPr>
              <w:t>Bien que toute intervention à l</w:t>
            </w:r>
            <w:r w:rsidR="00787782">
              <w:rPr>
                <w:lang w:val="fr-FR"/>
              </w:rPr>
              <w:t>’</w:t>
            </w:r>
            <w:r w:rsidRPr="00402D26">
              <w:rPr>
                <w:lang w:val="fr-FR"/>
              </w:rPr>
              <w:t>intérieur de la citerne présente des risques pour le revêtement protecteur, il a été convenu que le contrôle intermédiaire devait comprendre une inspection interne. C</w:t>
            </w:r>
            <w:r w:rsidR="00787782">
              <w:rPr>
                <w:lang w:val="fr-FR"/>
              </w:rPr>
              <w:t>’</w:t>
            </w:r>
            <w:r w:rsidRPr="00402D26">
              <w:rPr>
                <w:lang w:val="fr-FR"/>
              </w:rPr>
              <w:t xml:space="preserve">est pourquoi le libellé proposé au 6.8.2.4.2 peut également être ajouté au 6.8.2.4.3. </w:t>
            </w:r>
          </w:p>
        </w:tc>
      </w:tr>
    </w:tbl>
    <w:p w:rsidR="00286B3B" w:rsidRPr="00402D26" w:rsidRDefault="00402D26" w:rsidP="00402D26">
      <w:pPr>
        <w:pStyle w:val="SingleTxtG"/>
        <w:spacing w:before="240" w:after="0"/>
        <w:jc w:val="center"/>
        <w:rPr>
          <w:u w:val="single"/>
        </w:rPr>
      </w:pPr>
      <w:r>
        <w:rPr>
          <w:u w:val="single"/>
        </w:rPr>
        <w:tab/>
      </w:r>
      <w:r>
        <w:rPr>
          <w:u w:val="single"/>
        </w:rPr>
        <w:tab/>
      </w:r>
      <w:r>
        <w:rPr>
          <w:u w:val="single"/>
        </w:rPr>
        <w:tab/>
      </w:r>
    </w:p>
    <w:sectPr w:rsidR="00286B3B" w:rsidRPr="00402D26" w:rsidSect="00286B3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A4" w:rsidRDefault="002401A4" w:rsidP="00F95C08">
      <w:pPr>
        <w:spacing w:line="240" w:lineRule="auto"/>
      </w:pPr>
    </w:p>
  </w:endnote>
  <w:endnote w:type="continuationSeparator" w:id="0">
    <w:p w:rsidR="002401A4" w:rsidRPr="00AC3823" w:rsidRDefault="002401A4" w:rsidP="00AC3823">
      <w:pPr>
        <w:pStyle w:val="Pieddepage"/>
      </w:pPr>
    </w:p>
  </w:endnote>
  <w:endnote w:type="continuationNotice" w:id="1">
    <w:p w:rsidR="002401A4" w:rsidRDefault="002401A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3B" w:rsidRPr="00286B3B" w:rsidRDefault="00830584" w:rsidP="00286B3B">
    <w:pPr>
      <w:pStyle w:val="Pieddepage"/>
      <w:tabs>
        <w:tab w:val="right" w:pos="9638"/>
      </w:tabs>
    </w:pPr>
    <w:r w:rsidRPr="00286B3B">
      <w:rPr>
        <w:b/>
        <w:sz w:val="18"/>
      </w:rPr>
      <w:fldChar w:fldCharType="begin"/>
    </w:r>
    <w:r w:rsidR="00286B3B" w:rsidRPr="00286B3B">
      <w:rPr>
        <w:b/>
        <w:sz w:val="18"/>
      </w:rPr>
      <w:instrText xml:space="preserve"> PAGE  \* MERGEFORMAT </w:instrText>
    </w:r>
    <w:r w:rsidRPr="00286B3B">
      <w:rPr>
        <w:b/>
        <w:sz w:val="18"/>
      </w:rPr>
      <w:fldChar w:fldCharType="separate"/>
    </w:r>
    <w:r w:rsidR="00715526">
      <w:rPr>
        <w:b/>
        <w:noProof/>
        <w:sz w:val="18"/>
      </w:rPr>
      <w:t>8</w:t>
    </w:r>
    <w:r w:rsidRPr="00286B3B">
      <w:rPr>
        <w:b/>
        <w:sz w:val="18"/>
      </w:rPr>
      <w:fldChar w:fldCharType="end"/>
    </w:r>
    <w:r w:rsidR="00286B3B">
      <w:rPr>
        <w:b/>
        <w:sz w:val="18"/>
      </w:rPr>
      <w:tab/>
    </w:r>
    <w:r w:rsidR="00286B3B">
      <w:t>GE.16-11127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3B" w:rsidRPr="00286B3B" w:rsidRDefault="00286B3B" w:rsidP="00286B3B">
    <w:pPr>
      <w:pStyle w:val="Pieddepage"/>
      <w:tabs>
        <w:tab w:val="right" w:pos="9638"/>
      </w:tabs>
      <w:rPr>
        <w:b/>
        <w:sz w:val="18"/>
      </w:rPr>
    </w:pPr>
    <w:r>
      <w:t>GE.16-11127</w:t>
    </w:r>
    <w:r>
      <w:tab/>
    </w:r>
    <w:r w:rsidR="00830584" w:rsidRPr="00286B3B">
      <w:rPr>
        <w:b/>
        <w:sz w:val="18"/>
      </w:rPr>
      <w:fldChar w:fldCharType="begin"/>
    </w:r>
    <w:r w:rsidRPr="00286B3B">
      <w:rPr>
        <w:b/>
        <w:sz w:val="18"/>
      </w:rPr>
      <w:instrText xml:space="preserve"> PAGE  \* MERGEFORMAT </w:instrText>
    </w:r>
    <w:r w:rsidR="00830584" w:rsidRPr="00286B3B">
      <w:rPr>
        <w:b/>
        <w:sz w:val="18"/>
      </w:rPr>
      <w:fldChar w:fldCharType="separate"/>
    </w:r>
    <w:r w:rsidR="00715526">
      <w:rPr>
        <w:b/>
        <w:noProof/>
        <w:sz w:val="18"/>
      </w:rPr>
      <w:t>7</w:t>
    </w:r>
    <w:r w:rsidR="00830584" w:rsidRPr="00286B3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286B3B" w:rsidRDefault="00286B3B" w:rsidP="00286B3B">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16-11127  (F)    280716    030816</w:t>
    </w:r>
    <w:r>
      <w:rPr>
        <w:sz w:val="20"/>
      </w:rPr>
      <w:br/>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sidRPr="00286B3B">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1&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A4" w:rsidRPr="00AC3823" w:rsidRDefault="002401A4" w:rsidP="00AC3823">
      <w:pPr>
        <w:pStyle w:val="Pieddepage"/>
        <w:tabs>
          <w:tab w:val="right" w:pos="2155"/>
        </w:tabs>
        <w:spacing w:after="80" w:line="240" w:lineRule="atLeast"/>
        <w:ind w:left="680"/>
        <w:rPr>
          <w:u w:val="single"/>
        </w:rPr>
      </w:pPr>
      <w:r>
        <w:rPr>
          <w:u w:val="single"/>
        </w:rPr>
        <w:tab/>
      </w:r>
    </w:p>
  </w:footnote>
  <w:footnote w:type="continuationSeparator" w:id="0">
    <w:p w:rsidR="002401A4" w:rsidRPr="00AC3823" w:rsidRDefault="002401A4" w:rsidP="00AC3823">
      <w:pPr>
        <w:pStyle w:val="Pieddepage"/>
        <w:tabs>
          <w:tab w:val="right" w:pos="2155"/>
        </w:tabs>
        <w:spacing w:after="80" w:line="240" w:lineRule="atLeast"/>
        <w:ind w:left="680"/>
        <w:rPr>
          <w:u w:val="single"/>
        </w:rPr>
      </w:pPr>
      <w:r>
        <w:rPr>
          <w:u w:val="single"/>
        </w:rPr>
        <w:tab/>
      </w:r>
    </w:p>
  </w:footnote>
  <w:footnote w:type="continuationNotice" w:id="1">
    <w:p w:rsidR="002401A4" w:rsidRPr="00AC3823" w:rsidRDefault="002401A4">
      <w:pPr>
        <w:spacing w:line="240" w:lineRule="auto"/>
        <w:rPr>
          <w:sz w:val="2"/>
          <w:szCs w:val="2"/>
        </w:rPr>
      </w:pPr>
    </w:p>
  </w:footnote>
  <w:footnote w:id="2">
    <w:p w:rsidR="00815C38" w:rsidRDefault="00815C38">
      <w:pPr>
        <w:pStyle w:val="Notedebasdepage"/>
      </w:pPr>
      <w:r>
        <w:tab/>
      </w:r>
      <w:r>
        <w:rPr>
          <w:rStyle w:val="Appelnotedebasdep"/>
        </w:rPr>
        <w:footnoteRef/>
      </w:r>
      <w:r>
        <w:tab/>
      </w:r>
      <w:r w:rsidRPr="00815C38">
        <w:rPr>
          <w:spacing w:val="-2"/>
          <w:lang w:val="fr-FR"/>
        </w:rPr>
        <w:t>Conformément au programme de travail du Comité des transports intérieurs pour la période 2016-2017</w:t>
      </w:r>
      <w:r>
        <w:rPr>
          <w:lang w:val="fr-FR"/>
        </w:rPr>
        <w:t xml:space="preserve"> (ECE/TRANS/2016/28/Add.1 (9.2)).</w:t>
      </w:r>
    </w:p>
  </w:footnote>
  <w:footnote w:id="3">
    <w:p w:rsidR="00815C38" w:rsidRDefault="00815C38">
      <w:pPr>
        <w:pStyle w:val="Notedebasdepage"/>
      </w:pPr>
      <w:r>
        <w:tab/>
      </w:r>
      <w:r>
        <w:rPr>
          <w:rStyle w:val="Appelnotedebasdep"/>
        </w:rPr>
        <w:footnoteRef/>
      </w:r>
      <w:r>
        <w:tab/>
      </w:r>
      <w:r>
        <w:rPr>
          <w:lang w:val="fr-FR"/>
        </w:rPr>
        <w:t>Distribuée par l</w:t>
      </w:r>
      <w:r w:rsidR="00787782">
        <w:rPr>
          <w:lang w:val="fr-FR"/>
        </w:rPr>
        <w:t>’</w:t>
      </w:r>
      <w:r>
        <w:rPr>
          <w:lang w:val="fr-FR"/>
        </w:rPr>
        <w:t>Organisation intergouvernementale pour les transports internationaux ferroviaires (OTIF) sous la cote OTIF/RID/RC/2016/31.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3B" w:rsidRPr="00286B3B" w:rsidRDefault="00286B3B">
    <w:pPr>
      <w:pStyle w:val="En-tte"/>
    </w:pPr>
    <w:r>
      <w:t>ECE/TRANS/WP.15/AC.1/2016/31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3B" w:rsidRPr="00286B3B" w:rsidRDefault="00286B3B" w:rsidP="00286B3B">
    <w:pPr>
      <w:pStyle w:val="En-tte"/>
      <w:jc w:val="right"/>
    </w:pPr>
    <w:r>
      <w:t>ECE/TRANS/WP.15/AC.1/2016/31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6B81603"/>
    <w:multiLevelType w:val="hybridMultilevel"/>
    <w:tmpl w:val="4B9E8032"/>
    <w:lvl w:ilvl="0" w:tplc="8B1E6792">
      <w:start w:val="1"/>
      <w:numFmt w:val="decimal"/>
      <w:lvlText w:val="%1."/>
      <w:lvlJc w:val="left"/>
      <w:pPr>
        <w:ind w:left="1689" w:hanging="555"/>
      </w:pPr>
      <w:rPr>
        <w:rFonts w:hint="default"/>
        <w:b w:val="0"/>
        <w:i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7604335"/>
    <w:multiLevelType w:val="hybridMultilevel"/>
    <w:tmpl w:val="2A5ED6C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567"/>
  <w:hyphenationZone w:val="425"/>
  <w:evenAndOddHeaders/>
  <w:characterSpacingControl w:val="doNotCompress"/>
  <w:hdrShapeDefaults>
    <o:shapedefaults v:ext="edit" spidmax="9218"/>
  </w:hdrShapeDefaults>
  <w:footnotePr>
    <w:footnote w:id="-1"/>
    <w:footnote w:id="0"/>
    <w:footnote w:id="1"/>
  </w:footnotePr>
  <w:endnotePr>
    <w:numFmt w:val="decimal"/>
    <w:endnote w:id="-1"/>
    <w:endnote w:id="0"/>
    <w:endnote w:id="1"/>
  </w:endnotePr>
  <w:compat>
    <w:splitPgBreakAndParaMark/>
  </w:compat>
  <w:rsids>
    <w:rsidRoot w:val="0047276F"/>
    <w:rsid w:val="00012365"/>
    <w:rsid w:val="00017F94"/>
    <w:rsid w:val="00023842"/>
    <w:rsid w:val="000334F9"/>
    <w:rsid w:val="000734F8"/>
    <w:rsid w:val="0007796D"/>
    <w:rsid w:val="000B7790"/>
    <w:rsid w:val="00111F2F"/>
    <w:rsid w:val="0014365E"/>
    <w:rsid w:val="00143C66"/>
    <w:rsid w:val="00176178"/>
    <w:rsid w:val="001F525A"/>
    <w:rsid w:val="00223272"/>
    <w:rsid w:val="002401A4"/>
    <w:rsid w:val="00243912"/>
    <w:rsid w:val="0024779E"/>
    <w:rsid w:val="00257168"/>
    <w:rsid w:val="002744B8"/>
    <w:rsid w:val="002832AC"/>
    <w:rsid w:val="00286B3B"/>
    <w:rsid w:val="002D7C93"/>
    <w:rsid w:val="00305801"/>
    <w:rsid w:val="003916DE"/>
    <w:rsid w:val="003F7D47"/>
    <w:rsid w:val="00402D26"/>
    <w:rsid w:val="00441C3B"/>
    <w:rsid w:val="00446FE5"/>
    <w:rsid w:val="00452396"/>
    <w:rsid w:val="0047276F"/>
    <w:rsid w:val="004837D8"/>
    <w:rsid w:val="004E015A"/>
    <w:rsid w:val="004E468C"/>
    <w:rsid w:val="00540E26"/>
    <w:rsid w:val="005505B7"/>
    <w:rsid w:val="00573BE5"/>
    <w:rsid w:val="00586ED3"/>
    <w:rsid w:val="00596AA9"/>
    <w:rsid w:val="006E05B2"/>
    <w:rsid w:val="00715526"/>
    <w:rsid w:val="0071601D"/>
    <w:rsid w:val="007371CA"/>
    <w:rsid w:val="00787782"/>
    <w:rsid w:val="007A62E6"/>
    <w:rsid w:val="007F20FA"/>
    <w:rsid w:val="0080684C"/>
    <w:rsid w:val="00815C38"/>
    <w:rsid w:val="00817111"/>
    <w:rsid w:val="00830584"/>
    <w:rsid w:val="00855108"/>
    <w:rsid w:val="00871C75"/>
    <w:rsid w:val="008776DC"/>
    <w:rsid w:val="00950299"/>
    <w:rsid w:val="009705C8"/>
    <w:rsid w:val="009A0A3C"/>
    <w:rsid w:val="009A1013"/>
    <w:rsid w:val="009B2BA4"/>
    <w:rsid w:val="009C1CF4"/>
    <w:rsid w:val="009C46DB"/>
    <w:rsid w:val="009F6B74"/>
    <w:rsid w:val="00A30353"/>
    <w:rsid w:val="00AC3823"/>
    <w:rsid w:val="00AC6D8C"/>
    <w:rsid w:val="00AE323C"/>
    <w:rsid w:val="00AF0CB5"/>
    <w:rsid w:val="00B00181"/>
    <w:rsid w:val="00B00B0D"/>
    <w:rsid w:val="00B765F7"/>
    <w:rsid w:val="00BA0CA9"/>
    <w:rsid w:val="00BF6937"/>
    <w:rsid w:val="00C02897"/>
    <w:rsid w:val="00C368A5"/>
    <w:rsid w:val="00C84F74"/>
    <w:rsid w:val="00C91FB8"/>
    <w:rsid w:val="00D23AD6"/>
    <w:rsid w:val="00D3439C"/>
    <w:rsid w:val="00DB1831"/>
    <w:rsid w:val="00DC0E7E"/>
    <w:rsid w:val="00DD3BFD"/>
    <w:rsid w:val="00DF6678"/>
    <w:rsid w:val="00E225E6"/>
    <w:rsid w:val="00E85C74"/>
    <w:rsid w:val="00EA6547"/>
    <w:rsid w:val="00EF2E22"/>
    <w:rsid w:val="00F35BAF"/>
    <w:rsid w:val="00F660DF"/>
    <w:rsid w:val="00F94664"/>
    <w:rsid w:val="00F9573C"/>
    <w:rsid w:val="00F95C08"/>
    <w:rsid w:val="00FF0D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Grilledutableau1">
    <w:name w:val="Grille du tableau1"/>
    <w:basedOn w:val="TableauNormal"/>
    <w:next w:val="Grilledutableau"/>
    <w:uiPriority w:val="59"/>
    <w:rsid w:val="00286B3B"/>
    <w:pPr>
      <w:suppressAutoHyphens/>
      <w:spacing w:after="0" w:line="240" w:lineRule="atLeast"/>
    </w:pPr>
    <w:rPr>
      <w:rFonts w:ascii="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rsid w:val="00815C38"/>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customStyle="1" w:styleId="Grilledutableau1">
    <w:name w:val="Grille du tableau1"/>
    <w:basedOn w:val="TableauNormal"/>
    <w:next w:val="Grilledutableau"/>
    <w:uiPriority w:val="59"/>
    <w:rsid w:val="00286B3B"/>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815C38"/>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6802-B584-4FF4-80DF-7DBA7087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8</Pages>
  <Words>3095</Words>
  <Characters>17026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ECE/TRANS/WP.15/AC.1/2016/31</vt:lpstr>
    </vt:vector>
  </TitlesOfParts>
  <Company>DCM</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ECE/TRANS/WP.15/AC.1/2016/31</dc:title>
  <dc:subject>Final</dc:subject>
  <dc:creator>Fabienne Crelier</dc:creator>
  <cp:lastModifiedBy>Maison</cp:lastModifiedBy>
  <cp:revision>2</cp:revision>
  <cp:lastPrinted>2016-08-03T10:52:00Z</cp:lastPrinted>
  <dcterms:created xsi:type="dcterms:W3CDTF">2016-08-04T12:52:00Z</dcterms:created>
  <dcterms:modified xsi:type="dcterms:W3CDTF">2016-08-04T12:52:00Z</dcterms:modified>
</cp:coreProperties>
</file>