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906930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C116C7">
              <w:t>6</w:t>
            </w:r>
            <w:r>
              <w:t>/</w:t>
            </w:r>
            <w:r w:rsidR="00B453E9">
              <w:t>2</w:t>
            </w:r>
            <w:r w:rsidR="00906930">
              <w:t>4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83C09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78186A" w:rsidP="00B11BB4">
            <w:pPr>
              <w:suppressAutoHyphens w:val="0"/>
            </w:pPr>
            <w:r>
              <w:t>29</w:t>
            </w:r>
            <w:r w:rsidR="005A575C">
              <w:t xml:space="preserve"> </w:t>
            </w:r>
            <w:r w:rsidR="006019AF">
              <w:t>June</w:t>
            </w:r>
            <w:r w:rsidR="001B13A5">
              <w:t xml:space="preserve"> 201</w:t>
            </w:r>
            <w:r w:rsidR="00E97400">
              <w:t>6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B11BB4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5A6058" w:rsidP="00BB7CD1">
      <w:r>
        <w:t>Geneva</w:t>
      </w:r>
      <w:r w:rsidR="00BB7CD1">
        <w:t xml:space="preserve">, </w:t>
      </w:r>
      <w:r>
        <w:t>1</w:t>
      </w:r>
      <w:r w:rsidR="00B77EB3">
        <w:t>9</w:t>
      </w:r>
      <w:r w:rsidR="00BB7CD1">
        <w:t>–2</w:t>
      </w:r>
      <w:r w:rsidR="00B77EB3">
        <w:t>3</w:t>
      </w:r>
      <w:r w:rsidR="00F66565">
        <w:t xml:space="preserve"> </w:t>
      </w:r>
      <w:r>
        <w:t>September</w:t>
      </w:r>
      <w:r w:rsidR="00BB7CD1">
        <w:t xml:space="preserve"> 201</w:t>
      </w:r>
      <w:r w:rsidR="00B77EB3">
        <w:t>6</w:t>
      </w:r>
    </w:p>
    <w:p w:rsidR="00722B1B" w:rsidRDefault="00722B1B" w:rsidP="00722B1B">
      <w:pPr>
        <w:pStyle w:val="BodyText"/>
        <w:spacing w:before="1"/>
      </w:pPr>
      <w:r>
        <w:t>Item 5 (a) of the provisional</w:t>
      </w:r>
      <w:r>
        <w:rPr>
          <w:spacing w:val="-17"/>
        </w:rPr>
        <w:t xml:space="preserve"> </w:t>
      </w:r>
      <w:r>
        <w:t>agenda</w:t>
      </w:r>
    </w:p>
    <w:p w:rsidR="00722B1B" w:rsidRDefault="00722B1B" w:rsidP="00722B1B">
      <w:pPr>
        <w:rPr>
          <w:b/>
        </w:rPr>
      </w:pPr>
      <w:r w:rsidRPr="006D4410">
        <w:rPr>
          <w:b/>
        </w:rPr>
        <w:t xml:space="preserve">Proposals for amendment to RID/ADR/ADN: </w:t>
      </w:r>
    </w:p>
    <w:p w:rsidR="00BB7CD1" w:rsidRPr="00BB7CD1" w:rsidRDefault="00722B1B" w:rsidP="00722B1B">
      <w:pPr>
        <w:rPr>
          <w:b/>
        </w:rPr>
      </w:pPr>
      <w:proofErr w:type="gramStart"/>
      <w:r w:rsidRPr="006D4410">
        <w:rPr>
          <w:b/>
        </w:rPr>
        <w:t>pending</w:t>
      </w:r>
      <w:proofErr w:type="gramEnd"/>
      <w:r w:rsidRPr="006D4410">
        <w:rPr>
          <w:b/>
          <w:spacing w:val="-1"/>
        </w:rPr>
        <w:t xml:space="preserve"> </w:t>
      </w:r>
      <w:r w:rsidRPr="006D4410">
        <w:rPr>
          <w:b/>
        </w:rPr>
        <w:t>issues</w:t>
      </w:r>
    </w:p>
    <w:p w:rsidR="00C94211" w:rsidRPr="005B347A" w:rsidRDefault="009B1518" w:rsidP="00C94211">
      <w:pPr>
        <w:pStyle w:val="HChG"/>
        <w:rPr>
          <w:vertAlign w:val="superscript"/>
        </w:rPr>
      </w:pPr>
      <w:r>
        <w:tab/>
      </w:r>
      <w:r>
        <w:tab/>
      </w:r>
      <w:r w:rsidR="00C94211" w:rsidRPr="005B347A">
        <w:t>Dangerous Goods Safety Adviser: Proposals</w:t>
      </w:r>
      <w:r w:rsidR="00C94211">
        <w:t xml:space="preserve"> for transitional measures</w:t>
      </w:r>
    </w:p>
    <w:p w:rsidR="00C94211" w:rsidRPr="005B347A" w:rsidRDefault="00C94211" w:rsidP="00C94211">
      <w:pPr>
        <w:pStyle w:val="H1G"/>
      </w:pPr>
      <w:r w:rsidRPr="005B347A">
        <w:tab/>
      </w:r>
      <w:r w:rsidRPr="005B347A">
        <w:tab/>
        <w:t>Transmitted by the European Association of Dangerous Goods Safety Advisers (EASA)</w:t>
      </w:r>
      <w:r w:rsidR="00722B1B" w:rsidRPr="00722B1B">
        <w:rPr>
          <w:rStyle w:val="FootnoteReference"/>
          <w:b w:val="0"/>
          <w:szCs w:val="18"/>
        </w:rPr>
        <w:t xml:space="preserve"> </w:t>
      </w:r>
      <w:r w:rsidR="00722B1B" w:rsidRPr="00E96EC7">
        <w:rPr>
          <w:rStyle w:val="FootnoteReference"/>
          <w:b w:val="0"/>
          <w:szCs w:val="18"/>
        </w:rPr>
        <w:footnoteReference w:id="2"/>
      </w:r>
      <w:r w:rsidR="00722B1B" w:rsidRPr="00E96EC7">
        <w:rPr>
          <w:sz w:val="18"/>
          <w:szCs w:val="18"/>
          <w:vertAlign w:val="superscript"/>
        </w:rPr>
        <w:t>,</w:t>
      </w:r>
      <w:r w:rsidR="00722B1B" w:rsidRPr="00E96EC7">
        <w:rPr>
          <w:sz w:val="18"/>
          <w:szCs w:val="18"/>
        </w:rPr>
        <w:t xml:space="preserve"> </w:t>
      </w:r>
      <w:r w:rsidR="00722B1B" w:rsidRPr="00E96EC7">
        <w:rPr>
          <w:rStyle w:val="FootnoteReference"/>
          <w:b w:val="0"/>
          <w:szCs w:val="18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C94211" w:rsidRPr="005B347A" w:rsidTr="00E6573F">
        <w:trPr>
          <w:jc w:val="center"/>
        </w:trPr>
        <w:tc>
          <w:tcPr>
            <w:tcW w:w="9637" w:type="dxa"/>
            <w:shd w:val="clear" w:color="auto" w:fill="auto"/>
          </w:tcPr>
          <w:p w:rsidR="00C94211" w:rsidRPr="005B347A" w:rsidRDefault="00C94211" w:rsidP="00E6573F">
            <w:pPr>
              <w:spacing w:before="240" w:after="120" w:line="240" w:lineRule="auto"/>
              <w:ind w:left="255"/>
              <w:rPr>
                <w:i/>
              </w:rPr>
            </w:pPr>
            <w:r w:rsidRPr="005B347A">
              <w:rPr>
                <w:i/>
              </w:rPr>
              <w:t>Summary</w:t>
            </w:r>
          </w:p>
        </w:tc>
      </w:tr>
      <w:tr w:rsidR="00C94211" w:rsidRPr="005B347A" w:rsidTr="00E6573F">
        <w:trPr>
          <w:jc w:val="center"/>
        </w:trPr>
        <w:tc>
          <w:tcPr>
            <w:tcW w:w="9637" w:type="dxa"/>
            <w:shd w:val="clear" w:color="auto" w:fill="auto"/>
          </w:tcPr>
          <w:p w:rsidR="00C94211" w:rsidRPr="005B347A" w:rsidRDefault="00C94211" w:rsidP="00C94211">
            <w:pPr>
              <w:pStyle w:val="SingleTxtG"/>
              <w:spacing w:before="120" w:line="240" w:lineRule="auto"/>
              <w:jc w:val="left"/>
            </w:pPr>
            <w:r w:rsidRPr="005B347A">
              <w:rPr>
                <w:b/>
              </w:rPr>
              <w:t>Executive summary</w:t>
            </w:r>
            <w:r w:rsidRPr="005B347A">
              <w:t>:</w:t>
            </w:r>
            <w:r w:rsidRPr="005B347A">
              <w:tab/>
              <w:t xml:space="preserve">The aim </w:t>
            </w:r>
            <w:r>
              <w:t>of this document is to propose transitional measures.</w:t>
            </w:r>
            <w:r w:rsidRPr="005B347A">
              <w:t xml:space="preserve">     </w:t>
            </w:r>
          </w:p>
        </w:tc>
      </w:tr>
      <w:tr w:rsidR="00C94211" w:rsidRPr="005B347A" w:rsidTr="00E6573F">
        <w:trPr>
          <w:jc w:val="center"/>
        </w:trPr>
        <w:tc>
          <w:tcPr>
            <w:tcW w:w="9637" w:type="dxa"/>
            <w:shd w:val="clear" w:color="auto" w:fill="auto"/>
          </w:tcPr>
          <w:p w:rsidR="00C94211" w:rsidRPr="005B347A" w:rsidRDefault="00C94211" w:rsidP="00C94211">
            <w:pPr>
              <w:pStyle w:val="SingleTxtG"/>
              <w:spacing w:before="120" w:line="240" w:lineRule="auto"/>
              <w:jc w:val="left"/>
            </w:pPr>
            <w:r w:rsidRPr="005B347A">
              <w:rPr>
                <w:b/>
              </w:rPr>
              <w:t>Action to be taken</w:t>
            </w:r>
            <w:r w:rsidRPr="005B347A">
              <w:t xml:space="preserve">: </w:t>
            </w:r>
            <w:r w:rsidRPr="005B347A">
              <w:tab/>
            </w:r>
            <w:r w:rsidRPr="005B347A">
              <w:tab/>
              <w:t xml:space="preserve">Amend </w:t>
            </w:r>
            <w:r>
              <w:t>section 1.6.1 as proposed.</w:t>
            </w:r>
          </w:p>
        </w:tc>
      </w:tr>
      <w:tr w:rsidR="00C94211" w:rsidRPr="005B347A" w:rsidTr="00E6573F">
        <w:trPr>
          <w:jc w:val="center"/>
        </w:trPr>
        <w:tc>
          <w:tcPr>
            <w:tcW w:w="9637" w:type="dxa"/>
            <w:shd w:val="clear" w:color="auto" w:fill="auto"/>
          </w:tcPr>
          <w:p w:rsidR="00C94211" w:rsidRPr="005B347A" w:rsidRDefault="00C94211" w:rsidP="00E549E2">
            <w:pPr>
              <w:pStyle w:val="SingleTxtG"/>
              <w:spacing w:before="120" w:line="240" w:lineRule="auto"/>
              <w:jc w:val="left"/>
            </w:pPr>
            <w:r w:rsidRPr="005B347A">
              <w:rPr>
                <w:b/>
              </w:rPr>
              <w:t>Related documents:</w:t>
            </w:r>
            <w:r w:rsidRPr="005B347A">
              <w:rPr>
                <w:b/>
              </w:rPr>
              <w:tab/>
            </w:r>
            <w:r w:rsidRPr="005B347A">
              <w:rPr>
                <w:b/>
              </w:rPr>
              <w:tab/>
            </w:r>
            <w:r>
              <w:t>ECE/TRANS/WP.15/AC.1/142, item 35</w:t>
            </w:r>
          </w:p>
        </w:tc>
      </w:tr>
      <w:tr w:rsidR="00C94211" w:rsidRPr="005B347A" w:rsidTr="00E6573F">
        <w:trPr>
          <w:jc w:val="center"/>
        </w:trPr>
        <w:tc>
          <w:tcPr>
            <w:tcW w:w="9637" w:type="dxa"/>
            <w:shd w:val="clear" w:color="auto" w:fill="auto"/>
          </w:tcPr>
          <w:p w:rsidR="00C94211" w:rsidRPr="005B347A" w:rsidRDefault="00C94211" w:rsidP="00E6573F">
            <w:pPr>
              <w:pStyle w:val="SingleTxtG"/>
              <w:spacing w:line="240" w:lineRule="auto"/>
              <w:jc w:val="left"/>
              <w:rPr>
                <w:b/>
              </w:rPr>
            </w:pPr>
          </w:p>
        </w:tc>
      </w:tr>
    </w:tbl>
    <w:p w:rsidR="00C94211" w:rsidRPr="005B347A" w:rsidRDefault="00C94211" w:rsidP="00C94211">
      <w:pPr>
        <w:pStyle w:val="HCh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5B347A">
        <w:rPr>
          <w:rFonts w:eastAsia="Calibri"/>
        </w:rPr>
        <w:t>Introduction</w:t>
      </w:r>
    </w:p>
    <w:p w:rsidR="00C94211" w:rsidRDefault="00C94211" w:rsidP="00C94211">
      <w:pPr>
        <w:pStyle w:val="SingleTxtG"/>
        <w:spacing w:line="240" w:lineRule="auto"/>
        <w:jc w:val="left"/>
        <w:rPr>
          <w:rFonts w:eastAsia="Calibri"/>
        </w:rPr>
      </w:pPr>
      <w:r>
        <w:rPr>
          <w:rFonts w:eastAsia="Calibri"/>
        </w:rPr>
        <w:t>The Joint Meeting Spring Session has requested EASA to propose transitional measures for the amendments in subsections 1.8.3.1, 1.8.3.2, 1.8.3.3 and 1.8.3.18 as decided.</w:t>
      </w:r>
    </w:p>
    <w:p w:rsidR="00C94211" w:rsidRPr="00910B77" w:rsidRDefault="00C94211" w:rsidP="00C94211">
      <w:pPr>
        <w:pStyle w:val="H1G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 w:rsidRPr="00910B77">
        <w:rPr>
          <w:rFonts w:eastAsia="Calibri"/>
        </w:rPr>
        <w:t>Proposal</w:t>
      </w:r>
      <w:r>
        <w:rPr>
          <w:rFonts w:eastAsia="Calibri"/>
        </w:rPr>
        <w:t>s</w:t>
      </w:r>
    </w:p>
    <w:p w:rsidR="00C94211" w:rsidRDefault="00722B1B" w:rsidP="00C94211">
      <w:pPr>
        <w:pStyle w:val="SingleTxtG"/>
        <w:rPr>
          <w:rFonts w:eastAsia="Calibri"/>
        </w:rPr>
      </w:pPr>
      <w:r>
        <w:rPr>
          <w:rFonts w:eastAsia="Calibri"/>
          <w:b/>
        </w:rPr>
        <w:t>“</w:t>
      </w:r>
      <w:r w:rsidR="00C94211" w:rsidRPr="00910B77">
        <w:rPr>
          <w:rFonts w:eastAsia="Calibri"/>
          <w:b/>
        </w:rPr>
        <w:t>1.6.1.XX</w:t>
      </w:r>
      <w:r w:rsidR="00C94211">
        <w:rPr>
          <w:rFonts w:eastAsia="Calibri"/>
        </w:rPr>
        <w:t xml:space="preserve"> Notwithstanding the requirements of 1.8.3.1, 1.8.3.2, 1.8.3.3 and 1.8.3.18 applicable from 1 January 2019, undertakings the activities of which include the consigning of dangerous goods by rail/road/inland navigation vessels need not to appoint one or more safety advisers for the carriage of dangerous goods until 31 December 2022.</w:t>
      </w:r>
      <w:proofErr w:type="gramStart"/>
      <w:r>
        <w:rPr>
          <w:rFonts w:eastAsia="Calibri"/>
        </w:rPr>
        <w:t>”.</w:t>
      </w:r>
      <w:proofErr w:type="gramEnd"/>
    </w:p>
    <w:p w:rsidR="00C94211" w:rsidRPr="00060C5F" w:rsidRDefault="00722B1B" w:rsidP="00C94211">
      <w:pPr>
        <w:pStyle w:val="SingleTxtG"/>
        <w:rPr>
          <w:rFonts w:eastAsia="Calibri"/>
        </w:rPr>
      </w:pPr>
      <w:r>
        <w:rPr>
          <w:rFonts w:eastAsia="Calibri"/>
          <w:b/>
        </w:rPr>
        <w:t>“</w:t>
      </w:r>
      <w:r w:rsidR="00C94211" w:rsidRPr="00910B77">
        <w:rPr>
          <w:rFonts w:eastAsia="Calibri"/>
          <w:b/>
        </w:rPr>
        <w:t>1.6.1.XX</w:t>
      </w:r>
      <w:r w:rsidR="00C94211">
        <w:rPr>
          <w:rFonts w:eastAsia="Calibri"/>
        </w:rPr>
        <w:t xml:space="preserve"> </w:t>
      </w:r>
      <w:r w:rsidR="00C94211" w:rsidRPr="000A2EE1">
        <w:t>Contracting Parties may continue to issue training certificates for dangerous goods safety advisers conforming to the model a</w:t>
      </w:r>
      <w:r w:rsidR="00C94211">
        <w:t>pplicable until 31 December 2017</w:t>
      </w:r>
      <w:r w:rsidR="00C94211" w:rsidRPr="000A2EE1">
        <w:t>, instead of those conforming to the requirements of 1.8.3.1</w:t>
      </w:r>
      <w:r w:rsidR="00C94211">
        <w:t>8 applicable from 1 January 2019, until 31 December 2022</w:t>
      </w:r>
      <w:r w:rsidR="00C94211" w:rsidRPr="000A2EE1">
        <w:t>. Such certificates may continue in use to the end of their five year validity.</w:t>
      </w:r>
      <w:proofErr w:type="gramStart"/>
      <w:r>
        <w:t>”.</w:t>
      </w:r>
      <w:proofErr w:type="gramEnd"/>
    </w:p>
    <w:p w:rsidR="005B73B8" w:rsidRPr="00C94211" w:rsidRDefault="00C94211" w:rsidP="00C942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73B8" w:rsidRPr="00C94211" w:rsidSect="009D2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E9" w:rsidRDefault="00B453E9"/>
  </w:endnote>
  <w:endnote w:type="continuationSeparator" w:id="0">
    <w:p w:rsidR="00B453E9" w:rsidRDefault="00B453E9"/>
  </w:endnote>
  <w:endnote w:type="continuationNotice" w:id="1">
    <w:p w:rsidR="00B453E9" w:rsidRDefault="00B45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9" w:rsidRPr="009D2A5B" w:rsidRDefault="00B453E9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8186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9" w:rsidRPr="009D2A5B" w:rsidRDefault="00B453E9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94211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CB" w:rsidRDefault="006E6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E9" w:rsidRPr="000B175B" w:rsidRDefault="00B453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53E9" w:rsidRPr="00FC68B7" w:rsidRDefault="00B453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53E9" w:rsidRDefault="00B453E9"/>
  </w:footnote>
  <w:footnote w:id="2">
    <w:p w:rsidR="00722B1B" w:rsidRPr="006E5117" w:rsidRDefault="00722B1B" w:rsidP="00722B1B">
      <w:pPr>
        <w:pStyle w:val="FootnoteText"/>
        <w:ind w:left="1418" w:hanging="284"/>
        <w:jc w:val="both"/>
      </w:pPr>
      <w:r>
        <w:rPr>
          <w:rStyle w:val="FootnoteReference"/>
        </w:rPr>
        <w:footnoteRef/>
      </w:r>
      <w:r>
        <w:tab/>
      </w:r>
      <w:proofErr w:type="gramStart"/>
      <w:r>
        <w:t>In accordance with the programme of work of the Inland Transport Committee for 2016-2017, (ECE/TRANS/2016/28/Add.1 (9.2)).</w:t>
      </w:r>
      <w:proofErr w:type="gramEnd"/>
    </w:p>
  </w:footnote>
  <w:footnote w:id="3">
    <w:p w:rsidR="00722B1B" w:rsidRPr="006E5117" w:rsidRDefault="00722B1B" w:rsidP="0078186A">
      <w:pPr>
        <w:pStyle w:val="FootnoteText"/>
        <w:ind w:left="1418" w:hanging="284"/>
        <w:jc w:val="both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6</w:t>
      </w:r>
      <w:r w:rsidRPr="00561474">
        <w:t>/</w:t>
      </w:r>
      <w:r>
        <w:t>24</w:t>
      </w:r>
      <w:r w:rsidRPr="00561474">
        <w:t>.</w:t>
      </w:r>
      <w:bookmarkStart w:id="0" w:name="_GoBack"/>
      <w:bookmarkEnd w:id="0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9" w:rsidRPr="009D2A5B" w:rsidRDefault="00B453E9" w:rsidP="009D2A5B">
    <w:pPr>
      <w:pStyle w:val="Header"/>
    </w:pPr>
    <w:r w:rsidRPr="009D2A5B">
      <w:t>ECE/TRANS/WP.15/AC.1/201</w:t>
    </w:r>
    <w:r>
      <w:t>6</w:t>
    </w:r>
    <w:r w:rsidRPr="009D2A5B">
      <w:t>/</w:t>
    </w:r>
    <w:r w:rsidR="006E62CB">
      <w:t>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9" w:rsidRPr="009D2A5B" w:rsidRDefault="00B453E9" w:rsidP="009D2A5B">
    <w:pPr>
      <w:pStyle w:val="Header"/>
      <w:jc w:val="right"/>
    </w:pPr>
    <w:r w:rsidRPr="009D2A5B">
      <w:t>ECE/TRANS/WP.15/AC.1/201</w:t>
    </w:r>
    <w:r>
      <w:t>6</w:t>
    </w:r>
    <w:r w:rsidRPr="009D2A5B">
      <w:t>/</w:t>
    </w:r>
    <w:r>
      <w:t>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CB" w:rsidRDefault="006E6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2C41CC"/>
    <w:multiLevelType w:val="hybridMultilevel"/>
    <w:tmpl w:val="C20A9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14A8B"/>
    <w:multiLevelType w:val="hybridMultilevel"/>
    <w:tmpl w:val="3C1E94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F4C2B"/>
    <w:multiLevelType w:val="hybridMultilevel"/>
    <w:tmpl w:val="A328DC54"/>
    <w:lvl w:ilvl="0" w:tplc="A1C80BB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43C39"/>
    <w:multiLevelType w:val="hybridMultilevel"/>
    <w:tmpl w:val="DF02EC9A"/>
    <w:lvl w:ilvl="0" w:tplc="8EC816C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C80B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52D6756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1"/>
  </w:num>
  <w:num w:numId="14">
    <w:abstractNumId w:val="21"/>
  </w:num>
  <w:num w:numId="15">
    <w:abstractNumId w:val="14"/>
  </w:num>
  <w:num w:numId="16">
    <w:abstractNumId w:val="13"/>
  </w:num>
  <w:num w:numId="17">
    <w:abstractNumId w:val="10"/>
  </w:num>
  <w:num w:numId="18">
    <w:abstractNumId w:val="20"/>
  </w:num>
  <w:num w:numId="19">
    <w:abstractNumId w:val="16"/>
  </w:num>
  <w:num w:numId="20">
    <w:abstractNumId w:val="15"/>
  </w:num>
  <w:num w:numId="21">
    <w:abstractNumId w:val="19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37F90"/>
    <w:rsid w:val="00046B1F"/>
    <w:rsid w:val="00050F6B"/>
    <w:rsid w:val="0005583C"/>
    <w:rsid w:val="000570FE"/>
    <w:rsid w:val="00057E97"/>
    <w:rsid w:val="00072C8C"/>
    <w:rsid w:val="000733B5"/>
    <w:rsid w:val="00074DC1"/>
    <w:rsid w:val="00081815"/>
    <w:rsid w:val="00085F0A"/>
    <w:rsid w:val="000931C0"/>
    <w:rsid w:val="000B0595"/>
    <w:rsid w:val="000B1333"/>
    <w:rsid w:val="000B175B"/>
    <w:rsid w:val="000B3A0F"/>
    <w:rsid w:val="000B4EF7"/>
    <w:rsid w:val="000C2C03"/>
    <w:rsid w:val="000C2D2E"/>
    <w:rsid w:val="000C3704"/>
    <w:rsid w:val="000C4D51"/>
    <w:rsid w:val="000E0415"/>
    <w:rsid w:val="001103AA"/>
    <w:rsid w:val="0011666B"/>
    <w:rsid w:val="00155068"/>
    <w:rsid w:val="00165F3A"/>
    <w:rsid w:val="0018157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49E7"/>
    <w:rsid w:val="001E7B67"/>
    <w:rsid w:val="001F7435"/>
    <w:rsid w:val="00202DA8"/>
    <w:rsid w:val="0021157B"/>
    <w:rsid w:val="00211E0B"/>
    <w:rsid w:val="00267F5F"/>
    <w:rsid w:val="00277C12"/>
    <w:rsid w:val="00286B4D"/>
    <w:rsid w:val="002A603B"/>
    <w:rsid w:val="002D4643"/>
    <w:rsid w:val="002D4B6C"/>
    <w:rsid w:val="002F175C"/>
    <w:rsid w:val="00302E18"/>
    <w:rsid w:val="003229D8"/>
    <w:rsid w:val="00352709"/>
    <w:rsid w:val="00371178"/>
    <w:rsid w:val="00381475"/>
    <w:rsid w:val="003A6810"/>
    <w:rsid w:val="003C2CC4"/>
    <w:rsid w:val="003D4B23"/>
    <w:rsid w:val="003F42EE"/>
    <w:rsid w:val="004059B4"/>
    <w:rsid w:val="00410C89"/>
    <w:rsid w:val="00422E03"/>
    <w:rsid w:val="00426B9B"/>
    <w:rsid w:val="00430BA0"/>
    <w:rsid w:val="004325CB"/>
    <w:rsid w:val="00442A83"/>
    <w:rsid w:val="0045495B"/>
    <w:rsid w:val="0048397A"/>
    <w:rsid w:val="004A12F2"/>
    <w:rsid w:val="004C2461"/>
    <w:rsid w:val="004C7462"/>
    <w:rsid w:val="004C7E13"/>
    <w:rsid w:val="004D4E04"/>
    <w:rsid w:val="004D5426"/>
    <w:rsid w:val="004E0C05"/>
    <w:rsid w:val="004E77B2"/>
    <w:rsid w:val="00503DEB"/>
    <w:rsid w:val="00504B2D"/>
    <w:rsid w:val="0052136D"/>
    <w:rsid w:val="00522B58"/>
    <w:rsid w:val="0052775E"/>
    <w:rsid w:val="00535C90"/>
    <w:rsid w:val="005420F2"/>
    <w:rsid w:val="00546993"/>
    <w:rsid w:val="005628B6"/>
    <w:rsid w:val="005A575C"/>
    <w:rsid w:val="005A6058"/>
    <w:rsid w:val="005B3DB3"/>
    <w:rsid w:val="005B4E13"/>
    <w:rsid w:val="005B73B8"/>
    <w:rsid w:val="005C3FEF"/>
    <w:rsid w:val="005E6A77"/>
    <w:rsid w:val="005F7B75"/>
    <w:rsid w:val="006001EE"/>
    <w:rsid w:val="006019AF"/>
    <w:rsid w:val="00605042"/>
    <w:rsid w:val="00611FC4"/>
    <w:rsid w:val="006176FB"/>
    <w:rsid w:val="00640B26"/>
    <w:rsid w:val="00652D0A"/>
    <w:rsid w:val="006623D5"/>
    <w:rsid w:val="00662BB6"/>
    <w:rsid w:val="00667F8F"/>
    <w:rsid w:val="00684C21"/>
    <w:rsid w:val="0069232B"/>
    <w:rsid w:val="006A2530"/>
    <w:rsid w:val="006C3589"/>
    <w:rsid w:val="006D37AF"/>
    <w:rsid w:val="006D4378"/>
    <w:rsid w:val="006D51D0"/>
    <w:rsid w:val="006E564B"/>
    <w:rsid w:val="006E62CB"/>
    <w:rsid w:val="006E7191"/>
    <w:rsid w:val="00700044"/>
    <w:rsid w:val="00703577"/>
    <w:rsid w:val="00705894"/>
    <w:rsid w:val="00722B1B"/>
    <w:rsid w:val="00725E70"/>
    <w:rsid w:val="0072632A"/>
    <w:rsid w:val="00731FF0"/>
    <w:rsid w:val="007327D5"/>
    <w:rsid w:val="007611CF"/>
    <w:rsid w:val="007629C8"/>
    <w:rsid w:val="0077047D"/>
    <w:rsid w:val="0078186A"/>
    <w:rsid w:val="00783C09"/>
    <w:rsid w:val="007B6BA5"/>
    <w:rsid w:val="007C3390"/>
    <w:rsid w:val="007C4F4B"/>
    <w:rsid w:val="007D46D5"/>
    <w:rsid w:val="007E01E9"/>
    <w:rsid w:val="007E63F3"/>
    <w:rsid w:val="007F0395"/>
    <w:rsid w:val="007F6611"/>
    <w:rsid w:val="007F7106"/>
    <w:rsid w:val="00811920"/>
    <w:rsid w:val="00815AD0"/>
    <w:rsid w:val="008242D7"/>
    <w:rsid w:val="008257B1"/>
    <w:rsid w:val="00843767"/>
    <w:rsid w:val="00843D29"/>
    <w:rsid w:val="008521A5"/>
    <w:rsid w:val="008679D9"/>
    <w:rsid w:val="00871389"/>
    <w:rsid w:val="00874CB6"/>
    <w:rsid w:val="00883999"/>
    <w:rsid w:val="008878DE"/>
    <w:rsid w:val="008979B1"/>
    <w:rsid w:val="008A624A"/>
    <w:rsid w:val="008A6B25"/>
    <w:rsid w:val="008A6C4F"/>
    <w:rsid w:val="008B2335"/>
    <w:rsid w:val="008B717B"/>
    <w:rsid w:val="008C3988"/>
    <w:rsid w:val="008E0678"/>
    <w:rsid w:val="008E0E0F"/>
    <w:rsid w:val="00906930"/>
    <w:rsid w:val="009223CA"/>
    <w:rsid w:val="00940F93"/>
    <w:rsid w:val="0094558F"/>
    <w:rsid w:val="00961690"/>
    <w:rsid w:val="009760F3"/>
    <w:rsid w:val="00995A4B"/>
    <w:rsid w:val="009A0E8D"/>
    <w:rsid w:val="009B1518"/>
    <w:rsid w:val="009B26E7"/>
    <w:rsid w:val="009B6669"/>
    <w:rsid w:val="009B7EAA"/>
    <w:rsid w:val="009C3EED"/>
    <w:rsid w:val="009C454F"/>
    <w:rsid w:val="009D2A5B"/>
    <w:rsid w:val="009D3508"/>
    <w:rsid w:val="00A00A3F"/>
    <w:rsid w:val="00A01489"/>
    <w:rsid w:val="00A3009E"/>
    <w:rsid w:val="00A3026E"/>
    <w:rsid w:val="00A338F1"/>
    <w:rsid w:val="00A709AB"/>
    <w:rsid w:val="00A72F22"/>
    <w:rsid w:val="00A7360F"/>
    <w:rsid w:val="00A748A6"/>
    <w:rsid w:val="00A769F4"/>
    <w:rsid w:val="00A776B4"/>
    <w:rsid w:val="00A81407"/>
    <w:rsid w:val="00A94361"/>
    <w:rsid w:val="00AA293C"/>
    <w:rsid w:val="00AD7803"/>
    <w:rsid w:val="00B11BB4"/>
    <w:rsid w:val="00B22BC2"/>
    <w:rsid w:val="00B30179"/>
    <w:rsid w:val="00B421C1"/>
    <w:rsid w:val="00B453E9"/>
    <w:rsid w:val="00B55C71"/>
    <w:rsid w:val="00B56E4A"/>
    <w:rsid w:val="00B56E9C"/>
    <w:rsid w:val="00B61320"/>
    <w:rsid w:val="00B64B1F"/>
    <w:rsid w:val="00B6553F"/>
    <w:rsid w:val="00B70F1E"/>
    <w:rsid w:val="00B77D05"/>
    <w:rsid w:val="00B77EB3"/>
    <w:rsid w:val="00B81206"/>
    <w:rsid w:val="00B81E12"/>
    <w:rsid w:val="00BB7CD1"/>
    <w:rsid w:val="00BC3FA0"/>
    <w:rsid w:val="00BC74E9"/>
    <w:rsid w:val="00BF68A8"/>
    <w:rsid w:val="00C10FE6"/>
    <w:rsid w:val="00C116C7"/>
    <w:rsid w:val="00C11A03"/>
    <w:rsid w:val="00C22C0C"/>
    <w:rsid w:val="00C30C61"/>
    <w:rsid w:val="00C35502"/>
    <w:rsid w:val="00C40B11"/>
    <w:rsid w:val="00C43F35"/>
    <w:rsid w:val="00C4527F"/>
    <w:rsid w:val="00C463DD"/>
    <w:rsid w:val="00C4724C"/>
    <w:rsid w:val="00C629A0"/>
    <w:rsid w:val="00C64629"/>
    <w:rsid w:val="00C745C3"/>
    <w:rsid w:val="00C76F8B"/>
    <w:rsid w:val="00C94211"/>
    <w:rsid w:val="00CB3E03"/>
    <w:rsid w:val="00CD50B1"/>
    <w:rsid w:val="00CE39EF"/>
    <w:rsid w:val="00CE4A8F"/>
    <w:rsid w:val="00D2031B"/>
    <w:rsid w:val="00D25FE2"/>
    <w:rsid w:val="00D34BC0"/>
    <w:rsid w:val="00D43252"/>
    <w:rsid w:val="00D47EEA"/>
    <w:rsid w:val="00D550D4"/>
    <w:rsid w:val="00D773DF"/>
    <w:rsid w:val="00D80FF5"/>
    <w:rsid w:val="00D872AC"/>
    <w:rsid w:val="00D9255F"/>
    <w:rsid w:val="00D95303"/>
    <w:rsid w:val="00D978C6"/>
    <w:rsid w:val="00DA3C1C"/>
    <w:rsid w:val="00DD29BD"/>
    <w:rsid w:val="00E046DF"/>
    <w:rsid w:val="00E15557"/>
    <w:rsid w:val="00E240D2"/>
    <w:rsid w:val="00E27346"/>
    <w:rsid w:val="00E549E2"/>
    <w:rsid w:val="00E71610"/>
    <w:rsid w:val="00E71BC8"/>
    <w:rsid w:val="00E7260F"/>
    <w:rsid w:val="00E73F5D"/>
    <w:rsid w:val="00E77E4E"/>
    <w:rsid w:val="00E96630"/>
    <w:rsid w:val="00E97400"/>
    <w:rsid w:val="00EC106A"/>
    <w:rsid w:val="00ED7A2A"/>
    <w:rsid w:val="00EE3BBF"/>
    <w:rsid w:val="00EE6B3A"/>
    <w:rsid w:val="00EF1D7F"/>
    <w:rsid w:val="00F31E5F"/>
    <w:rsid w:val="00F32BB7"/>
    <w:rsid w:val="00F6100A"/>
    <w:rsid w:val="00F63C9D"/>
    <w:rsid w:val="00F66565"/>
    <w:rsid w:val="00F75A16"/>
    <w:rsid w:val="00F93781"/>
    <w:rsid w:val="00FB613B"/>
    <w:rsid w:val="00FC68B7"/>
    <w:rsid w:val="00FD55E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7</cp:revision>
  <cp:lastPrinted>2016-06-29T08:07:00Z</cp:lastPrinted>
  <dcterms:created xsi:type="dcterms:W3CDTF">2016-06-22T12:33:00Z</dcterms:created>
  <dcterms:modified xsi:type="dcterms:W3CDTF">2016-06-29T08:07:00Z</dcterms:modified>
</cp:coreProperties>
</file>