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0F515A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F515A" w:rsidRDefault="00F35BAF" w:rsidP="00A84CF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F515A" w:rsidRDefault="00F35BAF" w:rsidP="00892A2F">
            <w:pPr>
              <w:spacing w:after="80" w:line="300" w:lineRule="exact"/>
              <w:rPr>
                <w:sz w:val="28"/>
              </w:rPr>
            </w:pPr>
            <w:r w:rsidRPr="000F515A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F515A" w:rsidRDefault="00A84CF8" w:rsidP="00A84CF8">
            <w:pPr>
              <w:jc w:val="right"/>
            </w:pPr>
            <w:r w:rsidRPr="000F515A">
              <w:rPr>
                <w:sz w:val="40"/>
              </w:rPr>
              <w:t>ECE</w:t>
            </w:r>
            <w:r w:rsidRPr="000F515A">
              <w:t>/TRANS/WP.15/AC.1/2016/23</w:t>
            </w:r>
          </w:p>
        </w:tc>
      </w:tr>
      <w:tr w:rsidR="00F35BAF" w:rsidRPr="000F515A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F515A" w:rsidRDefault="00F35BAF" w:rsidP="00892A2F">
            <w:pPr>
              <w:spacing w:before="120"/>
              <w:jc w:val="center"/>
            </w:pPr>
            <w:r w:rsidRPr="000F515A"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F515A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F515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F515A" w:rsidRDefault="00A84CF8" w:rsidP="00892A2F">
            <w:pPr>
              <w:spacing w:before="240"/>
            </w:pPr>
            <w:r w:rsidRPr="000F515A">
              <w:t>Distr. générale</w:t>
            </w:r>
          </w:p>
          <w:p w:rsidR="00A84CF8" w:rsidRPr="000F515A" w:rsidRDefault="00A84CF8" w:rsidP="00A84CF8">
            <w:pPr>
              <w:spacing w:line="240" w:lineRule="exact"/>
            </w:pPr>
            <w:r w:rsidRPr="000F515A">
              <w:t>29 juin 2016</w:t>
            </w:r>
          </w:p>
          <w:p w:rsidR="00A84CF8" w:rsidRPr="000F515A" w:rsidRDefault="00A84CF8" w:rsidP="00A84CF8">
            <w:pPr>
              <w:spacing w:line="240" w:lineRule="exact"/>
            </w:pPr>
            <w:r w:rsidRPr="000F515A">
              <w:t>Français</w:t>
            </w:r>
          </w:p>
          <w:p w:rsidR="00A84CF8" w:rsidRPr="000F515A" w:rsidRDefault="00A84CF8" w:rsidP="008645C4">
            <w:pPr>
              <w:spacing w:line="240" w:lineRule="exact"/>
            </w:pPr>
            <w:r w:rsidRPr="000F515A">
              <w:t>Original</w:t>
            </w:r>
            <w:r w:rsidR="000F515A" w:rsidRPr="000F515A">
              <w:t> :</w:t>
            </w:r>
            <w:r w:rsidRPr="000F515A">
              <w:t xml:space="preserve"> </w:t>
            </w:r>
            <w:r w:rsidR="008645C4">
              <w:t>russe</w:t>
            </w:r>
          </w:p>
        </w:tc>
      </w:tr>
    </w:tbl>
    <w:p w:rsidR="007F20FA" w:rsidRPr="000F515A" w:rsidRDefault="007F20FA" w:rsidP="007F20FA">
      <w:pPr>
        <w:spacing w:before="120"/>
        <w:rPr>
          <w:b/>
          <w:sz w:val="28"/>
          <w:szCs w:val="28"/>
        </w:rPr>
      </w:pPr>
      <w:r w:rsidRPr="000F515A">
        <w:rPr>
          <w:b/>
          <w:sz w:val="28"/>
          <w:szCs w:val="28"/>
        </w:rPr>
        <w:t>Commission économique pour l’Europe</w:t>
      </w:r>
    </w:p>
    <w:p w:rsidR="007F20FA" w:rsidRPr="000F515A" w:rsidRDefault="007F20FA" w:rsidP="007F20FA">
      <w:pPr>
        <w:spacing w:before="120"/>
        <w:rPr>
          <w:sz w:val="28"/>
          <w:szCs w:val="28"/>
        </w:rPr>
      </w:pPr>
      <w:r w:rsidRPr="000F515A">
        <w:rPr>
          <w:sz w:val="28"/>
          <w:szCs w:val="28"/>
        </w:rPr>
        <w:t>Comité des transports intérieurs</w:t>
      </w:r>
    </w:p>
    <w:p w:rsidR="00A84CF8" w:rsidRPr="000F515A" w:rsidRDefault="00A84CF8" w:rsidP="008645C4">
      <w:pPr>
        <w:spacing w:before="120" w:after="120"/>
        <w:rPr>
          <w:b/>
          <w:bCs/>
          <w:sz w:val="24"/>
          <w:szCs w:val="24"/>
        </w:rPr>
      </w:pPr>
      <w:r w:rsidRPr="000F515A">
        <w:rPr>
          <w:b/>
          <w:bCs/>
          <w:sz w:val="24"/>
          <w:szCs w:val="24"/>
        </w:rPr>
        <w:t>Groupe de travail des transports</w:t>
      </w:r>
      <w:r w:rsidR="008645C4">
        <w:rPr>
          <w:b/>
          <w:bCs/>
          <w:sz w:val="24"/>
          <w:szCs w:val="24"/>
        </w:rPr>
        <w:t xml:space="preserve"> </w:t>
      </w:r>
      <w:r w:rsidR="008645C4">
        <w:rPr>
          <w:b/>
          <w:bCs/>
          <w:sz w:val="24"/>
          <w:szCs w:val="24"/>
        </w:rPr>
        <w:br/>
      </w:r>
      <w:r w:rsidRPr="000F515A">
        <w:rPr>
          <w:b/>
          <w:bCs/>
          <w:sz w:val="24"/>
          <w:szCs w:val="24"/>
        </w:rPr>
        <w:t>de marchandises dangereuses</w:t>
      </w:r>
    </w:p>
    <w:p w:rsidR="00A84CF8" w:rsidRPr="000F515A" w:rsidRDefault="00A84CF8" w:rsidP="008E1E4B">
      <w:pPr>
        <w:rPr>
          <w:b/>
          <w:bCs/>
        </w:rPr>
      </w:pPr>
      <w:r w:rsidRPr="000F515A">
        <w:rPr>
          <w:b/>
          <w:bCs/>
        </w:rPr>
        <w:t>Réunion commune de la Commission d’experts</w:t>
      </w:r>
      <w:r w:rsidR="008E1E4B">
        <w:rPr>
          <w:b/>
          <w:bCs/>
        </w:rPr>
        <w:t xml:space="preserve"> </w:t>
      </w:r>
      <w:r w:rsidRPr="000F515A">
        <w:rPr>
          <w:b/>
          <w:bCs/>
        </w:rPr>
        <w:t xml:space="preserve">du RID </w:t>
      </w:r>
      <w:r w:rsidR="008E1E4B">
        <w:rPr>
          <w:b/>
          <w:bCs/>
        </w:rPr>
        <w:br/>
      </w:r>
      <w:r w:rsidRPr="000F515A">
        <w:rPr>
          <w:b/>
          <w:bCs/>
        </w:rPr>
        <w:t>et du Groupe de travail des transports</w:t>
      </w:r>
      <w:r w:rsidR="008E1E4B">
        <w:rPr>
          <w:b/>
          <w:bCs/>
        </w:rPr>
        <w:t xml:space="preserve"> </w:t>
      </w:r>
      <w:r w:rsidRPr="000F515A">
        <w:rPr>
          <w:b/>
          <w:bCs/>
        </w:rPr>
        <w:t>de marchandises dangereuses</w:t>
      </w:r>
    </w:p>
    <w:p w:rsidR="00A84CF8" w:rsidRPr="000F515A" w:rsidRDefault="00A84CF8" w:rsidP="00A84CF8">
      <w:r w:rsidRPr="000F515A">
        <w:t>Genève, 19-23 septembre 2016</w:t>
      </w:r>
    </w:p>
    <w:p w:rsidR="00A84CF8" w:rsidRPr="000F515A" w:rsidRDefault="00A84CF8" w:rsidP="00A84CF8">
      <w:r w:rsidRPr="000F515A">
        <w:t>Point 2 de l’ordre du jour provisoire</w:t>
      </w:r>
    </w:p>
    <w:p w:rsidR="00A84CF8" w:rsidRPr="000F515A" w:rsidRDefault="00A84CF8" w:rsidP="00A84CF8">
      <w:pPr>
        <w:rPr>
          <w:b/>
        </w:rPr>
      </w:pPr>
      <w:r w:rsidRPr="000F515A">
        <w:rPr>
          <w:b/>
        </w:rPr>
        <w:t>Citernes</w:t>
      </w:r>
    </w:p>
    <w:p w:rsidR="00A84CF8" w:rsidRPr="000F515A" w:rsidRDefault="00A84CF8" w:rsidP="00A84CF8">
      <w:pPr>
        <w:pStyle w:val="HChG"/>
        <w:rPr>
          <w:lang w:eastAsia="ru-RU"/>
        </w:rPr>
      </w:pPr>
      <w:r w:rsidRPr="000F515A">
        <w:tab/>
      </w:r>
      <w:r w:rsidRPr="000F515A">
        <w:tab/>
        <w:t>5.4.1.2.2 −</w:t>
      </w:r>
      <w:r w:rsidRPr="000F515A">
        <w:rPr>
          <w:lang w:eastAsia="ru-RU"/>
        </w:rPr>
        <w:t xml:space="preserve"> Document − Dispositions supplémentaires </w:t>
      </w:r>
      <w:r w:rsidRPr="000F515A">
        <w:rPr>
          <w:lang w:eastAsia="ru-RU"/>
        </w:rPr>
        <w:br/>
        <w:t>pour la classe 2</w:t>
      </w:r>
    </w:p>
    <w:p w:rsidR="00A84CF8" w:rsidRPr="000F515A" w:rsidRDefault="00A84CF8" w:rsidP="008645C4">
      <w:pPr>
        <w:pStyle w:val="H1G"/>
        <w:rPr>
          <w:lang w:eastAsia="ru-RU"/>
        </w:rPr>
      </w:pPr>
      <w:r w:rsidRPr="000F515A">
        <w:rPr>
          <w:lang w:eastAsia="ru-RU"/>
        </w:rPr>
        <w:tab/>
      </w:r>
      <w:r w:rsidRPr="000F515A">
        <w:rPr>
          <w:lang w:eastAsia="ru-RU"/>
        </w:rPr>
        <w:tab/>
        <w:t>Communication du Gouvernement de la Fédération de Russie</w:t>
      </w:r>
      <w:r w:rsidRPr="008645C4">
        <w:rPr>
          <w:rStyle w:val="Appelnotedebasdep"/>
          <w:b w:val="0"/>
          <w:bCs/>
        </w:rPr>
        <w:footnoteReference w:id="2"/>
      </w:r>
      <w:r w:rsidRPr="008E1E4B">
        <w:rPr>
          <w:b w:val="0"/>
          <w:bCs/>
          <w:sz w:val="18"/>
          <w:szCs w:val="18"/>
          <w:vertAlign w:val="superscript"/>
        </w:rPr>
        <w:t xml:space="preserve">, </w:t>
      </w:r>
      <w:r w:rsidRPr="008645C4">
        <w:rPr>
          <w:rStyle w:val="Appelnotedebasdep"/>
          <w:b w:val="0"/>
          <w:bCs/>
        </w:rPr>
        <w:footnoteReference w:id="3"/>
      </w:r>
    </w:p>
    <w:p w:rsidR="00A84CF8" w:rsidRPr="000F515A" w:rsidRDefault="00A84CF8" w:rsidP="000F515A">
      <w:pPr>
        <w:pStyle w:val="HChG"/>
        <w:rPr>
          <w:lang w:eastAsia="ru-RU"/>
        </w:rPr>
      </w:pPr>
      <w:r w:rsidRPr="000F515A">
        <w:rPr>
          <w:lang w:eastAsia="ru-RU"/>
        </w:rPr>
        <w:tab/>
      </w:r>
      <w:r w:rsidRPr="000F515A">
        <w:rPr>
          <w:lang w:eastAsia="ru-RU"/>
        </w:rPr>
        <w:tab/>
        <w:t>Résumé</w:t>
      </w:r>
    </w:p>
    <w:p w:rsidR="00A84CF8" w:rsidRPr="000F515A" w:rsidRDefault="00A84CF8" w:rsidP="000F515A">
      <w:pPr>
        <w:pStyle w:val="ParNoG"/>
        <w:rPr>
          <w:lang w:eastAsia="ru-RU"/>
        </w:rPr>
      </w:pPr>
      <w:r w:rsidRPr="000F515A">
        <w:rPr>
          <w:lang w:eastAsia="ru-RU"/>
        </w:rPr>
        <w:t xml:space="preserve">Dans son rapport OTIF/RID/CE/GTP/2015-A, ainsi que dans le document INF.5, le secrétariat de l’OTIF a attiré l’attention du </w:t>
      </w:r>
      <w:r w:rsidR="008E1E4B" w:rsidRPr="000F515A">
        <w:rPr>
          <w:lang w:eastAsia="ru-RU"/>
        </w:rPr>
        <w:t xml:space="preserve">Groupe </w:t>
      </w:r>
      <w:r w:rsidRPr="000F515A">
        <w:rPr>
          <w:lang w:eastAsia="ru-RU"/>
        </w:rPr>
        <w:t>de travail sur la différence entre les dispositions du paragraphe 5.4.1.2.2 de l’</w:t>
      </w:r>
      <w:r w:rsidR="000F515A" w:rsidRPr="000F515A">
        <w:rPr>
          <w:lang w:eastAsia="ru-RU"/>
        </w:rPr>
        <w:t>annexe </w:t>
      </w:r>
      <w:r w:rsidRPr="000F515A">
        <w:rPr>
          <w:lang w:eastAsia="ru-RU"/>
        </w:rPr>
        <w:t xml:space="preserve">2 au SMGS et le RID. Lors de l’acheminement de wagons-citernes vides ayant contenu des gaz liquéfiés affectés de certains codes de classification, une disposition supplémentaire figurant dans l’annexe 2 au SMGS prescrit d’indiquer dans le document de transport la pression résiduelle dans la citerne après le déchargement.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  <w:lang w:eastAsia="ru-RU"/>
        </w:rPr>
      </w:pPr>
      <w:r w:rsidRPr="000F515A">
        <w:rPr>
          <w:szCs w:val="24"/>
          <w:lang w:eastAsia="ru-RU"/>
        </w:rPr>
        <w:t>Le représentant de la Fédération de Russie a expliqué que cette information supplémentaire était requise par les autorités des États</w:t>
      </w:r>
      <w:r w:rsidR="000F515A" w:rsidRPr="000F515A">
        <w:rPr>
          <w:szCs w:val="24"/>
          <w:lang w:eastAsia="ru-RU"/>
        </w:rPr>
        <w:t xml:space="preserve"> </w:t>
      </w:r>
      <w:r w:rsidRPr="000F515A">
        <w:rPr>
          <w:szCs w:val="24"/>
          <w:lang w:eastAsia="ru-RU"/>
        </w:rPr>
        <w:t xml:space="preserve">membres parties à l’Accord SMGS pour, entre autres choses, prévenir l’apparition d’une pression négative à l’intérieur de la citerne, comme c’est déjà arrivé plusieurs fois en Sibérie.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  <w:lang w:eastAsia="ru-RU"/>
        </w:rPr>
      </w:pPr>
      <w:r w:rsidRPr="000F515A">
        <w:rPr>
          <w:szCs w:val="24"/>
          <w:lang w:eastAsia="ru-RU"/>
        </w:rPr>
        <w:lastRenderedPageBreak/>
        <w:t xml:space="preserve">Le représentant de l’OTIF a rappelé que dans le passé des incidents ayant entraîné la déformation de citernes sous l’effet d’une pression interne négative avaient conduit à l’introduction aux paragraphes 4.3.3.3.4 et 6.8.2.1.7 de règles contenant des mesures destinées à éviter la formation d’une pression </w:t>
      </w:r>
      <w:r w:rsidRPr="000F515A">
        <w:rPr>
          <w:lang w:eastAsia="ru-RU"/>
        </w:rPr>
        <w:t>interne</w:t>
      </w:r>
      <w:r w:rsidRPr="000F515A">
        <w:rPr>
          <w:szCs w:val="24"/>
          <w:lang w:eastAsia="ru-RU"/>
        </w:rPr>
        <w:t xml:space="preserve"> négative.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  <w:lang w:eastAsia="ru-RU"/>
        </w:rPr>
      </w:pPr>
      <w:r w:rsidRPr="000F515A">
        <w:rPr>
          <w:szCs w:val="24"/>
          <w:lang w:eastAsia="ru-RU"/>
        </w:rPr>
        <w:t xml:space="preserve">Le </w:t>
      </w:r>
      <w:r w:rsidR="008645C4" w:rsidRPr="000F515A">
        <w:rPr>
          <w:szCs w:val="24"/>
          <w:lang w:eastAsia="ru-RU"/>
        </w:rPr>
        <w:t xml:space="preserve">Groupe </w:t>
      </w:r>
      <w:r w:rsidRPr="000F515A">
        <w:rPr>
          <w:szCs w:val="24"/>
          <w:lang w:eastAsia="ru-RU"/>
        </w:rPr>
        <w:t xml:space="preserve">de travail a estimé que cette question devait être soumise lors de la Réunion commune RID/ADR/ADN au groupe de travail sur les citernes afin de faire l’objet d’une étude plus approfondie.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  <w:lang w:eastAsia="ru-RU"/>
        </w:rPr>
      </w:pPr>
      <w:r w:rsidRPr="000F515A">
        <w:rPr>
          <w:szCs w:val="24"/>
          <w:lang w:eastAsia="ru-RU"/>
        </w:rPr>
        <w:t xml:space="preserve">Une réunion de la Commission sur le droit des </w:t>
      </w:r>
      <w:r w:rsidRPr="000F515A">
        <w:rPr>
          <w:lang w:eastAsia="ru-RU"/>
        </w:rPr>
        <w:t>transports</w:t>
      </w:r>
      <w:r w:rsidRPr="000F515A">
        <w:rPr>
          <w:szCs w:val="24"/>
          <w:lang w:eastAsia="ru-RU"/>
        </w:rPr>
        <w:t xml:space="preserve"> de l’OSJD consacrée aux Règles de transport des marchandises dangereuses (</w:t>
      </w:r>
      <w:r w:rsidR="000F515A" w:rsidRPr="000F515A">
        <w:rPr>
          <w:szCs w:val="24"/>
          <w:lang w:eastAsia="ru-RU"/>
        </w:rPr>
        <w:t>annexe </w:t>
      </w:r>
      <w:r w:rsidRPr="000F515A">
        <w:rPr>
          <w:szCs w:val="24"/>
          <w:lang w:eastAsia="ru-RU"/>
        </w:rPr>
        <w:t>2 au SMGS) s’e</w:t>
      </w:r>
      <w:r w:rsidR="000F515A" w:rsidRPr="000F515A">
        <w:rPr>
          <w:szCs w:val="24"/>
          <w:lang w:eastAsia="ru-RU"/>
        </w:rPr>
        <w:t>st tenue à Varsovie du 27 au 29 </w:t>
      </w:r>
      <w:r w:rsidRPr="000F515A">
        <w:rPr>
          <w:szCs w:val="24"/>
          <w:lang w:eastAsia="ru-RU"/>
        </w:rPr>
        <w:t xml:space="preserve">octobre 2015. Les participants à cette réunion ont demandé à la Fédération de Russie de faire parvenir à la </w:t>
      </w:r>
      <w:r w:rsidR="000F515A" w:rsidRPr="000F515A">
        <w:rPr>
          <w:szCs w:val="24"/>
          <w:lang w:eastAsia="ru-RU"/>
        </w:rPr>
        <w:t>cinquième</w:t>
      </w:r>
      <w:r w:rsidRPr="000F515A">
        <w:rPr>
          <w:szCs w:val="24"/>
          <w:lang w:eastAsia="ru-RU"/>
        </w:rPr>
        <w:t xml:space="preserve"> session du groupe de travail permanent des experts du RID une proposition visant à introduire dans le RID des prescriptions supplémentaires concernant l’indication, dans la lettre de voiture, de la pression résiduelle lors de l’acheminement de wagons-citernes vides après la vidange de gaz liquéfiés affectés des codes de classification 2А, 2О, 2F, 2TF, 2ТС, 2ТО, 2TFC et 2ТОС. Des contre-propositions ont également été avancées par des participants à la </w:t>
      </w:r>
      <w:r w:rsidR="000F515A" w:rsidRPr="000F515A">
        <w:rPr>
          <w:szCs w:val="24"/>
          <w:lang w:eastAsia="ru-RU"/>
        </w:rPr>
        <w:t xml:space="preserve">cinquième </w:t>
      </w:r>
      <w:r w:rsidRPr="000F515A">
        <w:rPr>
          <w:szCs w:val="24"/>
          <w:lang w:eastAsia="ru-RU"/>
        </w:rPr>
        <w:t>session du groupe de travail permanent des experts du RID</w:t>
      </w:r>
      <w:r w:rsidR="000F515A" w:rsidRPr="000F515A">
        <w:rPr>
          <w:szCs w:val="24"/>
          <w:lang w:eastAsia="ru-RU"/>
        </w:rPr>
        <w:t xml:space="preserve"> (Zagreb, 23</w:t>
      </w:r>
      <w:r w:rsidR="000F515A" w:rsidRPr="000F515A">
        <w:rPr>
          <w:szCs w:val="24"/>
          <w:lang w:eastAsia="ru-RU"/>
        </w:rPr>
        <w:noBreakHyphen/>
        <w:t>27 </w:t>
      </w:r>
      <w:r w:rsidRPr="000F515A">
        <w:rPr>
          <w:szCs w:val="24"/>
          <w:lang w:eastAsia="ru-RU"/>
        </w:rPr>
        <w:t xml:space="preserve">novembre 2015) et à la </w:t>
      </w:r>
      <w:r w:rsidR="000F515A" w:rsidRPr="000F515A">
        <w:rPr>
          <w:szCs w:val="24"/>
          <w:lang w:eastAsia="ru-RU"/>
        </w:rPr>
        <w:t xml:space="preserve">quarante-huitième </w:t>
      </w:r>
      <w:r w:rsidRPr="000F515A">
        <w:rPr>
          <w:szCs w:val="24"/>
          <w:lang w:eastAsia="ru-RU"/>
        </w:rPr>
        <w:t xml:space="preserve">session du Sous-Comité d’experts du transport des marchandises dangereuses </w:t>
      </w:r>
      <w:r w:rsidR="000F515A" w:rsidRPr="000F515A">
        <w:rPr>
          <w:szCs w:val="24"/>
          <w:lang w:eastAsia="ru-RU"/>
        </w:rPr>
        <w:t>(Genève, 30 novembre-9 </w:t>
      </w:r>
      <w:r w:rsidRPr="000F515A">
        <w:rPr>
          <w:szCs w:val="24"/>
          <w:lang w:eastAsia="ru-RU"/>
        </w:rPr>
        <w:t>décembre 2015).</w:t>
      </w:r>
    </w:p>
    <w:p w:rsidR="00A84CF8" w:rsidRPr="000F515A" w:rsidRDefault="00A84CF8" w:rsidP="000F515A">
      <w:pPr>
        <w:pStyle w:val="HChG"/>
      </w:pPr>
      <w:r w:rsidRPr="000F515A">
        <w:tab/>
      </w:r>
      <w:r w:rsidRPr="000F515A">
        <w:tab/>
        <w:t>Justification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La nécessité d’introduire les prescriptions </w:t>
      </w:r>
      <w:r w:rsidRPr="000F515A">
        <w:rPr>
          <w:lang w:eastAsia="ru-RU"/>
        </w:rPr>
        <w:t>supplémentaires</w:t>
      </w:r>
      <w:r w:rsidRPr="000F515A">
        <w:rPr>
          <w:szCs w:val="24"/>
        </w:rPr>
        <w:t xml:space="preserve"> </w:t>
      </w:r>
      <w:r w:rsidR="008E1E4B">
        <w:rPr>
          <w:szCs w:val="24"/>
        </w:rPr>
        <w:t>sus</w:t>
      </w:r>
      <w:r w:rsidRPr="000F515A">
        <w:rPr>
          <w:szCs w:val="24"/>
        </w:rPr>
        <w:t xml:space="preserve">mentionnées est justifiée par les dispositions de la réglementation nationale de la Fédération de Russie, ainsi que de celles des pays de la CEI.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C’est ainsi que les paragraphes 9.1.20 et 9.1.21 </w:t>
      </w:r>
      <w:r w:rsidRPr="000F515A">
        <w:rPr>
          <w:lang w:eastAsia="ru-RU"/>
        </w:rPr>
        <w:t>des</w:t>
      </w:r>
      <w:r w:rsidRPr="000F515A">
        <w:rPr>
          <w:szCs w:val="24"/>
        </w:rPr>
        <w:t xml:space="preserve"> Règles applicables à la construction et l’utilisation sans danger des récipients à pression (enregistrées par le Ministère de la justice de la Fédération de Russie </w:t>
      </w:r>
      <w:r w:rsidR="000F515A" w:rsidRPr="000F515A">
        <w:rPr>
          <w:szCs w:val="24"/>
        </w:rPr>
        <w:t>le 19 </w:t>
      </w:r>
      <w:r w:rsidRPr="000F515A">
        <w:rPr>
          <w:szCs w:val="24"/>
        </w:rPr>
        <w:t xml:space="preserve">juin 2003 sous le </w:t>
      </w:r>
      <w:r w:rsidR="000F515A" w:rsidRPr="000F515A">
        <w:rPr>
          <w:rFonts w:eastAsia="MS Mincho"/>
          <w:szCs w:val="24"/>
        </w:rPr>
        <w:t>n</w:t>
      </w:r>
      <w:r w:rsidR="000F515A" w:rsidRPr="000F515A">
        <w:rPr>
          <w:rFonts w:eastAsia="MS Mincho"/>
          <w:szCs w:val="24"/>
          <w:vertAlign w:val="superscript"/>
        </w:rPr>
        <w:t>o</w:t>
      </w:r>
      <w:r w:rsidR="000F515A" w:rsidRPr="000F515A">
        <w:rPr>
          <w:szCs w:val="24"/>
        </w:rPr>
        <w:t> </w:t>
      </w:r>
      <w:r w:rsidRPr="000F515A">
        <w:rPr>
          <w:szCs w:val="24"/>
        </w:rPr>
        <w:t xml:space="preserve">4776) exige la présence dans les citernes ou les barils d’une </w:t>
      </w:r>
      <w:r w:rsidRPr="000F515A">
        <w:rPr>
          <w:b/>
          <w:szCs w:val="24"/>
        </w:rPr>
        <w:t>pression résiduelle</w:t>
      </w:r>
      <w:r w:rsidRPr="000F515A">
        <w:rPr>
          <w:szCs w:val="24"/>
        </w:rPr>
        <w:t xml:space="preserve"> et la conformité des gaz qui y sont contenus. En outre, l’utilisateur qui vidange les citernes et les barils est tenu d’y laisser une </w:t>
      </w:r>
      <w:r w:rsidRPr="000F515A">
        <w:rPr>
          <w:b/>
          <w:szCs w:val="24"/>
        </w:rPr>
        <w:t>surpression</w:t>
      </w:r>
      <w:r w:rsidRPr="000F515A">
        <w:rPr>
          <w:szCs w:val="24"/>
        </w:rPr>
        <w:t xml:space="preserve"> d’</w:t>
      </w:r>
      <w:r w:rsidR="000F515A" w:rsidRPr="000F515A">
        <w:rPr>
          <w:szCs w:val="24"/>
        </w:rPr>
        <w:t xml:space="preserve">au moins </w:t>
      </w:r>
      <w:r w:rsidR="008645C4">
        <w:rPr>
          <w:szCs w:val="24"/>
        </w:rPr>
        <w:t>0,0</w:t>
      </w:r>
      <w:r w:rsidR="000F515A" w:rsidRPr="000F515A">
        <w:rPr>
          <w:szCs w:val="24"/>
        </w:rPr>
        <w:t>5 </w:t>
      </w:r>
      <w:r w:rsidRPr="000F515A">
        <w:rPr>
          <w:szCs w:val="24"/>
        </w:rPr>
        <w:t xml:space="preserve">MPa. Pour les gaz liquéfiés dont la pression de vapeur en hiver peut être inférieure à </w:t>
      </w:r>
      <w:r w:rsidR="000F515A" w:rsidRPr="000F515A">
        <w:rPr>
          <w:szCs w:val="24"/>
        </w:rPr>
        <w:t>0,05 </w:t>
      </w:r>
      <w:r w:rsidRPr="000F515A">
        <w:rPr>
          <w:szCs w:val="24"/>
        </w:rPr>
        <w:t xml:space="preserve">MPa, la </w:t>
      </w:r>
      <w:r w:rsidRPr="000F515A">
        <w:rPr>
          <w:b/>
          <w:szCs w:val="24"/>
        </w:rPr>
        <w:t>pression résiduelle</w:t>
      </w:r>
      <w:r w:rsidRPr="000F515A">
        <w:rPr>
          <w:szCs w:val="24"/>
        </w:rPr>
        <w:t xml:space="preserve"> est fixée par l’organisme qui procède au remplissage.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color w:val="000000"/>
          <w:szCs w:val="24"/>
        </w:rPr>
        <w:t>Conformément au paragraphe 10.3.5</w:t>
      </w:r>
      <w:r w:rsidRPr="000F515A">
        <w:rPr>
          <w:szCs w:val="24"/>
        </w:rPr>
        <w:t xml:space="preserve"> de ces </w:t>
      </w:r>
      <w:r w:rsidRPr="000F515A">
        <w:rPr>
          <w:lang w:eastAsia="ru-RU"/>
        </w:rPr>
        <w:t>mêmes</w:t>
      </w:r>
      <w:r w:rsidRPr="000F515A">
        <w:rPr>
          <w:szCs w:val="24"/>
        </w:rPr>
        <w:t xml:space="preserve"> Règles, il est interdit de vider complètement les bouteilles des gaz qui y sont contenus. La </w:t>
      </w:r>
      <w:r w:rsidRPr="007E448C">
        <w:rPr>
          <w:b/>
          <w:bCs/>
          <w:szCs w:val="24"/>
        </w:rPr>
        <w:t>pression résiduelle</w:t>
      </w:r>
      <w:r w:rsidRPr="000F515A">
        <w:rPr>
          <w:szCs w:val="24"/>
        </w:rPr>
        <w:t xml:space="preserve"> de gaz dans la bouteille ne </w:t>
      </w:r>
      <w:r w:rsidR="000F515A" w:rsidRPr="000F515A">
        <w:rPr>
          <w:szCs w:val="24"/>
        </w:rPr>
        <w:t>doit pas être inférieure à 0,05 </w:t>
      </w:r>
      <w:r w:rsidRPr="000F515A">
        <w:rPr>
          <w:szCs w:val="24"/>
        </w:rPr>
        <w:t xml:space="preserve">MPa. 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color w:val="000000"/>
          <w:szCs w:val="24"/>
        </w:rPr>
        <w:t>Conformément au paragraphe 10.3.11</w:t>
      </w:r>
      <w:r w:rsidRPr="000F515A">
        <w:rPr>
          <w:szCs w:val="24"/>
        </w:rPr>
        <w:t xml:space="preserve"> de ces </w:t>
      </w:r>
      <w:r w:rsidRPr="000F515A">
        <w:rPr>
          <w:lang w:eastAsia="ru-RU"/>
        </w:rPr>
        <w:t>Règles</w:t>
      </w:r>
      <w:r w:rsidRPr="000F515A">
        <w:rPr>
          <w:szCs w:val="24"/>
        </w:rPr>
        <w:t>, il est interdit de remplir de gaz les bouteilles</w:t>
      </w:r>
      <w:r w:rsidR="000F515A" w:rsidRPr="000F515A">
        <w:rPr>
          <w:szCs w:val="24"/>
        </w:rPr>
        <w:t xml:space="preserve"> </w:t>
      </w:r>
      <w:r w:rsidRPr="000F515A">
        <w:rPr>
          <w:szCs w:val="24"/>
        </w:rPr>
        <w:t>quand</w:t>
      </w:r>
      <w:r w:rsidR="000F515A" w:rsidRPr="000F515A">
        <w:rPr>
          <w:szCs w:val="24"/>
        </w:rPr>
        <w:t> :</w:t>
      </w:r>
    </w:p>
    <w:p w:rsidR="00A84CF8" w:rsidRPr="000F515A" w:rsidRDefault="000F515A" w:rsidP="000F515A">
      <w:pPr>
        <w:pStyle w:val="Bullet1G"/>
      </w:pPr>
      <w:r w:rsidRPr="000F515A">
        <w:t xml:space="preserve">Le </w:t>
      </w:r>
      <w:r w:rsidR="00A84CF8" w:rsidRPr="000F515A">
        <w:t>délai fixé pour l’examen des bouteilles est échu</w:t>
      </w:r>
      <w:r w:rsidRPr="000F515A">
        <w:t> ;</w:t>
      </w:r>
    </w:p>
    <w:p w:rsidR="00A84CF8" w:rsidRPr="000F515A" w:rsidRDefault="000F515A" w:rsidP="000F515A">
      <w:pPr>
        <w:pStyle w:val="Bullet1G"/>
      </w:pPr>
      <w:r w:rsidRPr="000F515A">
        <w:t xml:space="preserve">Le </w:t>
      </w:r>
      <w:r w:rsidR="00A84CF8" w:rsidRPr="000F515A">
        <w:t>délai fixé pour l’examen des masses poreuses est échu</w:t>
      </w:r>
      <w:r w:rsidRPr="000F515A">
        <w:t> ;</w:t>
      </w:r>
    </w:p>
    <w:p w:rsidR="00A84CF8" w:rsidRPr="000F515A" w:rsidRDefault="000F515A" w:rsidP="000F515A">
      <w:pPr>
        <w:pStyle w:val="Bullet1G"/>
      </w:pPr>
      <w:r w:rsidRPr="000F515A">
        <w:t xml:space="preserve">Le </w:t>
      </w:r>
      <w:r w:rsidR="00A84CF8" w:rsidRPr="000F515A">
        <w:t>liner est endommagé</w:t>
      </w:r>
      <w:r w:rsidRPr="000F515A">
        <w:t> ;</w:t>
      </w:r>
    </w:p>
    <w:p w:rsidR="00A84CF8" w:rsidRPr="000F515A" w:rsidRDefault="000F515A" w:rsidP="000F515A">
      <w:pPr>
        <w:pStyle w:val="Bullet1G"/>
      </w:pPr>
      <w:r w:rsidRPr="000F515A">
        <w:t xml:space="preserve">Les </w:t>
      </w:r>
      <w:r w:rsidR="00A84CF8" w:rsidRPr="000F515A">
        <w:t>robinets sont déficients</w:t>
      </w:r>
      <w:r w:rsidRPr="000F515A">
        <w:t> ;</w:t>
      </w:r>
    </w:p>
    <w:p w:rsidR="00A84CF8" w:rsidRPr="000F515A" w:rsidRDefault="000F515A" w:rsidP="000F515A">
      <w:pPr>
        <w:pStyle w:val="Bullet1G"/>
      </w:pPr>
      <w:r w:rsidRPr="000F515A">
        <w:t xml:space="preserve">Les </w:t>
      </w:r>
      <w:r w:rsidR="00A84CF8" w:rsidRPr="000F515A">
        <w:t>couleurs ou les inscriptions ne sont pas correctes</w:t>
      </w:r>
      <w:r w:rsidRPr="000F515A">
        <w:t> ;</w:t>
      </w:r>
    </w:p>
    <w:p w:rsidR="00A84CF8" w:rsidRPr="000F515A" w:rsidRDefault="000F515A" w:rsidP="000F515A">
      <w:pPr>
        <w:pStyle w:val="Bullet1G"/>
        <w:rPr>
          <w:b/>
          <w:bCs/>
        </w:rPr>
      </w:pPr>
      <w:r w:rsidRPr="000F515A">
        <w:rPr>
          <w:b/>
          <w:bCs/>
        </w:rPr>
        <w:t xml:space="preserve">Il </w:t>
      </w:r>
      <w:r w:rsidR="00A84CF8" w:rsidRPr="000F515A">
        <w:rPr>
          <w:b/>
          <w:bCs/>
        </w:rPr>
        <w:t>n’y a pas de surpression de gaz</w:t>
      </w:r>
      <w:r w:rsidRPr="000F515A">
        <w:rPr>
          <w:b/>
          <w:bCs/>
        </w:rPr>
        <w:t> ;</w:t>
      </w:r>
    </w:p>
    <w:p w:rsidR="00A84CF8" w:rsidRPr="000F515A" w:rsidRDefault="000F515A" w:rsidP="000F515A">
      <w:pPr>
        <w:pStyle w:val="Bullet1G"/>
      </w:pPr>
      <w:r w:rsidRPr="000F515A">
        <w:t xml:space="preserve">Les </w:t>
      </w:r>
      <w:r w:rsidR="00A84CF8" w:rsidRPr="000F515A">
        <w:t>marques prévues sont absentes.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lastRenderedPageBreak/>
        <w:t xml:space="preserve">Le remplissage de bouteilles dans </w:t>
      </w:r>
      <w:r w:rsidRPr="000F515A">
        <w:rPr>
          <w:lang w:eastAsia="ru-RU"/>
        </w:rPr>
        <w:t>lesquelles</w:t>
      </w:r>
      <w:r w:rsidRPr="000F515A">
        <w:rPr>
          <w:szCs w:val="24"/>
        </w:rPr>
        <w:t xml:space="preserve"> il n’y a pas de </w:t>
      </w:r>
      <w:r w:rsidRPr="000F515A">
        <w:rPr>
          <w:b/>
          <w:szCs w:val="24"/>
        </w:rPr>
        <w:t>surpression des gaz</w:t>
      </w:r>
      <w:r w:rsidRPr="000F515A">
        <w:rPr>
          <w:szCs w:val="24"/>
        </w:rPr>
        <w:t xml:space="preserve"> ne doit se faire qu’à la suite d’une épreuve préliminaire conformément aux instructions de l’organisation qui effectue ce remplissage (station de remplissage).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Les paragraphes 4.1.7 et 4.1.16 des </w:t>
      </w:r>
      <w:r w:rsidRPr="000F515A">
        <w:rPr>
          <w:lang w:eastAsia="ru-RU"/>
        </w:rPr>
        <w:t>Règles</w:t>
      </w:r>
      <w:r w:rsidRPr="000F515A">
        <w:rPr>
          <w:szCs w:val="24"/>
        </w:rPr>
        <w:t xml:space="preserve"> applicables aux transports de cargaisons de marchandises liquides en vrac dans des wagons-citernes et des wagons de type bunker pour le transport de bitume (approuvées par le Conseil sur le transport ferroviaire des États membres de la Communauté, Protocole </w:t>
      </w:r>
      <w:r w:rsidR="000F515A" w:rsidRPr="000F515A">
        <w:rPr>
          <w:szCs w:val="24"/>
        </w:rPr>
        <w:t>du 21-22 </w:t>
      </w:r>
      <w:r w:rsidRPr="000F515A">
        <w:rPr>
          <w:szCs w:val="24"/>
        </w:rPr>
        <w:t xml:space="preserve">mai 2009, </w:t>
      </w:r>
      <w:r w:rsidR="000F515A" w:rsidRPr="000F515A">
        <w:rPr>
          <w:rFonts w:eastAsia="MS Mincho"/>
          <w:szCs w:val="24"/>
        </w:rPr>
        <w:t>n</w:t>
      </w:r>
      <w:r w:rsidR="000F515A" w:rsidRPr="000F515A">
        <w:rPr>
          <w:rFonts w:eastAsia="MS Mincho"/>
          <w:szCs w:val="24"/>
          <w:vertAlign w:val="superscript"/>
        </w:rPr>
        <w:t>o</w:t>
      </w:r>
      <w:r w:rsidR="000F515A" w:rsidRPr="000F515A">
        <w:rPr>
          <w:szCs w:val="24"/>
        </w:rPr>
        <w:t> </w:t>
      </w:r>
      <w:r w:rsidRPr="000F515A">
        <w:rPr>
          <w:szCs w:val="24"/>
        </w:rPr>
        <w:t xml:space="preserve">50) exigent aussi la présence de </w:t>
      </w:r>
      <w:r w:rsidRPr="000F515A">
        <w:rPr>
          <w:b/>
          <w:szCs w:val="24"/>
        </w:rPr>
        <w:t>pression résiduelle</w:t>
      </w:r>
      <w:r w:rsidRPr="000F515A">
        <w:rPr>
          <w:szCs w:val="24"/>
        </w:rPr>
        <w:t xml:space="preserve"> dans les citernes</w:t>
      </w:r>
      <w:r w:rsidR="000F515A" w:rsidRPr="000F515A">
        <w:rPr>
          <w:szCs w:val="24"/>
        </w:rPr>
        <w:t> :</w:t>
      </w:r>
      <w:r w:rsidRPr="000F515A">
        <w:rPr>
          <w:szCs w:val="24"/>
        </w:rPr>
        <w:t xml:space="preserve"> </w:t>
      </w:r>
    </w:p>
    <w:p w:rsidR="00A84CF8" w:rsidRPr="000F515A" w:rsidRDefault="00A84CF8" w:rsidP="000F515A">
      <w:pPr>
        <w:tabs>
          <w:tab w:val="left" w:pos="2552"/>
        </w:tabs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szCs w:val="24"/>
        </w:rPr>
      </w:pPr>
      <w:r w:rsidRPr="000F515A">
        <w:rPr>
          <w:szCs w:val="24"/>
        </w:rPr>
        <w:t>«</w:t>
      </w:r>
      <w:r w:rsidR="000F515A" w:rsidRPr="000F515A">
        <w:rPr>
          <w:szCs w:val="24"/>
        </w:rPr>
        <w:t> </w:t>
      </w:r>
      <w:r w:rsidRPr="000F515A">
        <w:rPr>
          <w:szCs w:val="24"/>
        </w:rPr>
        <w:t>4.1.7</w:t>
      </w:r>
      <w:r w:rsidR="000F515A" w:rsidRPr="000F515A">
        <w:rPr>
          <w:szCs w:val="24"/>
        </w:rPr>
        <w:tab/>
      </w:r>
      <w:r w:rsidRPr="000F515A">
        <w:rPr>
          <w:szCs w:val="24"/>
        </w:rPr>
        <w:t xml:space="preserve">Avant de remplir de gaz les wagons-citernes la personne responsable de l’expédition procède à une examen minutieux de la surface extérieure, vérifie l’état et l’étanchéité des robinets, la présence d’une </w:t>
      </w:r>
      <w:r w:rsidRPr="000F515A">
        <w:rPr>
          <w:b/>
          <w:szCs w:val="24"/>
        </w:rPr>
        <w:t>pression résiduelle</w:t>
      </w:r>
      <w:r w:rsidRPr="000F515A">
        <w:rPr>
          <w:szCs w:val="24"/>
        </w:rPr>
        <w:t xml:space="preserve"> et l’adéquation entre le gaz et le wagon-citerne. Les résultats de l’inspection des wagons-citernes et les conclusions quant à la possibilité de les remplir sont consignés. </w:t>
      </w:r>
    </w:p>
    <w:p w:rsidR="00A84CF8" w:rsidRPr="000F515A" w:rsidRDefault="00A84CF8" w:rsidP="000F515A">
      <w:pPr>
        <w:tabs>
          <w:tab w:val="left" w:pos="2552"/>
        </w:tabs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szCs w:val="24"/>
        </w:rPr>
      </w:pPr>
      <w:r w:rsidRPr="000F515A">
        <w:rPr>
          <w:szCs w:val="24"/>
        </w:rPr>
        <w:t>4.1.16</w:t>
      </w:r>
      <w:r w:rsidR="000F515A" w:rsidRPr="000F515A">
        <w:rPr>
          <w:szCs w:val="24"/>
        </w:rPr>
        <w:tab/>
      </w:r>
      <w:r w:rsidRPr="000F515A">
        <w:rPr>
          <w:szCs w:val="24"/>
        </w:rPr>
        <w:t>Le destinataire est tenu de vider complètement le gaz liquéfié</w:t>
      </w:r>
      <w:r w:rsidRPr="007E448C">
        <w:rPr>
          <w:szCs w:val="24"/>
        </w:rPr>
        <w:t>. La surpression après la vidange</w:t>
      </w:r>
      <w:r w:rsidRPr="000F515A">
        <w:rPr>
          <w:szCs w:val="24"/>
        </w:rPr>
        <w:t xml:space="preserve"> du gaz liquéfié doit être comprise entre 0,04 et 0,07</w:t>
      </w:r>
      <w:r w:rsidR="000F515A" w:rsidRPr="000F515A">
        <w:rPr>
          <w:szCs w:val="24"/>
        </w:rPr>
        <w:t> </w:t>
      </w:r>
      <w:r w:rsidRPr="000F515A">
        <w:rPr>
          <w:szCs w:val="24"/>
        </w:rPr>
        <w:t>MPa. Dans la lettre de voiture concernant le wagon-citerne vide, le destinataire doit indiquer</w:t>
      </w:r>
      <w:r w:rsidR="000F515A" w:rsidRPr="000F515A">
        <w:rPr>
          <w:szCs w:val="24"/>
        </w:rPr>
        <w:t> :</w:t>
      </w:r>
      <w:r w:rsidRPr="000F515A">
        <w:rPr>
          <w:szCs w:val="24"/>
        </w:rPr>
        <w:t xml:space="preserve"> </w:t>
      </w:r>
      <w:r w:rsidR="000F515A" w:rsidRPr="000F515A">
        <w:rPr>
          <w:b/>
          <w:szCs w:val="24"/>
        </w:rPr>
        <w:t>“</w:t>
      </w:r>
      <w:r w:rsidRPr="000F515A">
        <w:rPr>
          <w:b/>
          <w:szCs w:val="24"/>
        </w:rPr>
        <w:t xml:space="preserve">Citerne complètement vidée. Pression à l’intérieur ___ </w:t>
      </w:r>
      <w:r w:rsidR="000F515A" w:rsidRPr="000F515A">
        <w:rPr>
          <w:b/>
          <w:szCs w:val="24"/>
        </w:rPr>
        <w:t>M</w:t>
      </w:r>
      <w:r w:rsidRPr="000F515A">
        <w:rPr>
          <w:b/>
          <w:szCs w:val="24"/>
        </w:rPr>
        <w:t>Pа</w:t>
      </w:r>
      <w:r w:rsidR="000F515A" w:rsidRPr="000F515A">
        <w:rPr>
          <w:b/>
          <w:szCs w:val="24"/>
        </w:rPr>
        <w:t>”</w:t>
      </w:r>
      <w:r w:rsidRPr="000F515A">
        <w:rPr>
          <w:szCs w:val="24"/>
        </w:rPr>
        <w:t>.</w:t>
      </w:r>
      <w:r w:rsidR="000F515A" w:rsidRPr="000F515A">
        <w:rPr>
          <w:szCs w:val="24"/>
        </w:rPr>
        <w:t> ».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Nous pensons que le fait d’indiquer la </w:t>
      </w:r>
      <w:r w:rsidRPr="000F515A">
        <w:rPr>
          <w:lang w:eastAsia="ru-RU"/>
        </w:rPr>
        <w:t>valeur</w:t>
      </w:r>
      <w:r w:rsidRPr="000F515A">
        <w:rPr>
          <w:szCs w:val="24"/>
        </w:rPr>
        <w:t xml:space="preserve"> de la pression résiduelle dans le document de transport lors de l’acheminement de wagons-citernes après vidange des gaz liquéfiés affectés des codes de classification 2А, 2О, 2F, 2TF, 2ТС, 2ТО, 2TFC et 2ТОС</w:t>
      </w:r>
      <w:r w:rsidR="000F515A" w:rsidRPr="000F515A">
        <w:rPr>
          <w:szCs w:val="24"/>
        </w:rPr>
        <w:t> :</w:t>
      </w:r>
    </w:p>
    <w:p w:rsidR="00A84CF8" w:rsidRPr="000F515A" w:rsidRDefault="00A84CF8" w:rsidP="000F515A">
      <w:pPr>
        <w:pStyle w:val="SingleTxtG"/>
        <w:ind w:left="2268" w:hanging="567"/>
      </w:pPr>
      <w:r w:rsidRPr="000F515A">
        <w:t>1)</w:t>
      </w:r>
      <w:r w:rsidRPr="000F515A">
        <w:tab/>
      </w:r>
      <w:r w:rsidR="000F515A" w:rsidRPr="000F515A">
        <w:t xml:space="preserve">Améliore </w:t>
      </w:r>
      <w:r w:rsidRPr="000F515A">
        <w:t>la sécurité du transport de gaz liquéfiés</w:t>
      </w:r>
      <w:r w:rsidR="000F515A" w:rsidRPr="000F515A">
        <w:t> ;</w:t>
      </w:r>
      <w:r w:rsidRPr="000F515A">
        <w:t xml:space="preserve"> </w:t>
      </w:r>
    </w:p>
    <w:p w:rsidR="00A84CF8" w:rsidRPr="000F515A" w:rsidRDefault="00A84CF8" w:rsidP="000F515A">
      <w:pPr>
        <w:pStyle w:val="SingleTxtG"/>
        <w:ind w:left="2268" w:hanging="567"/>
      </w:pPr>
      <w:r w:rsidRPr="000F515A">
        <w:t>2)</w:t>
      </w:r>
      <w:r w:rsidRPr="000F515A">
        <w:tab/>
      </w:r>
      <w:r w:rsidR="000F515A" w:rsidRPr="000F515A">
        <w:t xml:space="preserve">Permet </w:t>
      </w:r>
      <w:r w:rsidRPr="000F515A">
        <w:t>de préserver les récipients à pression des influences extérieures néfastes</w:t>
      </w:r>
      <w:r w:rsidR="000F515A" w:rsidRPr="000F515A">
        <w:t> ;</w:t>
      </w:r>
      <w:r w:rsidRPr="000F515A">
        <w:t xml:space="preserve"> </w:t>
      </w:r>
    </w:p>
    <w:p w:rsidR="00A84CF8" w:rsidRPr="000F515A" w:rsidRDefault="00A84CF8" w:rsidP="000F515A">
      <w:pPr>
        <w:pStyle w:val="SingleTxtG"/>
        <w:ind w:left="2268" w:hanging="567"/>
      </w:pPr>
      <w:r w:rsidRPr="000F515A">
        <w:t>3)</w:t>
      </w:r>
      <w:r w:rsidRPr="000F515A">
        <w:tab/>
      </w:r>
      <w:r w:rsidR="000F515A" w:rsidRPr="000F515A">
        <w:t xml:space="preserve">Assure </w:t>
      </w:r>
      <w:r w:rsidRPr="000F515A">
        <w:t>la qualité des gaz liquéfiés transportés</w:t>
      </w:r>
      <w:r w:rsidR="000F515A" w:rsidRPr="000F515A">
        <w:t> ;</w:t>
      </w:r>
    </w:p>
    <w:p w:rsidR="00A84CF8" w:rsidRPr="000F515A" w:rsidRDefault="00A84CF8" w:rsidP="000F515A">
      <w:pPr>
        <w:pStyle w:val="SingleTxtG"/>
        <w:ind w:left="2268" w:hanging="567"/>
      </w:pPr>
      <w:r w:rsidRPr="000F515A">
        <w:t>4)</w:t>
      </w:r>
      <w:r w:rsidRPr="000F515A">
        <w:tab/>
      </w:r>
      <w:r w:rsidR="000F515A" w:rsidRPr="000F515A">
        <w:t xml:space="preserve">Allonge </w:t>
      </w:r>
      <w:r w:rsidRPr="000F515A">
        <w:t>la durée d’exploitatio</w:t>
      </w:r>
      <w:bookmarkStart w:id="0" w:name="_GoBack"/>
      <w:bookmarkEnd w:id="0"/>
      <w:r w:rsidRPr="000F515A">
        <w:t>n des récipients à pression.</w:t>
      </w:r>
    </w:p>
    <w:p w:rsidR="00A84CF8" w:rsidRPr="000F515A" w:rsidRDefault="00A84CF8" w:rsidP="007E448C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Nous estimons également que la liste des gaz liquéfiés pour lesquels il convient d’indiquer sur la lettre de voiture la valeur de la </w:t>
      </w:r>
      <w:r w:rsidRPr="000F515A">
        <w:rPr>
          <w:lang w:eastAsia="ru-RU"/>
        </w:rPr>
        <w:t>pression</w:t>
      </w:r>
      <w:r w:rsidRPr="000F515A">
        <w:rPr>
          <w:szCs w:val="24"/>
        </w:rPr>
        <w:t xml:space="preserve"> résiduelle lors de l’acheminement de wagons-citernes vides après vidange doit être complétée par des gaz liquéfiés toxiques (code de classification 2Т).</w:t>
      </w:r>
    </w:p>
    <w:p w:rsidR="00A84CF8" w:rsidRPr="000F515A" w:rsidRDefault="00A84CF8" w:rsidP="000F515A">
      <w:pPr>
        <w:pStyle w:val="HChG"/>
      </w:pPr>
      <w:r w:rsidRPr="000F515A">
        <w:tab/>
      </w:r>
      <w:r w:rsidRPr="000F515A">
        <w:tab/>
        <w:t>Applicabilité</w:t>
      </w:r>
    </w:p>
    <w:p w:rsidR="00A84CF8" w:rsidRPr="000F515A" w:rsidRDefault="00A84CF8" w:rsidP="000F515A">
      <w:pPr>
        <w:pStyle w:val="ParNoG"/>
        <w:tabs>
          <w:tab w:val="clear" w:pos="1701"/>
        </w:tabs>
        <w:rPr>
          <w:szCs w:val="24"/>
        </w:rPr>
      </w:pPr>
      <w:r w:rsidRPr="000F515A">
        <w:rPr>
          <w:szCs w:val="24"/>
        </w:rPr>
        <w:t xml:space="preserve">L’application de la modification </w:t>
      </w:r>
      <w:r w:rsidRPr="000F515A">
        <w:rPr>
          <w:lang w:eastAsia="ru-RU"/>
        </w:rPr>
        <w:t>proposée</w:t>
      </w:r>
      <w:r w:rsidRPr="000F515A">
        <w:rPr>
          <w:szCs w:val="24"/>
        </w:rPr>
        <w:t xml:space="preserve"> ne devrait poser aucun problème.</w:t>
      </w:r>
    </w:p>
    <w:p w:rsidR="00F9573C" w:rsidRPr="000F515A" w:rsidRDefault="00A84CF8" w:rsidP="00A84CF8">
      <w:pPr>
        <w:pStyle w:val="SingleTxtG"/>
        <w:spacing w:before="240" w:after="0"/>
        <w:jc w:val="center"/>
        <w:rPr>
          <w:u w:val="single"/>
        </w:rPr>
      </w:pPr>
      <w:r w:rsidRPr="000F515A">
        <w:rPr>
          <w:u w:val="single"/>
        </w:rPr>
        <w:tab/>
      </w:r>
      <w:r w:rsidRPr="000F515A">
        <w:rPr>
          <w:u w:val="single"/>
        </w:rPr>
        <w:tab/>
      </w:r>
      <w:r w:rsidRPr="000F515A">
        <w:rPr>
          <w:u w:val="single"/>
        </w:rPr>
        <w:tab/>
      </w:r>
    </w:p>
    <w:sectPr w:rsidR="00F9573C" w:rsidRPr="000F515A" w:rsidSect="00A84C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E3" w:rsidRDefault="00BA75E3" w:rsidP="00F95C08">
      <w:pPr>
        <w:spacing w:line="240" w:lineRule="auto"/>
      </w:pPr>
    </w:p>
  </w:endnote>
  <w:endnote w:type="continuationSeparator" w:id="0">
    <w:p w:rsidR="00BA75E3" w:rsidRPr="00AC3823" w:rsidRDefault="00BA75E3" w:rsidP="00AC3823">
      <w:pPr>
        <w:pStyle w:val="Pieddepage"/>
      </w:pPr>
    </w:p>
  </w:endnote>
  <w:endnote w:type="continuationNotice" w:id="1">
    <w:p w:rsidR="00BA75E3" w:rsidRDefault="00BA75E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F8" w:rsidRPr="00A84CF8" w:rsidRDefault="00025D41" w:rsidP="00A84CF8">
    <w:pPr>
      <w:pStyle w:val="Pieddepage"/>
      <w:tabs>
        <w:tab w:val="right" w:pos="9638"/>
      </w:tabs>
    </w:pPr>
    <w:r w:rsidRPr="00A84CF8">
      <w:rPr>
        <w:b/>
        <w:sz w:val="18"/>
      </w:rPr>
      <w:fldChar w:fldCharType="begin"/>
    </w:r>
    <w:r w:rsidR="00A84CF8" w:rsidRPr="00A84CF8">
      <w:rPr>
        <w:b/>
        <w:sz w:val="18"/>
      </w:rPr>
      <w:instrText xml:space="preserve"> PAGE  \* MERGEFORMAT </w:instrText>
    </w:r>
    <w:r w:rsidRPr="00A84CF8">
      <w:rPr>
        <w:b/>
        <w:sz w:val="18"/>
      </w:rPr>
      <w:fldChar w:fldCharType="separate"/>
    </w:r>
    <w:r w:rsidR="00993710">
      <w:rPr>
        <w:b/>
        <w:noProof/>
        <w:sz w:val="18"/>
      </w:rPr>
      <w:t>2</w:t>
    </w:r>
    <w:r w:rsidRPr="00A84CF8">
      <w:rPr>
        <w:b/>
        <w:sz w:val="18"/>
      </w:rPr>
      <w:fldChar w:fldCharType="end"/>
    </w:r>
    <w:r w:rsidR="00A84CF8">
      <w:rPr>
        <w:b/>
        <w:sz w:val="18"/>
      </w:rPr>
      <w:tab/>
    </w:r>
    <w:r w:rsidR="00A84CF8">
      <w:t>GE.16-11070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F8" w:rsidRPr="00A84CF8" w:rsidRDefault="00A84CF8" w:rsidP="00A84CF8">
    <w:pPr>
      <w:pStyle w:val="Pieddepage"/>
      <w:tabs>
        <w:tab w:val="right" w:pos="9638"/>
      </w:tabs>
      <w:rPr>
        <w:b/>
        <w:sz w:val="18"/>
      </w:rPr>
    </w:pPr>
    <w:r>
      <w:t>GE.16-11070</w:t>
    </w:r>
    <w:r>
      <w:tab/>
    </w:r>
    <w:r w:rsidR="00025D41" w:rsidRPr="00A84CF8">
      <w:rPr>
        <w:b/>
        <w:sz w:val="18"/>
      </w:rPr>
      <w:fldChar w:fldCharType="begin"/>
    </w:r>
    <w:r w:rsidRPr="00A84CF8">
      <w:rPr>
        <w:b/>
        <w:sz w:val="18"/>
      </w:rPr>
      <w:instrText xml:space="preserve"> PAGE  \* MERGEFORMAT </w:instrText>
    </w:r>
    <w:r w:rsidR="00025D41" w:rsidRPr="00A84CF8">
      <w:rPr>
        <w:b/>
        <w:sz w:val="18"/>
      </w:rPr>
      <w:fldChar w:fldCharType="separate"/>
    </w:r>
    <w:r w:rsidR="00993710">
      <w:rPr>
        <w:b/>
        <w:noProof/>
        <w:sz w:val="18"/>
      </w:rPr>
      <w:t>3</w:t>
    </w:r>
    <w:r w:rsidR="00025D41" w:rsidRPr="00A84CF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A84CF8" w:rsidRDefault="00A84CF8" w:rsidP="00A84CF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16-11070  (F)    250716    280716</w:t>
    </w:r>
    <w:r>
      <w:rPr>
        <w:sz w:val="20"/>
      </w:rPr>
      <w:br/>
    </w:r>
    <w:r w:rsidRPr="00A84CF8">
      <w:rPr>
        <w:rFonts w:ascii="C39T30Lfz" w:hAnsi="C39T30Lfz"/>
        <w:sz w:val="56"/>
      </w:rPr>
      <w:t></w:t>
    </w:r>
    <w:r w:rsidRPr="00A84CF8">
      <w:rPr>
        <w:rFonts w:ascii="C39T30Lfz" w:hAnsi="C39T30Lfz"/>
        <w:sz w:val="56"/>
      </w:rPr>
      <w:t></w:t>
    </w:r>
    <w:r w:rsidRPr="00A84CF8">
      <w:rPr>
        <w:rFonts w:ascii="C39T30Lfz" w:hAnsi="C39T30Lfz"/>
        <w:sz w:val="56"/>
      </w:rPr>
      <w:t></w:t>
    </w:r>
    <w:r w:rsidRPr="00A84CF8">
      <w:rPr>
        <w:rFonts w:ascii="C39T30Lfz" w:hAnsi="C39T30Lfz"/>
        <w:sz w:val="56"/>
      </w:rPr>
      <w:t></w:t>
    </w:r>
    <w:r w:rsidRPr="00A84CF8">
      <w:rPr>
        <w:rFonts w:ascii="C39T30Lfz" w:hAnsi="C39T30Lfz"/>
        <w:sz w:val="56"/>
      </w:rPr>
      <w:t></w:t>
    </w:r>
    <w:r w:rsidRPr="00A84CF8">
      <w:rPr>
        <w:rFonts w:ascii="C39T30Lfz" w:hAnsi="C39T30Lfz"/>
        <w:sz w:val="56"/>
      </w:rPr>
      <w:t></w:t>
    </w:r>
    <w:r w:rsidRPr="00A84CF8">
      <w:rPr>
        <w:rFonts w:ascii="C39T30Lfz" w:hAnsi="C39T30Lfz"/>
        <w:sz w:val="56"/>
      </w:rPr>
      <w:t></w:t>
    </w:r>
    <w:r w:rsidRPr="00A84CF8">
      <w:rPr>
        <w:rFonts w:ascii="C39T30Lfz" w:hAnsi="C39T30Lfz"/>
        <w:sz w:val="56"/>
      </w:rPr>
      <w:t></w:t>
    </w:r>
    <w:r w:rsidRPr="00A84CF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E3" w:rsidRPr="00AC3823" w:rsidRDefault="00BA75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75E3" w:rsidRPr="00AC3823" w:rsidRDefault="00BA75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75E3" w:rsidRPr="00AC3823" w:rsidRDefault="00BA75E3">
      <w:pPr>
        <w:spacing w:line="240" w:lineRule="auto"/>
        <w:rPr>
          <w:sz w:val="2"/>
          <w:szCs w:val="2"/>
        </w:rPr>
      </w:pPr>
    </w:p>
  </w:footnote>
  <w:footnote w:id="2">
    <w:p w:rsidR="00A84CF8" w:rsidRPr="000F515A" w:rsidRDefault="00A84CF8" w:rsidP="000F515A">
      <w:pPr>
        <w:pStyle w:val="Notedebasdepage"/>
        <w:rPr>
          <w:spacing w:val="-2"/>
        </w:rPr>
      </w:pPr>
      <w:r>
        <w:rPr>
          <w:lang w:val="en-US"/>
        </w:rPr>
        <w:tab/>
      </w:r>
      <w:r w:rsidRPr="00750FE6">
        <w:rPr>
          <w:rStyle w:val="Appelnotedebasdep"/>
        </w:rPr>
        <w:footnoteRef/>
      </w:r>
      <w:r w:rsidRPr="00AB1352">
        <w:tab/>
      </w:r>
      <w:r w:rsidRPr="000F515A">
        <w:rPr>
          <w:spacing w:val="-2"/>
        </w:rPr>
        <w:t>Conformément au programme de travail du Comité des transports intérieurs pour la période 2016-2017 (ECE/TRANS/2016/28/Add.1 (9.2)).</w:t>
      </w:r>
    </w:p>
  </w:footnote>
  <w:footnote w:id="3">
    <w:p w:rsidR="00A84CF8" w:rsidRPr="00AB1352" w:rsidRDefault="00A84CF8" w:rsidP="000F515A">
      <w:pPr>
        <w:pStyle w:val="Notedebasdepage"/>
      </w:pPr>
      <w:r w:rsidRPr="00AB1352">
        <w:tab/>
      </w:r>
      <w:r w:rsidRPr="00750FE6">
        <w:rPr>
          <w:rStyle w:val="Appelnotedebasdep"/>
        </w:rPr>
        <w:footnoteRef/>
      </w:r>
      <w:r w:rsidRPr="00AB1352">
        <w:tab/>
        <w:t>Diffusé par l’Organisation intergouvernementale pour les transports internationaux ferroviaires (OTIF) sous la cote OTIF/RID/RC/2016/23.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F8" w:rsidRPr="00A84CF8" w:rsidRDefault="00A84CF8">
    <w:pPr>
      <w:pStyle w:val="En-tte"/>
    </w:pPr>
    <w:r>
      <w:t>ECE/TRANS/WP.15/AC.1/2016/23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F8" w:rsidRPr="00A84CF8" w:rsidRDefault="00A84CF8" w:rsidP="00A84CF8">
    <w:pPr>
      <w:pStyle w:val="En-tte"/>
      <w:jc w:val="right"/>
    </w:pPr>
    <w:r>
      <w:t>ECE/TRANS/WP.15/AC.1/2016/23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8A7651"/>
    <w:rsid w:val="00017F94"/>
    <w:rsid w:val="00023842"/>
    <w:rsid w:val="00025D41"/>
    <w:rsid w:val="000334F9"/>
    <w:rsid w:val="0007796D"/>
    <w:rsid w:val="000B7790"/>
    <w:rsid w:val="000F515A"/>
    <w:rsid w:val="00111F2F"/>
    <w:rsid w:val="0014365E"/>
    <w:rsid w:val="00143C66"/>
    <w:rsid w:val="00176178"/>
    <w:rsid w:val="001F525A"/>
    <w:rsid w:val="00223272"/>
    <w:rsid w:val="0024779E"/>
    <w:rsid w:val="00257168"/>
    <w:rsid w:val="00273623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E448C"/>
    <w:rsid w:val="007F20FA"/>
    <w:rsid w:val="0080684C"/>
    <w:rsid w:val="008645C4"/>
    <w:rsid w:val="00871C75"/>
    <w:rsid w:val="008776DC"/>
    <w:rsid w:val="008A7651"/>
    <w:rsid w:val="008E1E4B"/>
    <w:rsid w:val="009705C8"/>
    <w:rsid w:val="00993710"/>
    <w:rsid w:val="009C1CF4"/>
    <w:rsid w:val="009F6B74"/>
    <w:rsid w:val="00A30353"/>
    <w:rsid w:val="00A84CF8"/>
    <w:rsid w:val="00AC3823"/>
    <w:rsid w:val="00AE323C"/>
    <w:rsid w:val="00AF0CB5"/>
    <w:rsid w:val="00B00181"/>
    <w:rsid w:val="00B00B0D"/>
    <w:rsid w:val="00B765F7"/>
    <w:rsid w:val="00BA0CA9"/>
    <w:rsid w:val="00BA75E3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ECE/TRANS/WP.15/AC.1/2016/23</vt:lpstr>
    </vt:vector>
  </TitlesOfParts>
  <Company>DCM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ECE/TRANS/WP.15/AC.1/2016/23</dc:title>
  <dc:creator>Morin</dc:creator>
  <cp:lastModifiedBy>Maison</cp:lastModifiedBy>
  <cp:revision>2</cp:revision>
  <cp:lastPrinted>2016-07-28T07:26:00Z</cp:lastPrinted>
  <dcterms:created xsi:type="dcterms:W3CDTF">2016-07-28T13:41:00Z</dcterms:created>
  <dcterms:modified xsi:type="dcterms:W3CDTF">2016-07-28T13:41:00Z</dcterms:modified>
</cp:coreProperties>
</file>