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3749C2">
        <w:trPr>
          <w:trHeight w:hRule="exact" w:val="851"/>
        </w:trPr>
        <w:tc>
          <w:tcPr>
            <w:tcW w:w="1277" w:type="dxa"/>
            <w:tcBorders>
              <w:bottom w:val="single" w:sz="4" w:space="0" w:color="auto"/>
            </w:tcBorders>
          </w:tcPr>
          <w:p w:rsidR="003749C2" w:rsidRDefault="003749C2"/>
        </w:tc>
        <w:tc>
          <w:tcPr>
            <w:tcW w:w="2268" w:type="dxa"/>
            <w:tcBorders>
              <w:bottom w:val="single" w:sz="4" w:space="0" w:color="auto"/>
            </w:tcBorders>
            <w:vAlign w:val="bottom"/>
          </w:tcPr>
          <w:p w:rsidR="003749C2" w:rsidRDefault="003641EC">
            <w:pPr>
              <w:spacing w:after="80" w:line="300" w:lineRule="exact"/>
              <w:rPr>
                <w:sz w:val="28"/>
              </w:rPr>
            </w:pPr>
            <w:r>
              <w:rPr>
                <w:sz w:val="28"/>
              </w:rPr>
              <w:t>Nations Unies</w:t>
            </w:r>
          </w:p>
        </w:tc>
        <w:tc>
          <w:tcPr>
            <w:tcW w:w="6094" w:type="dxa"/>
            <w:gridSpan w:val="2"/>
            <w:tcBorders>
              <w:bottom w:val="single" w:sz="4" w:space="0" w:color="auto"/>
            </w:tcBorders>
            <w:vAlign w:val="bottom"/>
          </w:tcPr>
          <w:p w:rsidR="003749C2" w:rsidRDefault="003641EC">
            <w:pPr>
              <w:jc w:val="right"/>
            </w:pPr>
            <w:r>
              <w:rPr>
                <w:sz w:val="40"/>
              </w:rPr>
              <w:t>ECE</w:t>
            </w:r>
            <w:r>
              <w:t>/TRANS/WP.15/AC.1/2016</w:t>
            </w:r>
            <w:r w:rsidR="00B669F8">
              <w:t>/16</w:t>
            </w:r>
          </w:p>
        </w:tc>
      </w:tr>
      <w:tr w:rsidR="003749C2">
        <w:trPr>
          <w:trHeight w:hRule="exact" w:val="2835"/>
        </w:trPr>
        <w:tc>
          <w:tcPr>
            <w:tcW w:w="1276" w:type="dxa"/>
            <w:tcBorders>
              <w:top w:val="single" w:sz="4" w:space="0" w:color="auto"/>
              <w:bottom w:val="single" w:sz="12" w:space="0" w:color="auto"/>
            </w:tcBorders>
          </w:tcPr>
          <w:p w:rsidR="003749C2" w:rsidRDefault="003641EC">
            <w:pPr>
              <w:spacing w:before="120"/>
              <w:jc w:val="center"/>
            </w:pPr>
            <w:r>
              <w:rPr>
                <w:noProof/>
                <w:lang w:val="en-GB" w:eastAsia="en-GB"/>
              </w:rPr>
              <w:drawing>
                <wp:inline distT="0" distB="0" distL="0" distR="0">
                  <wp:extent cx="714375" cy="590550"/>
                  <wp:effectExtent l="0" t="0" r="9525" b="0"/>
                  <wp:docPr id="3" name="Pictur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rsidR="003749C2" w:rsidRDefault="003641EC">
            <w:pPr>
              <w:spacing w:before="120" w:line="420" w:lineRule="exact"/>
              <w:rPr>
                <w:b/>
                <w:sz w:val="40"/>
                <w:szCs w:val="40"/>
              </w:rPr>
            </w:pPr>
            <w:r>
              <w:rPr>
                <w:b/>
                <w:sz w:val="40"/>
                <w:szCs w:val="40"/>
              </w:rPr>
              <w:t>Conseil économique et social</w:t>
            </w:r>
          </w:p>
        </w:tc>
        <w:tc>
          <w:tcPr>
            <w:tcW w:w="2835" w:type="dxa"/>
            <w:tcBorders>
              <w:top w:val="single" w:sz="4" w:space="0" w:color="auto"/>
              <w:bottom w:val="single" w:sz="12" w:space="0" w:color="auto"/>
            </w:tcBorders>
          </w:tcPr>
          <w:p w:rsidR="003749C2" w:rsidRDefault="003641EC">
            <w:pPr>
              <w:spacing w:before="240"/>
            </w:pPr>
            <w:proofErr w:type="spellStart"/>
            <w:r>
              <w:t>Distr</w:t>
            </w:r>
            <w:proofErr w:type="spellEnd"/>
            <w:r>
              <w:t>. générale</w:t>
            </w:r>
          </w:p>
          <w:p w:rsidR="003749C2" w:rsidRDefault="00B669F8">
            <w:pPr>
              <w:spacing w:line="240" w:lineRule="exact"/>
            </w:pPr>
            <w:r>
              <w:t>23 décembre 2015</w:t>
            </w:r>
          </w:p>
          <w:p w:rsidR="003749C2" w:rsidRDefault="003749C2">
            <w:pPr>
              <w:spacing w:line="240" w:lineRule="exact"/>
            </w:pPr>
          </w:p>
          <w:p w:rsidR="003749C2" w:rsidRDefault="003641EC">
            <w:pPr>
              <w:spacing w:line="240" w:lineRule="exact"/>
            </w:pPr>
            <w:r>
              <w:t>Original: français</w:t>
            </w:r>
          </w:p>
        </w:tc>
      </w:tr>
    </w:tbl>
    <w:p w:rsidR="003749C2" w:rsidRDefault="003641EC">
      <w:pPr>
        <w:spacing w:before="120"/>
        <w:rPr>
          <w:b/>
          <w:sz w:val="28"/>
          <w:szCs w:val="28"/>
        </w:rPr>
      </w:pPr>
      <w:r>
        <w:rPr>
          <w:b/>
          <w:sz w:val="28"/>
          <w:szCs w:val="28"/>
        </w:rPr>
        <w:t>Commission économique pour l’Europe</w:t>
      </w:r>
    </w:p>
    <w:p w:rsidR="003749C2" w:rsidRDefault="003641EC">
      <w:pPr>
        <w:spacing w:before="120"/>
        <w:rPr>
          <w:sz w:val="28"/>
          <w:szCs w:val="28"/>
        </w:rPr>
      </w:pPr>
      <w:r>
        <w:rPr>
          <w:sz w:val="28"/>
          <w:szCs w:val="28"/>
        </w:rPr>
        <w:t>Comité des transports intérieurs</w:t>
      </w:r>
    </w:p>
    <w:p w:rsidR="003749C2" w:rsidRDefault="003641EC">
      <w:pPr>
        <w:spacing w:before="120"/>
        <w:rPr>
          <w:b/>
          <w:sz w:val="24"/>
          <w:szCs w:val="24"/>
        </w:rPr>
      </w:pPr>
      <w:r>
        <w:rPr>
          <w:b/>
          <w:sz w:val="24"/>
          <w:szCs w:val="24"/>
        </w:rPr>
        <w:t>Groupe de travail des transports de marchandises dangereuses</w:t>
      </w:r>
    </w:p>
    <w:p w:rsidR="003749C2" w:rsidRDefault="003641EC">
      <w:pPr>
        <w:spacing w:before="120"/>
        <w:rPr>
          <w:b/>
        </w:rPr>
      </w:pPr>
      <w:r>
        <w:rPr>
          <w:b/>
        </w:rPr>
        <w:t>Réunion commune de la Commission d’experts du RID et</w:t>
      </w:r>
      <w:r>
        <w:rPr>
          <w:b/>
        </w:rPr>
        <w:br/>
        <w:t>du Groupe de travail des transports de marchandises dangereuses</w:t>
      </w:r>
    </w:p>
    <w:p w:rsidR="003749C2" w:rsidRDefault="003641EC">
      <w:pPr>
        <w:suppressAutoHyphens w:val="0"/>
        <w:spacing w:line="240" w:lineRule="auto"/>
        <w:rPr>
          <w:lang w:eastAsia="fr-CH"/>
        </w:rPr>
      </w:pPr>
      <w:r>
        <w:t>Berne, 14-18 mars 2016</w:t>
      </w:r>
    </w:p>
    <w:p w:rsidR="003749C2" w:rsidRDefault="003641EC">
      <w:pPr>
        <w:rPr>
          <w:lang w:eastAsia="fr-CH"/>
        </w:rPr>
      </w:pPr>
      <w:r>
        <w:rPr>
          <w:lang w:eastAsia="fr-CH"/>
        </w:rPr>
        <w:t>Point 5 a) de l'ordre du jour provisoire</w:t>
      </w:r>
    </w:p>
    <w:p w:rsidR="003749C2" w:rsidRDefault="003641EC">
      <w:pPr>
        <w:rPr>
          <w:b/>
        </w:rPr>
      </w:pPr>
      <w:r>
        <w:rPr>
          <w:b/>
          <w:lang w:eastAsia="fr-CH"/>
        </w:rPr>
        <w:t>Propositions diverses d’amendements au RID/ADR/ADN</w:t>
      </w:r>
      <w:r>
        <w:rPr>
          <w:b/>
        </w:rPr>
        <w:t>:</w:t>
      </w:r>
    </w:p>
    <w:p w:rsidR="003749C2" w:rsidRPr="00B669F8" w:rsidRDefault="003641EC">
      <w:pPr>
        <w:rPr>
          <w:b/>
        </w:rPr>
      </w:pPr>
      <w:proofErr w:type="gramStart"/>
      <w:r w:rsidRPr="00B669F8">
        <w:rPr>
          <w:b/>
        </w:rPr>
        <w:t>questions</w:t>
      </w:r>
      <w:proofErr w:type="gramEnd"/>
      <w:r w:rsidRPr="00B669F8">
        <w:rPr>
          <w:b/>
        </w:rPr>
        <w:t xml:space="preserve"> en suspens</w:t>
      </w:r>
    </w:p>
    <w:p w:rsidR="003749C2" w:rsidRDefault="003641EC">
      <w:pPr>
        <w:pStyle w:val="HChG"/>
        <w:rPr>
          <w:rFonts w:eastAsia="Arial"/>
        </w:rPr>
      </w:pPr>
      <w:r>
        <w:tab/>
      </w:r>
      <w:r>
        <w:tab/>
        <w:t xml:space="preserve">Textes adoptés pour 2017- </w:t>
      </w:r>
      <w:r w:rsidR="00FF0D21">
        <w:t xml:space="preserve">1.1.3.2 et 1.1.3.3 et </w:t>
      </w:r>
      <w:r w:rsidR="001A22D1">
        <w:t xml:space="preserve">dispositions spéciales </w:t>
      </w:r>
      <w:r w:rsidR="00DC39BF">
        <w:t xml:space="preserve">363 </w:t>
      </w:r>
      <w:bookmarkStart w:id="0" w:name="_GoBack"/>
      <w:bookmarkEnd w:id="0"/>
      <w:r w:rsidR="001A22D1">
        <w:t>et</w:t>
      </w:r>
      <w:r>
        <w:t xml:space="preserve"> 666 </w:t>
      </w:r>
    </w:p>
    <w:p w:rsidR="003749C2" w:rsidRDefault="003641EC">
      <w:pPr>
        <w:pStyle w:val="H1G"/>
        <w:rPr>
          <w:rFonts w:eastAsia="Arial"/>
        </w:rPr>
      </w:pPr>
      <w:r>
        <w:rPr>
          <w:rFonts w:eastAsia="Arial"/>
          <w:lang w:val="fr-FR"/>
        </w:rPr>
        <w:tab/>
      </w:r>
      <w:r>
        <w:rPr>
          <w:rFonts w:eastAsia="Arial"/>
          <w:lang w:val="fr-FR"/>
        </w:rPr>
        <w:tab/>
        <w:t>Communication du Gouvernement de la Suisse</w:t>
      </w:r>
      <w:r w:rsidR="00B669F8" w:rsidRPr="00200441">
        <w:rPr>
          <w:rStyle w:val="FootnoteReference"/>
          <w:b w:val="0"/>
          <w:szCs w:val="18"/>
        </w:rPr>
        <w:footnoteReference w:id="2"/>
      </w:r>
      <w:r w:rsidR="00B669F8" w:rsidRPr="006E5117">
        <w:rPr>
          <w:b w:val="0"/>
          <w:sz w:val="18"/>
          <w:szCs w:val="18"/>
          <w:vertAlign w:val="superscript"/>
        </w:rPr>
        <w:t>,</w:t>
      </w:r>
      <w:r w:rsidR="00B669F8" w:rsidRPr="006E5117">
        <w:rPr>
          <w:b w:val="0"/>
          <w:sz w:val="18"/>
          <w:szCs w:val="18"/>
        </w:rPr>
        <w:t xml:space="preserve"> </w:t>
      </w:r>
      <w:r w:rsidR="00B669F8" w:rsidRPr="006E5117">
        <w:rPr>
          <w:rStyle w:val="FootnoteReference"/>
          <w:szCs w:val="18"/>
        </w:rPr>
        <w:footnoteReference w:id="3"/>
      </w:r>
    </w:p>
    <w:tbl>
      <w:tblPr>
        <w:tblW w:w="0" w:type="auto"/>
        <w:jc w:val="center"/>
        <w:tblBorders>
          <w:top w:val="single" w:sz="4" w:space="0" w:color="auto"/>
          <w:left w:val="single" w:sz="4" w:space="0" w:color="auto"/>
          <w:bottom w:val="single" w:sz="4" w:space="0" w:color="auto"/>
          <w:right w:val="single" w:sz="4" w:space="0" w:color="auto"/>
          <w:insideV w:val="single" w:sz="4" w:space="0" w:color="auto"/>
        </w:tblBorders>
        <w:tblCellMar>
          <w:left w:w="0" w:type="dxa"/>
          <w:right w:w="0" w:type="dxa"/>
        </w:tblCellMar>
        <w:tblLook w:val="01E0" w:firstRow="1" w:lastRow="1" w:firstColumn="1" w:lastColumn="1" w:noHBand="0" w:noVBand="0"/>
      </w:tblPr>
      <w:tblGrid>
        <w:gridCol w:w="9637"/>
      </w:tblGrid>
      <w:tr w:rsidR="003749C2">
        <w:trPr>
          <w:jc w:val="center"/>
        </w:trPr>
        <w:tc>
          <w:tcPr>
            <w:tcW w:w="9637" w:type="dxa"/>
            <w:shd w:val="clear" w:color="auto" w:fill="auto"/>
          </w:tcPr>
          <w:p w:rsidR="003749C2" w:rsidRDefault="003641EC">
            <w:pPr>
              <w:spacing w:before="240" w:after="120"/>
              <w:ind w:left="255"/>
              <w:rPr>
                <w:i/>
                <w:sz w:val="24"/>
              </w:rPr>
            </w:pPr>
            <w:r>
              <w:rPr>
                <w:i/>
                <w:sz w:val="24"/>
              </w:rPr>
              <w:t>Résumé</w:t>
            </w:r>
          </w:p>
        </w:tc>
      </w:tr>
      <w:tr w:rsidR="003749C2">
        <w:trPr>
          <w:jc w:val="center"/>
        </w:trPr>
        <w:tc>
          <w:tcPr>
            <w:tcW w:w="9637" w:type="dxa"/>
            <w:shd w:val="clear" w:color="auto" w:fill="auto"/>
          </w:tcPr>
          <w:p w:rsidR="003749C2" w:rsidRDefault="003641EC" w:rsidP="001A22D1">
            <w:pPr>
              <w:pStyle w:val="SingleTxtG"/>
              <w:tabs>
                <w:tab w:val="left" w:pos="3260"/>
              </w:tabs>
              <w:ind w:left="3260" w:hanging="2126"/>
            </w:pPr>
            <w:r>
              <w:rPr>
                <w:b/>
              </w:rPr>
              <w:t>Résumé analytique:</w:t>
            </w:r>
            <w:r>
              <w:rPr>
                <w:b/>
              </w:rPr>
              <w:tab/>
            </w:r>
            <w:r>
              <w:t xml:space="preserve">Il est nécessaire de clarifier les relations entre les différentes exemptions du 1.1.3 </w:t>
            </w:r>
            <w:r w:rsidR="001A22D1">
              <w:t xml:space="preserve">et des dispositions spéciales </w:t>
            </w:r>
            <w:r>
              <w:t>363 et 666 qui s’appliquent aux équipements des véhicules.</w:t>
            </w:r>
          </w:p>
        </w:tc>
      </w:tr>
      <w:tr w:rsidR="003749C2">
        <w:trPr>
          <w:jc w:val="center"/>
        </w:trPr>
        <w:tc>
          <w:tcPr>
            <w:tcW w:w="9637" w:type="dxa"/>
            <w:shd w:val="clear" w:color="auto" w:fill="auto"/>
          </w:tcPr>
          <w:p w:rsidR="003749C2" w:rsidRDefault="003641EC" w:rsidP="00E942B1">
            <w:pPr>
              <w:pStyle w:val="SingleTxtG"/>
              <w:tabs>
                <w:tab w:val="left" w:pos="3260"/>
              </w:tabs>
              <w:ind w:left="3260" w:hanging="2126"/>
            </w:pPr>
            <w:r>
              <w:rPr>
                <w:b/>
              </w:rPr>
              <w:t>Mesures à prendre:</w:t>
            </w:r>
            <w:r>
              <w:rPr>
                <w:b/>
              </w:rPr>
              <w:tab/>
            </w:r>
            <w:r>
              <w:t>Modifier les dispositions spéciales 363 et 666</w:t>
            </w:r>
            <w:r>
              <w:rPr>
                <w:rStyle w:val="SingleTxtGChar"/>
              </w:rPr>
              <w:t xml:space="preserve">. </w:t>
            </w:r>
            <w:r>
              <w:t xml:space="preserve">Ajouter une nouvelle disposition spéciale s'appliquant aux </w:t>
            </w:r>
            <w:r w:rsidR="00E942B1">
              <w:t>N</w:t>
            </w:r>
            <w:r>
              <w:t>os ONU 3166 et 3171.</w:t>
            </w:r>
          </w:p>
        </w:tc>
      </w:tr>
      <w:tr w:rsidR="003749C2">
        <w:trPr>
          <w:jc w:val="center"/>
        </w:trPr>
        <w:tc>
          <w:tcPr>
            <w:tcW w:w="9637" w:type="dxa"/>
            <w:shd w:val="clear" w:color="auto" w:fill="auto"/>
          </w:tcPr>
          <w:p w:rsidR="003749C2" w:rsidRDefault="003641EC">
            <w:pPr>
              <w:pStyle w:val="SingleTxtG"/>
              <w:tabs>
                <w:tab w:val="left" w:pos="3260"/>
              </w:tabs>
              <w:ind w:left="3260" w:hanging="2126"/>
            </w:pPr>
            <w:r>
              <w:rPr>
                <w:b/>
              </w:rPr>
              <w:t>Documents de référence:</w:t>
            </w:r>
            <w:r>
              <w:rPr>
                <w:b/>
              </w:rPr>
              <w:tab/>
            </w:r>
            <w:r>
              <w:rPr>
                <w:lang w:val="fr-FR"/>
              </w:rPr>
              <w:t>ECE/TRANS/WP.15/AC.1/140/Add.1, ECE/TRANS/WP.15/230</w:t>
            </w:r>
            <w:r>
              <w:t xml:space="preserve">, documents informels INF.16 et INF.18 </w:t>
            </w:r>
            <w:r>
              <w:rPr>
                <w:lang w:val="fr-FR"/>
              </w:rPr>
              <w:t xml:space="preserve">de la quatre-vingt-dix-neuvième session </w:t>
            </w:r>
            <w:r>
              <w:t>du WP.15 et  INF.35 de la Réunion commune de septembre 2015.</w:t>
            </w:r>
          </w:p>
        </w:tc>
      </w:tr>
      <w:tr w:rsidR="003749C2">
        <w:trPr>
          <w:jc w:val="center"/>
        </w:trPr>
        <w:tc>
          <w:tcPr>
            <w:tcW w:w="9637" w:type="dxa"/>
            <w:shd w:val="clear" w:color="auto" w:fill="auto"/>
          </w:tcPr>
          <w:p w:rsidR="003749C2" w:rsidRDefault="003749C2"/>
        </w:tc>
      </w:tr>
    </w:tbl>
    <w:p w:rsidR="003749C2" w:rsidRDefault="003749C2">
      <w:pPr>
        <w:suppressAutoHyphens w:val="0"/>
        <w:autoSpaceDE w:val="0"/>
        <w:autoSpaceDN w:val="0"/>
        <w:adjustRightInd w:val="0"/>
        <w:spacing w:line="240" w:lineRule="auto"/>
      </w:pPr>
    </w:p>
    <w:p w:rsidR="003749C2" w:rsidRDefault="00566F6F">
      <w:pPr>
        <w:pStyle w:val="HChG"/>
      </w:pPr>
      <w:r>
        <w:lastRenderedPageBreak/>
        <w:tab/>
      </w:r>
      <w:r>
        <w:tab/>
      </w:r>
      <w:r w:rsidR="003641EC">
        <w:t>Introduction</w:t>
      </w:r>
    </w:p>
    <w:p w:rsidR="003749C2" w:rsidRDefault="003641EC">
      <w:pPr>
        <w:pStyle w:val="SingleTxtG"/>
        <w:rPr>
          <w:lang w:val="fr-FR"/>
        </w:rPr>
      </w:pPr>
      <w:r>
        <w:t>1.</w:t>
      </w:r>
      <w:r>
        <w:tab/>
        <w:t xml:space="preserve">Au cours de la Réunion commune de septembre 2015 le document </w:t>
      </w:r>
      <w:r w:rsidR="001A22D1">
        <w:t xml:space="preserve">informel </w:t>
      </w:r>
      <w:r>
        <w:t xml:space="preserve">INF.35 relevait certaines difficultés d’interprétation et d’application des nouvelles dispositions proposées dans le document </w:t>
      </w:r>
      <w:r w:rsidR="001A22D1">
        <w:t xml:space="preserve">informel </w:t>
      </w:r>
      <w:r>
        <w:t>INF.12 de la même session. Parmi celles-ci les points suivants ont été notés par la suite par le</w:t>
      </w:r>
      <w:r>
        <w:rPr>
          <w:lang w:val="fr-FR"/>
        </w:rPr>
        <w:t xml:space="preserve"> Groupe de travail des transports de marchandises dangereuses (WP.15)</w:t>
      </w:r>
      <w:r>
        <w:t xml:space="preserve"> à sa réunion de novembre (paras. 21 à 24 du rapport </w:t>
      </w:r>
      <w:r>
        <w:rPr>
          <w:lang w:val="fr-FR"/>
        </w:rPr>
        <w:t>ECE/TRANS/WP.15/230):</w:t>
      </w:r>
    </w:p>
    <w:p w:rsidR="003749C2" w:rsidRDefault="003641EC">
      <w:pPr>
        <w:pStyle w:val="SingleTxtG"/>
        <w:rPr>
          <w:lang w:val="fr-FR"/>
        </w:rPr>
      </w:pPr>
      <w:r>
        <w:rPr>
          <w:lang w:val="fr-FR"/>
        </w:rPr>
        <w:t>-</w:t>
      </w:r>
      <w:r>
        <w:rPr>
          <w:lang w:val="fr-FR"/>
        </w:rPr>
        <w:tab/>
        <w:t>les éventuelles contradictions entre les exemptions restant applicables au 1.1.3.2 et 1.1.3.7 et les nouvelles dispositions spéciales introduites;</w:t>
      </w:r>
    </w:p>
    <w:p w:rsidR="003749C2" w:rsidRDefault="003641EC">
      <w:pPr>
        <w:pStyle w:val="SingleTxtG"/>
        <w:rPr>
          <w:lang w:val="fr-FR"/>
        </w:rPr>
      </w:pPr>
      <w:r>
        <w:rPr>
          <w:lang w:val="fr-FR"/>
        </w:rPr>
        <w:t>-</w:t>
      </w:r>
      <w:r>
        <w:rPr>
          <w:lang w:val="fr-FR"/>
        </w:rPr>
        <w:tab/>
        <w:t xml:space="preserve">les difficultés de mise en œuvre des critères d’exemption du paragraphe g) vi) de la disposition spéciale 363; </w:t>
      </w:r>
    </w:p>
    <w:p w:rsidR="003749C2" w:rsidRDefault="003641EC">
      <w:pPr>
        <w:pStyle w:val="SingleTxtG"/>
        <w:rPr>
          <w:lang w:val="fr-FR"/>
        </w:rPr>
      </w:pPr>
      <w:r>
        <w:rPr>
          <w:lang w:val="fr-FR"/>
        </w:rPr>
        <w:t>Compte tenu que ces points concernent également les autres modes de transport, la Réunion commune est invitée à se prononcer sur ceux-ci.</w:t>
      </w:r>
    </w:p>
    <w:p w:rsidR="003749C2" w:rsidRDefault="00566F6F">
      <w:pPr>
        <w:pStyle w:val="HChG"/>
      </w:pPr>
      <w:r>
        <w:tab/>
      </w:r>
      <w:r>
        <w:tab/>
      </w:r>
      <w:r w:rsidR="003641EC">
        <w:t>Champs d’applications respectifs des dispositions spéciales 363, 666 et exemptions du 1.1.3.3, 1.1.3.2 et 1.1.3.7</w:t>
      </w:r>
    </w:p>
    <w:p w:rsidR="003749C2" w:rsidRDefault="003641EC">
      <w:pPr>
        <w:pStyle w:val="ParNoG"/>
        <w:numPr>
          <w:ilvl w:val="0"/>
          <w:numId w:val="0"/>
        </w:numPr>
        <w:ind w:left="1134"/>
      </w:pPr>
      <w:r>
        <w:rPr>
          <w:lang w:val="fr-FR"/>
        </w:rPr>
        <w:t>2.</w:t>
      </w:r>
      <w:r>
        <w:rPr>
          <w:lang w:val="fr-FR"/>
        </w:rPr>
        <w:tab/>
      </w:r>
      <w:r>
        <w:t xml:space="preserve">Afin de bien distinguer le champ d’application de la </w:t>
      </w:r>
      <w:r w:rsidR="001A22D1">
        <w:t xml:space="preserve">disposition spéciale </w:t>
      </w:r>
      <w:r>
        <w:t>363 de celui de l’exemption pour les équi</w:t>
      </w:r>
      <w:r w:rsidR="00566F6F">
        <w:t>pements de véhicules qui sont «</w:t>
      </w:r>
      <w:r>
        <w:t xml:space="preserve">destinés à une </w:t>
      </w:r>
      <w:r w:rsidR="00566F6F">
        <w:t>utilisation durant le transport</w:t>
      </w:r>
      <w:r>
        <w:t xml:space="preserve">» la Réunion commune a décidé d'introduire une NOTE d’explication après le premier paragraphe dans la </w:t>
      </w:r>
      <w:r w:rsidR="001A22D1">
        <w:t xml:space="preserve">disposition spéciale </w:t>
      </w:r>
      <w:r>
        <w:t>363:</w:t>
      </w:r>
    </w:p>
    <w:p w:rsidR="003749C2" w:rsidRDefault="00566F6F">
      <w:pPr>
        <w:pStyle w:val="ParNoG"/>
        <w:numPr>
          <w:ilvl w:val="0"/>
          <w:numId w:val="0"/>
        </w:numPr>
        <w:ind w:left="1134"/>
      </w:pPr>
      <w:r>
        <w:rPr>
          <w:b/>
          <w:i/>
          <w:lang w:val="fr-FR"/>
        </w:rPr>
        <w:t>«</w:t>
      </w:r>
      <w:r w:rsidR="003641EC">
        <w:rPr>
          <w:b/>
          <w:i/>
          <w:lang w:val="fr-FR"/>
        </w:rPr>
        <w:t>NOTA:</w:t>
      </w:r>
      <w:r w:rsidR="003641EC">
        <w:rPr>
          <w:i/>
          <w:lang w:val="fr-FR"/>
        </w:rPr>
        <w:t xml:space="preserve"> </w:t>
      </w:r>
      <w:r w:rsidR="003641EC">
        <w:rPr>
          <w:i/>
          <w:lang w:val="fr-FR"/>
        </w:rPr>
        <w:tab/>
        <w:t>Cette rubrique ne s’applique pas au</w:t>
      </w:r>
      <w:r>
        <w:rPr>
          <w:i/>
          <w:lang w:val="fr-FR"/>
        </w:rPr>
        <w:t>x équipements visés au 1.1.3.3.</w:t>
      </w:r>
      <w:r w:rsidR="003641EC">
        <w:rPr>
          <w:i/>
          <w:lang w:val="fr-FR"/>
        </w:rPr>
        <w:t>»</w:t>
      </w:r>
    </w:p>
    <w:p w:rsidR="003749C2" w:rsidRDefault="003641EC">
      <w:pPr>
        <w:pStyle w:val="SingleTxtG"/>
      </w:pPr>
      <w:r>
        <w:t>3.</w:t>
      </w:r>
      <w:r>
        <w:tab/>
        <w:t xml:space="preserve">Etant donné que dans les textes prévus pour 2017, la </w:t>
      </w:r>
      <w:r w:rsidR="001A22D1">
        <w:t xml:space="preserve">disposition spéciale </w:t>
      </w:r>
      <w:r>
        <w:t xml:space="preserve">363 n’est plus assignée spécifiquement aux combustibles liquides des numéros ONU </w:t>
      </w:r>
      <w:r>
        <w:rPr>
          <w:iCs/>
          <w:lang w:val="fr-FR"/>
        </w:rPr>
        <w:t>1202, 1203, 1223, 1268, 1863 et 3475 mais à des numéros ONU plus généraux</w:t>
      </w:r>
      <w:r>
        <w:t xml:space="preserve"> (3528, 3529 et 3530) qui concernent les </w:t>
      </w:r>
      <w:r>
        <w:rPr>
          <w:sz w:val="18"/>
          <w:szCs w:val="18"/>
          <w:lang w:val="fr-FR"/>
        </w:rPr>
        <w:t xml:space="preserve">MOTEURS À COMBUSTION INTERNE ou </w:t>
      </w:r>
      <w:r>
        <w:rPr>
          <w:sz w:val="18"/>
          <w:szCs w:val="18"/>
        </w:rPr>
        <w:t>MACHINES À COMBUSTION INTERNE</w:t>
      </w:r>
      <w:r>
        <w:t xml:space="preserve"> contenant différents types de combustibles (liquides inflammables, gaz et matières dangereuses pour l’environnement), il semble nécessaire que </w:t>
      </w:r>
      <w:r w:rsidR="001A22D1">
        <w:t xml:space="preserve">le NOTA </w:t>
      </w:r>
      <w:r>
        <w:t xml:space="preserve">en question précise également la relation de la </w:t>
      </w:r>
      <w:r w:rsidR="001A22D1">
        <w:t xml:space="preserve">disposition spéciale </w:t>
      </w:r>
      <w:r>
        <w:t>363 vis-à-vis de l’exemption pour les équipements de véhicules fonctionnant avec des gaz que l’on trouve au</w:t>
      </w:r>
      <w:r w:rsidR="00A12279">
        <w:t xml:space="preserve"> 1.1.3.2 a), d) et e) (remarque</w:t>
      </w:r>
      <w:r>
        <w:t xml:space="preserve">: dans les textes adoptés pour 2017 le 1.1.3.2 b) a été transféré dans la </w:t>
      </w:r>
      <w:r w:rsidR="001A22D1">
        <w:t xml:space="preserve">disposition spéciale </w:t>
      </w:r>
      <w:r>
        <w:t>666 b)).</w:t>
      </w:r>
    </w:p>
    <w:p w:rsidR="003749C2" w:rsidRDefault="003641EC">
      <w:pPr>
        <w:pStyle w:val="SingleTxtG"/>
      </w:pPr>
      <w:r>
        <w:t>4.</w:t>
      </w:r>
      <w:r>
        <w:tab/>
      </w:r>
      <w:r w:rsidR="001A22D1">
        <w:t>A l’alinéa f) de la disposition spéciale 363</w:t>
      </w:r>
      <w:r>
        <w:t xml:space="preserve"> pour 2017 il est prescrit que les piles au lithium doivent satisfaire aux prescriptions du 2.2.9.1.7. On devrait également clarifier que cette exigence n’est pas applicable aux équipements qui sont destinés à une utilisation durant le transport, à savoir ceux exemptés selon le 1.1.3.7. Pour cette raison la référence au 1.1.3.7 devrait également figurer dans </w:t>
      </w:r>
      <w:r w:rsidR="001A22D1">
        <w:t>le NOTA</w:t>
      </w:r>
      <w:r>
        <w:t xml:space="preserve"> citée précédemment.</w:t>
      </w:r>
    </w:p>
    <w:p w:rsidR="003749C2" w:rsidRDefault="003641EC" w:rsidP="00566F6F">
      <w:pPr>
        <w:pStyle w:val="H1G"/>
      </w:pPr>
      <w:r>
        <w:tab/>
      </w:r>
      <w:r>
        <w:tab/>
        <w:t>Proposition 1</w:t>
      </w:r>
    </w:p>
    <w:p w:rsidR="003749C2" w:rsidRDefault="003641EC">
      <w:pPr>
        <w:pStyle w:val="SingleTxtG"/>
      </w:pPr>
      <w:r>
        <w:t xml:space="preserve">Dans </w:t>
      </w:r>
      <w:r w:rsidR="001A22D1">
        <w:t>le NOTA</w:t>
      </w:r>
      <w:r>
        <w:t xml:space="preserve"> après le premier parag</w:t>
      </w:r>
      <w:r w:rsidR="00566F6F">
        <w:t xml:space="preserve">raphe de la </w:t>
      </w:r>
      <w:r w:rsidR="001A22D1">
        <w:rPr>
          <w:lang w:val="fr-FR"/>
        </w:rPr>
        <w:t xml:space="preserve">disposition spéciale </w:t>
      </w:r>
      <w:r w:rsidR="00566F6F">
        <w:t>363, remp</w:t>
      </w:r>
      <w:r w:rsidR="001A22D1">
        <w:t xml:space="preserve">lacer </w:t>
      </w:r>
      <w:r w:rsidR="00566F6F">
        <w:t>«1.1.3.3» par «</w:t>
      </w:r>
      <w:r>
        <w:t>1.1.3.2 a</w:t>
      </w:r>
      <w:r w:rsidR="00566F6F">
        <w:t>), d) et e), 1.1.3.3 et 1.1.3.7</w:t>
      </w:r>
      <w:r>
        <w:t>».</w:t>
      </w:r>
    </w:p>
    <w:p w:rsidR="003749C2" w:rsidRDefault="003641EC">
      <w:pPr>
        <w:pStyle w:val="SingleTxtG"/>
      </w:pPr>
      <w:r>
        <w:t>5.</w:t>
      </w:r>
      <w:r>
        <w:tab/>
        <w:t xml:space="preserve">Le texte d’introduction de la </w:t>
      </w:r>
      <w:r w:rsidR="001A22D1">
        <w:rPr>
          <w:lang w:val="fr-FR"/>
        </w:rPr>
        <w:t>disposition spéciale</w:t>
      </w:r>
      <w:r w:rsidR="00566F6F">
        <w:t xml:space="preserve"> 666 pour 2017 </w:t>
      </w:r>
      <w:r w:rsidR="001A22D1">
        <w:t>se lit comme suit</w:t>
      </w:r>
      <w:r>
        <w:t>:</w:t>
      </w:r>
    </w:p>
    <w:p w:rsidR="003749C2" w:rsidRDefault="003641EC">
      <w:pPr>
        <w:spacing w:after="120"/>
        <w:ind w:left="1134" w:right="1134"/>
        <w:jc w:val="both"/>
        <w:rPr>
          <w:lang w:val="fr-FR"/>
        </w:rPr>
      </w:pPr>
      <w:r>
        <w:t>«666</w:t>
      </w:r>
      <w:r>
        <w:tab/>
      </w:r>
      <w:r>
        <w:rPr>
          <w:lang w:val="fr-FR"/>
        </w:rPr>
        <w:t xml:space="preserve">Les véhicules affectés au Nos ONU 3166 ou 3171 et les équipements mus par des accumulateurs affectés au No ONU 3171 conformément aux dispositions spéciales 240, 312 et 385 ainsi que les marchandises dangereuses qu'ils contiennent qui sont nécessaires à </w:t>
      </w:r>
      <w:r>
        <w:rPr>
          <w:lang w:val="fr-FR"/>
        </w:rPr>
        <w:lastRenderedPageBreak/>
        <w:t>leur fonctionnement ou au fonctionnement de leur équipement, transportés en tant que chargement, ne sont soumises à aucune autre disposition de l’ADR, à condition que les conditi</w:t>
      </w:r>
      <w:r w:rsidR="00566F6F">
        <w:rPr>
          <w:lang w:val="fr-FR"/>
        </w:rPr>
        <w:t>ons suivantes soient remplies:…</w:t>
      </w:r>
      <w:r>
        <w:rPr>
          <w:lang w:val="fr-FR"/>
        </w:rPr>
        <w:t>»</w:t>
      </w:r>
    </w:p>
    <w:p w:rsidR="003749C2" w:rsidRDefault="003641EC">
      <w:pPr>
        <w:pStyle w:val="SingleTxtG"/>
        <w:rPr>
          <w:lang w:val="fr-FR"/>
        </w:rPr>
      </w:pPr>
      <w:r>
        <w:rPr>
          <w:lang w:val="fr-FR"/>
        </w:rPr>
        <w:t>Nous sommes d’avis qu’une distinction plus claire ent</w:t>
      </w:r>
      <w:r w:rsidR="00566F6F">
        <w:rPr>
          <w:lang w:val="fr-FR"/>
        </w:rPr>
        <w:t>re l’équipement d’un véhicule «</w:t>
      </w:r>
      <w:r>
        <w:rPr>
          <w:lang w:val="fr-FR"/>
        </w:rPr>
        <w:t xml:space="preserve">destiné à une </w:t>
      </w:r>
      <w:r w:rsidR="004E7FF5">
        <w:rPr>
          <w:lang w:val="fr-FR"/>
        </w:rPr>
        <w:t>utilisation durant le transport</w:t>
      </w:r>
      <w:r>
        <w:rPr>
          <w:lang w:val="fr-FR"/>
        </w:rPr>
        <w:t xml:space="preserve">» auquel la </w:t>
      </w:r>
      <w:r w:rsidR="001A22D1">
        <w:rPr>
          <w:lang w:val="fr-FR"/>
        </w:rPr>
        <w:t xml:space="preserve">disposition spéciale </w:t>
      </w:r>
      <w:r>
        <w:rPr>
          <w:lang w:val="fr-FR"/>
        </w:rPr>
        <w:t xml:space="preserve">666 est applicable et l’équipement qui n’est pas destiné à une utilisation durant le transport, auquel la </w:t>
      </w:r>
      <w:r w:rsidR="001A22D1">
        <w:rPr>
          <w:lang w:val="fr-FR"/>
        </w:rPr>
        <w:t xml:space="preserve">disposition spéciale </w:t>
      </w:r>
      <w:r>
        <w:rPr>
          <w:lang w:val="fr-FR"/>
        </w:rPr>
        <w:t xml:space="preserve">363 s’adresse, devrait être </w:t>
      </w:r>
      <w:proofErr w:type="gramStart"/>
      <w:r>
        <w:rPr>
          <w:lang w:val="fr-FR"/>
        </w:rPr>
        <w:t>introduite</w:t>
      </w:r>
      <w:proofErr w:type="gramEnd"/>
      <w:r>
        <w:rPr>
          <w:lang w:val="fr-FR"/>
        </w:rPr>
        <w:t xml:space="preserve"> dans les nouvelles dispositions. </w:t>
      </w:r>
    </w:p>
    <w:p w:rsidR="003749C2" w:rsidRDefault="003641EC">
      <w:pPr>
        <w:pStyle w:val="SingleTxtG"/>
        <w:rPr>
          <w:lang w:val="fr-FR"/>
        </w:rPr>
      </w:pPr>
      <w:r>
        <w:rPr>
          <w:lang w:val="fr-FR"/>
        </w:rPr>
        <w:t>6.</w:t>
      </w:r>
      <w:r>
        <w:rPr>
          <w:lang w:val="fr-FR"/>
        </w:rPr>
        <w:tab/>
        <w:t xml:space="preserve">Dans l’annexe au présent document on trouve cinq exemples de remorques, pour lesquels il est difficile de distinguer si c'est la </w:t>
      </w:r>
      <w:r w:rsidR="001A22D1">
        <w:rPr>
          <w:lang w:val="fr-FR"/>
        </w:rPr>
        <w:t xml:space="preserve">disposition spéciale </w:t>
      </w:r>
      <w:r>
        <w:rPr>
          <w:lang w:val="fr-FR"/>
        </w:rPr>
        <w:t xml:space="preserve">363 ou la </w:t>
      </w:r>
      <w:r w:rsidR="001A22D1">
        <w:rPr>
          <w:lang w:val="fr-FR"/>
        </w:rPr>
        <w:t xml:space="preserve">disposition spéciale </w:t>
      </w:r>
      <w:r>
        <w:rPr>
          <w:lang w:val="fr-FR"/>
        </w:rPr>
        <w:t xml:space="preserve">666 qui s'appliquera à partir de 2017. Selon les textes en vigueur jusqu’au 31 décembre 2016, les exemples 1 à 3 ne peuvent pas être exemptés selon le 1.1.3.3 car ces équipements ne sont jamais destinés à une utilisation durant le transport et ne peuvent donc être exemptés que selon la </w:t>
      </w:r>
      <w:r w:rsidR="001A22D1">
        <w:rPr>
          <w:lang w:val="fr-FR"/>
        </w:rPr>
        <w:t xml:space="preserve">disposition spéciale </w:t>
      </w:r>
      <w:r>
        <w:rPr>
          <w:lang w:val="fr-FR"/>
        </w:rPr>
        <w:t>363. Tandis que les exemples 4 et 5 ne peuvent être exemptés que par le 1.1.3.3 car ils sont destinés à une utilisation durant le transport. Avec les textes adoptés pour 2017 cette distinctio</w:t>
      </w:r>
      <w:r w:rsidR="00F057E3">
        <w:rPr>
          <w:lang w:val="fr-FR"/>
        </w:rPr>
        <w:t xml:space="preserve">n est en partie obtenue grâce </w:t>
      </w:r>
      <w:r w:rsidR="001A22D1">
        <w:rPr>
          <w:lang w:val="fr-FR"/>
        </w:rPr>
        <w:t>au NOTA</w:t>
      </w:r>
      <w:r>
        <w:rPr>
          <w:lang w:val="fr-FR"/>
        </w:rPr>
        <w:t xml:space="preserve"> mais pas d’une manière suffisamment claire pour ce qui est de la distinction entre l’équipement visé dans la </w:t>
      </w:r>
      <w:r w:rsidR="001A22D1">
        <w:rPr>
          <w:lang w:val="fr-FR"/>
        </w:rPr>
        <w:t xml:space="preserve">disposition spéciale </w:t>
      </w:r>
      <w:r>
        <w:rPr>
          <w:lang w:val="fr-FR"/>
        </w:rPr>
        <w:t xml:space="preserve">666 et celui de la </w:t>
      </w:r>
      <w:r w:rsidR="001A22D1">
        <w:rPr>
          <w:lang w:val="fr-FR"/>
        </w:rPr>
        <w:t xml:space="preserve">disposition spéciale </w:t>
      </w:r>
      <w:r>
        <w:rPr>
          <w:lang w:val="fr-FR"/>
        </w:rPr>
        <w:t xml:space="preserve">363. Ainsi on pourrait interpréter les exemples 1 à 3 comme pouvant être soumis aussi à la </w:t>
      </w:r>
      <w:r w:rsidR="001A22D1">
        <w:rPr>
          <w:lang w:val="fr-FR"/>
        </w:rPr>
        <w:t xml:space="preserve">disposition spéciale </w:t>
      </w:r>
      <w:r>
        <w:rPr>
          <w:lang w:val="fr-FR"/>
        </w:rPr>
        <w:t xml:space="preserve">666 et non uniquement à la </w:t>
      </w:r>
      <w:r w:rsidR="001A22D1">
        <w:rPr>
          <w:lang w:val="fr-FR"/>
        </w:rPr>
        <w:t xml:space="preserve">disposition spéciale </w:t>
      </w:r>
      <w:r>
        <w:rPr>
          <w:lang w:val="fr-FR"/>
        </w:rPr>
        <w:t xml:space="preserve">363. A l’inverse, les exemples 4 et 5 pourraient de manière erronée être soumis à la </w:t>
      </w:r>
      <w:r w:rsidR="001A22D1">
        <w:rPr>
          <w:lang w:val="fr-FR"/>
        </w:rPr>
        <w:t xml:space="preserve">disposition spéciale </w:t>
      </w:r>
      <w:r>
        <w:rPr>
          <w:lang w:val="fr-FR"/>
        </w:rPr>
        <w:t>363 dans les cas où ils ne sont pas en fonctionnement durant un trajet donné, comme par exemple au cours d’un dépannage ou d’un transbordement sur une navette ferroviaire pour le passage de tunnels.</w:t>
      </w:r>
    </w:p>
    <w:p w:rsidR="003749C2" w:rsidRDefault="003641EC">
      <w:pPr>
        <w:pStyle w:val="SingleTxtG"/>
        <w:rPr>
          <w:lang w:val="fr-FR"/>
        </w:rPr>
      </w:pPr>
      <w:r>
        <w:rPr>
          <w:lang w:val="fr-FR"/>
        </w:rPr>
        <w:t>7.</w:t>
      </w:r>
      <w:r>
        <w:rPr>
          <w:lang w:val="fr-FR"/>
        </w:rPr>
        <w:tab/>
        <w:t xml:space="preserve">En outre, il faudrait par la même occasion pallier à la difficulté constatée durant la Réunion commune de septembre 2015 d’exempter les remorques selon la </w:t>
      </w:r>
      <w:r w:rsidR="001A22D1">
        <w:rPr>
          <w:lang w:val="fr-FR"/>
        </w:rPr>
        <w:t xml:space="preserve">disposition spéciale </w:t>
      </w:r>
      <w:r>
        <w:rPr>
          <w:lang w:val="fr-FR"/>
        </w:rPr>
        <w:t>666, difficulté qui provient des textes du Règlement type, et qui a conduit à l’adoption de la modi</w:t>
      </w:r>
      <w:r w:rsidR="00566F6F">
        <w:rPr>
          <w:lang w:val="fr-FR"/>
        </w:rPr>
        <w:t>fication du 1.1.3.3 a) suivante</w:t>
      </w:r>
      <w:r>
        <w:rPr>
          <w:lang w:val="fr-FR"/>
        </w:rPr>
        <w:t xml:space="preserve">: </w:t>
      </w:r>
    </w:p>
    <w:p w:rsidR="003749C2" w:rsidRDefault="00566F6F">
      <w:pPr>
        <w:spacing w:after="120"/>
        <w:ind w:left="1134" w:right="1134"/>
        <w:jc w:val="both"/>
      </w:pPr>
      <w:r>
        <w:t>«</w:t>
      </w:r>
      <w:r w:rsidR="003641EC">
        <w:t>1.1.3.3</w:t>
      </w:r>
      <w:r w:rsidR="003641EC">
        <w:tab/>
        <w:t>À l’alinéa a), dans le troisième paragraphe, à la fin de la troisième phrase, ajouter: « indépendamment du fait que la remorque est remorquée ou transportée sur un autre véhicule » (version issue de la session de novembre du WP.15).</w:t>
      </w:r>
    </w:p>
    <w:p w:rsidR="003749C2" w:rsidRDefault="003641EC">
      <w:pPr>
        <w:pStyle w:val="SingleTxtG"/>
      </w:pPr>
      <w:r>
        <w:t xml:space="preserve">Cet ajout s’est avéré nécessaire faute de quoi ces remorques ne pouvaient plus être exemptées des dispositions du RID/ADR/ADN car selon la définition de véhicule qui figure dans la nouvelle </w:t>
      </w:r>
      <w:r w:rsidR="001A22D1">
        <w:rPr>
          <w:lang w:val="fr-FR"/>
        </w:rPr>
        <w:t xml:space="preserve">disposition spéciale </w:t>
      </w:r>
      <w:r>
        <w:t xml:space="preserve">385, les véhicules de la rubrique ONU 3166 concernés par la </w:t>
      </w:r>
      <w:r w:rsidR="001A22D1">
        <w:rPr>
          <w:lang w:val="fr-FR"/>
        </w:rPr>
        <w:t xml:space="preserve">disposition spéciale </w:t>
      </w:r>
      <w:r>
        <w:t>666 son</w:t>
      </w:r>
      <w:r w:rsidR="00566F6F">
        <w:t>t des «appareils autopropulsés</w:t>
      </w:r>
      <w:r>
        <w:t xml:space="preserve">». Ce qui n’est évidemment pas le cas des remorques. </w:t>
      </w:r>
    </w:p>
    <w:p w:rsidR="003749C2" w:rsidRDefault="003641EC">
      <w:pPr>
        <w:pStyle w:val="SingleTxtG"/>
      </w:pPr>
      <w:r>
        <w:t>8.</w:t>
      </w:r>
      <w:r>
        <w:tab/>
        <w:t xml:space="preserve">Les mêmes problèmes se retrouvent dans le cas des remorques fonctionnant avec des moteurs électriques et les </w:t>
      </w:r>
      <w:r w:rsidR="00F057E3">
        <w:t xml:space="preserve">dispositions spéciales </w:t>
      </w:r>
      <w:r>
        <w:t>240 et 666.</w:t>
      </w:r>
    </w:p>
    <w:p w:rsidR="003749C2" w:rsidRDefault="003641EC">
      <w:pPr>
        <w:pStyle w:val="SingleTxtG"/>
      </w:pPr>
      <w:r>
        <w:t>9.</w:t>
      </w:r>
      <w:r>
        <w:tab/>
        <w:t xml:space="preserve">Afin d’éviter des confusions telle que celles décrites et de pallier au problème mentionné du champ d’application pour les remorques de la </w:t>
      </w:r>
      <w:r w:rsidR="001A22D1">
        <w:rPr>
          <w:lang w:val="fr-FR"/>
        </w:rPr>
        <w:t xml:space="preserve">disposition spéciale </w:t>
      </w:r>
      <w:r>
        <w:t xml:space="preserve">666, nous proposons d’introduire dans la première phrase de la </w:t>
      </w:r>
      <w:r w:rsidR="001A22D1">
        <w:rPr>
          <w:lang w:val="fr-FR"/>
        </w:rPr>
        <w:t xml:space="preserve">disposition spéciale </w:t>
      </w:r>
      <w:r>
        <w:t>666 la référence à l’</w:t>
      </w:r>
      <w:r w:rsidR="00A12279">
        <w:t>utilisation durant le transport</w:t>
      </w:r>
      <w:r>
        <w:t>:</w:t>
      </w:r>
    </w:p>
    <w:p w:rsidR="003749C2" w:rsidRDefault="003641EC" w:rsidP="00566F6F">
      <w:pPr>
        <w:pStyle w:val="H1G"/>
      </w:pPr>
      <w:r>
        <w:tab/>
      </w:r>
      <w:r>
        <w:tab/>
        <w:t xml:space="preserve">Proposition 2 </w:t>
      </w:r>
    </w:p>
    <w:p w:rsidR="003749C2" w:rsidRDefault="003641EC">
      <w:pPr>
        <w:spacing w:after="120"/>
        <w:ind w:left="1134" w:right="1134"/>
        <w:jc w:val="both"/>
      </w:pPr>
      <w:r>
        <w:t xml:space="preserve">Modifier le premier paragraphe de la </w:t>
      </w:r>
      <w:r w:rsidR="001A22D1">
        <w:rPr>
          <w:lang w:val="fr-FR"/>
        </w:rPr>
        <w:t xml:space="preserve">disposition spéciale </w:t>
      </w:r>
      <w:r>
        <w:t>666 comme suit (le nouveau texte apparaît en gras et souligné):</w:t>
      </w:r>
    </w:p>
    <w:p w:rsidR="003749C2" w:rsidRDefault="003641EC">
      <w:pPr>
        <w:spacing w:after="120"/>
        <w:ind w:left="1134" w:right="1134"/>
        <w:jc w:val="both"/>
        <w:rPr>
          <w:lang w:val="fr-FR"/>
        </w:rPr>
      </w:pPr>
      <w:r>
        <w:t>«666</w:t>
      </w:r>
      <w:r>
        <w:tab/>
      </w:r>
      <w:r>
        <w:rPr>
          <w:lang w:val="fr-FR"/>
        </w:rPr>
        <w:t xml:space="preserve">Les véhicules affectés au Nos ONU 3166 ou 3171 et les équipements mus par des accumulateurs affectés au No ONU 3171 conformément aux dispositions spéciales 240, 312 et 385 ainsi que les marchandises dangereuses qu'ils contiennent qui sont nécessaires à </w:t>
      </w:r>
      <w:r>
        <w:rPr>
          <w:lang w:val="fr-FR"/>
        </w:rPr>
        <w:lastRenderedPageBreak/>
        <w:t xml:space="preserve">leur fonctionnement ou au fonctionnement de leur équipement, </w:t>
      </w:r>
      <w:r>
        <w:rPr>
          <w:b/>
          <w:u w:val="single"/>
          <w:lang w:val="fr-FR"/>
        </w:rPr>
        <w:t>destiné à une utilisation durant le transport selon le 1.1.3.3, 1.1.3.2 a), d) et e), et 1.1.3.7</w:t>
      </w:r>
      <w:r>
        <w:rPr>
          <w:lang w:val="fr-FR"/>
        </w:rPr>
        <w:t>, transportés en tant que chargement, ne sont soumises à aucune autre disposition de l’ADR, à condition que les conditi</w:t>
      </w:r>
      <w:r w:rsidR="00A12279">
        <w:rPr>
          <w:lang w:val="fr-FR"/>
        </w:rPr>
        <w:t>ons suivantes soient remplies:…</w:t>
      </w:r>
      <w:r>
        <w:rPr>
          <w:lang w:val="fr-FR"/>
        </w:rPr>
        <w:t>».</w:t>
      </w:r>
    </w:p>
    <w:p w:rsidR="003749C2" w:rsidRDefault="003641EC" w:rsidP="00566F6F">
      <w:pPr>
        <w:pStyle w:val="H1G"/>
      </w:pPr>
      <w:r>
        <w:tab/>
      </w:r>
      <w:r>
        <w:tab/>
        <w:t>Justification</w:t>
      </w:r>
    </w:p>
    <w:p w:rsidR="003749C2" w:rsidRDefault="003641EC">
      <w:pPr>
        <w:spacing w:after="120"/>
        <w:ind w:left="1134" w:right="1134"/>
        <w:jc w:val="both"/>
      </w:pPr>
      <w:r>
        <w:t>10.</w:t>
      </w:r>
      <w:r>
        <w:tab/>
        <w:t xml:space="preserve">Il devient ainsi évident que la </w:t>
      </w:r>
      <w:r w:rsidR="001A22D1">
        <w:rPr>
          <w:lang w:val="fr-FR"/>
        </w:rPr>
        <w:t xml:space="preserve">disposition spéciale </w:t>
      </w:r>
      <w:r>
        <w:t xml:space="preserve">666 s’adresse à l’équipement qui est destiné à une utilisation durant le transport (exemples 4. chauffage de la bâche et 5. équipement frigorifique de l’annexe), tandis que la </w:t>
      </w:r>
      <w:r w:rsidR="001A22D1">
        <w:rPr>
          <w:lang w:val="fr-FR"/>
        </w:rPr>
        <w:t xml:space="preserve">disposition spéciale </w:t>
      </w:r>
      <w:r>
        <w:t xml:space="preserve">363 s’adresse à l’équipement qui n’est pas destiné à une utilisation durant le transport lequel ne peut pas bénéficier de la </w:t>
      </w:r>
      <w:r w:rsidR="001A61AD">
        <w:t xml:space="preserve">disposition spéciale </w:t>
      </w:r>
      <w:r>
        <w:t xml:space="preserve">666 (exemples 1. à 3.). Par ailleurs la référence au 1.1.3.3 permet d’inclure dans le champ d’application de la </w:t>
      </w:r>
      <w:r w:rsidR="001A22D1">
        <w:rPr>
          <w:lang w:val="fr-FR"/>
        </w:rPr>
        <w:t xml:space="preserve">disposition spéciale </w:t>
      </w:r>
      <w:r>
        <w:t xml:space="preserve">666 les remorques qui, comme indiqué plus haut ont été introduites dans le champ d’application du 1.1.3.3, au même titre que les véhicules définis comme appareils autopropulsés dans la </w:t>
      </w:r>
      <w:r w:rsidR="001A22D1">
        <w:rPr>
          <w:lang w:val="fr-FR"/>
        </w:rPr>
        <w:t xml:space="preserve">disposition spéciale </w:t>
      </w:r>
      <w:r>
        <w:t xml:space="preserve">385 qui eux sont cités au début du texte. </w:t>
      </w:r>
    </w:p>
    <w:p w:rsidR="003749C2" w:rsidRDefault="00566F6F">
      <w:pPr>
        <w:pStyle w:val="HChG"/>
      </w:pPr>
      <w:r>
        <w:tab/>
      </w:r>
      <w:r>
        <w:tab/>
      </w:r>
      <w:r w:rsidR="003641EC">
        <w:t>Possibilité d’utilisation des équipements des véhicules lorsqu’ils sont transportés en tant que chargement</w:t>
      </w:r>
    </w:p>
    <w:p w:rsidR="003749C2" w:rsidRDefault="003641EC">
      <w:pPr>
        <w:spacing w:after="120"/>
        <w:ind w:left="1134" w:right="1134"/>
        <w:jc w:val="both"/>
      </w:pPr>
      <w:r>
        <w:rPr>
          <w:lang w:val="fr-FR"/>
        </w:rPr>
        <w:t>11.</w:t>
      </w:r>
      <w:r>
        <w:rPr>
          <w:lang w:val="fr-FR"/>
        </w:rPr>
        <w:tab/>
      </w:r>
      <w:r>
        <w:t xml:space="preserve">Les textes du 1.1.3.2 b) et ceux du 1.1.3.3 b) et c) ont été transférés dans la </w:t>
      </w:r>
      <w:r w:rsidR="001A22D1">
        <w:rPr>
          <w:lang w:val="fr-FR"/>
        </w:rPr>
        <w:t xml:space="preserve">disposition spéciale </w:t>
      </w:r>
      <w:r>
        <w:t xml:space="preserve">666 b) respectivement </w:t>
      </w:r>
      <w:r w:rsidR="001A22D1">
        <w:rPr>
          <w:lang w:val="fr-FR"/>
        </w:rPr>
        <w:t xml:space="preserve">disposition spéciale </w:t>
      </w:r>
      <w:r>
        <w:t xml:space="preserve">666 a). Dans le cas des combustibles liquides la possibilité d’une utilisation lors d’un transport en tant que chargement qui figurait jusqu’à présent au 1.1.3.3 b) a été reprise </w:t>
      </w:r>
      <w:r w:rsidR="001A61AD">
        <w:t xml:space="preserve">à la </w:t>
      </w:r>
      <w:r w:rsidR="001A22D1">
        <w:rPr>
          <w:lang w:val="fr-FR"/>
        </w:rPr>
        <w:t xml:space="preserve">disposition spéciale </w:t>
      </w:r>
      <w:r>
        <w:t>666 a). Cependant cette possibilité pour les gaz qui figure encore au 1.</w:t>
      </w:r>
      <w:r w:rsidR="001A61AD">
        <w:t>1..3.2 e) n’a pas été reprise à la</w:t>
      </w:r>
      <w:r>
        <w:t xml:space="preserve"> </w:t>
      </w:r>
      <w:r w:rsidR="00A02A89">
        <w:rPr>
          <w:lang w:val="fr-FR"/>
        </w:rPr>
        <w:t xml:space="preserve">disposition spéciale </w:t>
      </w:r>
      <w:r>
        <w:t xml:space="preserve">666 b). Compte tenu que d’après la première phrase de la </w:t>
      </w:r>
      <w:r w:rsidR="00A02A89">
        <w:rPr>
          <w:lang w:val="fr-FR"/>
        </w:rPr>
        <w:t xml:space="preserve">disposition spéciale </w:t>
      </w:r>
      <w:r>
        <w:t>666 cette disposition spéciale s’applique également aux marchandises dangereuses nécessaires au fonctionnement d’un équipement du véhicule lorsque ce dernier est transporté en tant que chargement, nous nous trouvons devant deux possibilités d’exempter cet équipement fonctionnant avec un combustible gazeux: l</w:t>
      </w:r>
      <w:r w:rsidR="001A61AD">
        <w:t>’une au 1.1.3.2 e) et l’autre à la</w:t>
      </w:r>
      <w:r>
        <w:t xml:space="preserve"> </w:t>
      </w:r>
      <w:r w:rsidR="00A02A89">
        <w:rPr>
          <w:lang w:val="fr-FR"/>
        </w:rPr>
        <w:t xml:space="preserve">disposition spéciale </w:t>
      </w:r>
      <w:r>
        <w:t>666 b). Les deux textes sont incompatibles car dans un cas (1.1.3.2 e)) il est permis de faire fonctionner cet équipement durant le transport tandis que dans le deuxième cas (</w:t>
      </w:r>
      <w:r w:rsidR="00A02A89">
        <w:rPr>
          <w:lang w:val="fr-FR"/>
        </w:rPr>
        <w:t xml:space="preserve">disposition spéciale </w:t>
      </w:r>
      <w:r>
        <w:t>666 b)) cette possibilité n’est pas donnée.</w:t>
      </w:r>
    </w:p>
    <w:p w:rsidR="003749C2" w:rsidRDefault="003641EC">
      <w:pPr>
        <w:pStyle w:val="SingleTxtG"/>
      </w:pPr>
      <w:r>
        <w:t>12.</w:t>
      </w:r>
      <w:r>
        <w:tab/>
        <w:t>Afin de continuer à permettre le transport d’équipement du véhicule comme décrit au 1.1.3.2</w:t>
      </w:r>
      <w:r w:rsidR="00A12279">
        <w:t xml:space="preserve"> b) trois possibilités existent</w:t>
      </w:r>
      <w:r>
        <w:t>:</w:t>
      </w:r>
    </w:p>
    <w:p w:rsidR="003749C2" w:rsidRDefault="00A12279" w:rsidP="00A12279">
      <w:pPr>
        <w:pStyle w:val="SingleTxtG"/>
      </w:pPr>
      <w:r>
        <w:t>a)</w:t>
      </w:r>
      <w:r>
        <w:tab/>
      </w:r>
      <w:r w:rsidR="003641EC">
        <w:t xml:space="preserve">Soit on biffe le texte </w:t>
      </w:r>
      <w:r w:rsidR="001A61AD">
        <w:t>à la</w:t>
      </w:r>
      <w:r w:rsidR="003641EC">
        <w:t xml:space="preserve"> </w:t>
      </w:r>
      <w:r w:rsidR="00A02A89">
        <w:rPr>
          <w:lang w:val="fr-FR"/>
        </w:rPr>
        <w:t xml:space="preserve">disposition spéciale </w:t>
      </w:r>
      <w:r w:rsidR="003641EC">
        <w:t>666 b) et on maintient le 1.1.3.2 b),</w:t>
      </w:r>
    </w:p>
    <w:p w:rsidR="003749C2" w:rsidRDefault="00A12279" w:rsidP="00A12279">
      <w:pPr>
        <w:pStyle w:val="SingleTxtG"/>
        <w:ind w:left="1701" w:hanging="567"/>
      </w:pPr>
      <w:r>
        <w:t>b)</w:t>
      </w:r>
      <w:r>
        <w:tab/>
      </w:r>
      <w:r w:rsidR="003641EC">
        <w:t xml:space="preserve">Soit, par analogie avec ce qui a été décidé pour le 1.1.3.3 b) et c), on biffe le 1.1.3.2 e) et on introduit à la fin de la phrase </w:t>
      </w:r>
      <w:r w:rsidR="001A61AD">
        <w:t xml:space="preserve">la </w:t>
      </w:r>
      <w:r w:rsidR="00A02A89">
        <w:rPr>
          <w:lang w:val="fr-FR"/>
        </w:rPr>
        <w:t xml:space="preserve">disposition spéciale </w:t>
      </w:r>
      <w:r w:rsidR="003641EC">
        <w:t>666 b) le même me</w:t>
      </w:r>
      <w:r w:rsidR="001A61AD">
        <w:t>mbre de phrase qu'à la</w:t>
      </w:r>
      <w:r>
        <w:t xml:space="preserve"> </w:t>
      </w:r>
      <w:r w:rsidR="00A02A89">
        <w:rPr>
          <w:lang w:val="fr-FR"/>
        </w:rPr>
        <w:t xml:space="preserve">disposition spéciale </w:t>
      </w:r>
      <w:r>
        <w:t>666 a) «</w:t>
      </w:r>
      <w:proofErr w:type="gramStart"/>
      <w:r w:rsidR="003641EC">
        <w:t>,sauf</w:t>
      </w:r>
      <w:proofErr w:type="gramEnd"/>
      <w:r w:rsidR="003641EC">
        <w:t xml:space="preserve"> s’il est indispensable à l’équi</w:t>
      </w:r>
      <w:r>
        <w:t>pement de demeurer opérationnel</w:t>
      </w:r>
      <w:r w:rsidR="003641EC">
        <w:t>».</w:t>
      </w:r>
    </w:p>
    <w:p w:rsidR="003749C2" w:rsidRDefault="00A12279" w:rsidP="00A12279">
      <w:pPr>
        <w:pStyle w:val="SingleTxtG"/>
        <w:ind w:left="1701" w:hanging="567"/>
      </w:pPr>
      <w:r>
        <w:t>c)</w:t>
      </w:r>
      <w:r>
        <w:tab/>
      </w:r>
      <w:r w:rsidR="003641EC">
        <w:t xml:space="preserve">Soit on garde la structure actuelle et on fait référence dans la </w:t>
      </w:r>
      <w:r w:rsidR="00A02A89">
        <w:rPr>
          <w:lang w:val="fr-FR"/>
        </w:rPr>
        <w:t xml:space="preserve">disposition spéciale </w:t>
      </w:r>
      <w:r w:rsidR="003641EC">
        <w:t>666 aux textes existants du 1.1.3.</w:t>
      </w:r>
    </w:p>
    <w:p w:rsidR="003749C2" w:rsidRDefault="003641EC">
      <w:pPr>
        <w:pStyle w:val="SingleTxtG"/>
      </w:pPr>
      <w:r>
        <w:t>13.</w:t>
      </w:r>
      <w:r>
        <w:tab/>
        <w:t xml:space="preserve">Nous sommes d’avis que ces confusions et incompatibilités entre des textes identiques situés dans différents endroits du règlement pourraient être évités si au lieu de les déplacer, on gardait la structure actuelle tout en faisant des références aux textes pertinents du 1.1.3 dans la </w:t>
      </w:r>
      <w:r w:rsidR="00A02A89">
        <w:rPr>
          <w:lang w:val="fr-FR"/>
        </w:rPr>
        <w:t xml:space="preserve">disposition spéciale </w:t>
      </w:r>
      <w:r>
        <w:t>666. Le résultat pourrait se présenter comme suit (les textes ajoutés apparaissent en gras et soulignés les textes éliminés sont biffés):</w:t>
      </w:r>
    </w:p>
    <w:p w:rsidR="003749C2" w:rsidRDefault="003641EC" w:rsidP="00A12279">
      <w:pPr>
        <w:pStyle w:val="H1G"/>
      </w:pPr>
      <w:r>
        <w:lastRenderedPageBreak/>
        <w:tab/>
      </w:r>
      <w:r>
        <w:tab/>
        <w:t>Proposition 3</w:t>
      </w:r>
    </w:p>
    <w:p w:rsidR="003749C2" w:rsidRDefault="00A12279">
      <w:pPr>
        <w:pStyle w:val="SingleTxtG"/>
        <w:rPr>
          <w:lang w:val="fr-FR"/>
        </w:rPr>
      </w:pPr>
      <w:r>
        <w:t>«</w:t>
      </w:r>
      <w:r w:rsidR="003641EC">
        <w:t>666</w:t>
      </w:r>
      <w:r w:rsidR="003641EC">
        <w:tab/>
      </w:r>
      <w:r w:rsidR="003641EC">
        <w:rPr>
          <w:lang w:val="fr-FR"/>
        </w:rPr>
        <w:t xml:space="preserve">Les véhicules affectés au Nos ONU 3166 ou 3171 et les équipements mus par des accumulateurs affectés au No ONU 3171 conformément aux dispositions spéciales 240, 312 et 385 ainsi que les marchandises dangereuses qu'ils contiennent qui sont nécessaires à leur fonctionnement ou au fonctionnement de leur équipement, </w:t>
      </w:r>
      <w:r w:rsidR="003641EC">
        <w:rPr>
          <w:b/>
          <w:u w:val="single"/>
          <w:lang w:val="fr-FR"/>
        </w:rPr>
        <w:t>destiné à une utilisation durant le transport selon le 1.1.3.3, 1.1.3.2 a), d) et e), et 1.1.3.7</w:t>
      </w:r>
      <w:r w:rsidR="003641EC">
        <w:rPr>
          <w:lang w:val="fr-FR"/>
        </w:rPr>
        <w:t>, transportés en tant que chargement, ne sont soumises à aucune autre disposition de l’ADR, à condition que les conditions suivantes soient remplies:</w:t>
      </w:r>
    </w:p>
    <w:p w:rsidR="003749C2" w:rsidRDefault="003641EC">
      <w:pPr>
        <w:spacing w:after="120"/>
        <w:ind w:left="1134" w:right="1134"/>
        <w:jc w:val="both"/>
        <w:rPr>
          <w:lang w:val="fr-FR"/>
        </w:rPr>
      </w:pPr>
      <w:r>
        <w:rPr>
          <w:lang w:val="fr-FR"/>
        </w:rPr>
        <w:t>a)</w:t>
      </w:r>
      <w:r>
        <w:rPr>
          <w:lang w:val="fr-FR"/>
        </w:rPr>
        <w:tab/>
        <w:t>Pour les combustibles</w:t>
      </w:r>
      <w:r>
        <w:t>*</w:t>
      </w:r>
      <w:r>
        <w:rPr>
          <w:lang w:val="fr-FR"/>
        </w:rPr>
        <w:t xml:space="preserve"> liquides, </w:t>
      </w:r>
      <w:r>
        <w:rPr>
          <w:b/>
          <w:u w:val="single"/>
          <w:lang w:val="fr-FR"/>
        </w:rPr>
        <w:t>les dispositions 1.1.3.3 b) sont applicables</w:t>
      </w:r>
      <w:r>
        <w:rPr>
          <w:lang w:val="fr-FR"/>
        </w:rPr>
        <w:t xml:space="preserve"> </w:t>
      </w:r>
      <w:r>
        <w:rPr>
          <w:strike/>
          <w:lang w:val="fr-FR"/>
        </w:rPr>
        <w:t>tout robinet d'arrivée situé entre le moteur ou l'équipement et le réservoir de combustible doit être fermé pendant le transport, sauf s'il est indispensable à l'équipement pour demeurer opérationnel. Le cas échéant, les véhicules doivent être chargés debout et être fixés pour ne pas tomber;</w:t>
      </w:r>
    </w:p>
    <w:p w:rsidR="003749C2" w:rsidRDefault="00A12279">
      <w:pPr>
        <w:spacing w:after="120"/>
        <w:ind w:left="1134" w:right="1134"/>
        <w:jc w:val="both"/>
        <w:rPr>
          <w:lang w:val="fr-FR"/>
        </w:rPr>
      </w:pPr>
      <w:r>
        <w:rPr>
          <w:lang w:val="fr-FR"/>
        </w:rPr>
        <w:t>b)</w:t>
      </w:r>
      <w:r w:rsidR="003641EC">
        <w:rPr>
          <w:lang w:val="fr-FR"/>
        </w:rPr>
        <w:tab/>
        <w:t>Pour les combustibles gazeux</w:t>
      </w:r>
      <w:r w:rsidR="003641EC">
        <w:rPr>
          <w:b/>
          <w:u w:val="single"/>
          <w:lang w:val="fr-FR"/>
        </w:rPr>
        <w:t>, les dispositions 1.1.3.2 b), d) et e) sont applicables</w:t>
      </w:r>
      <w:r w:rsidR="003641EC">
        <w:rPr>
          <w:lang w:val="fr-FR"/>
        </w:rPr>
        <w:t> </w:t>
      </w:r>
      <w:proofErr w:type="gramStart"/>
      <w:r w:rsidR="003641EC">
        <w:rPr>
          <w:lang w:val="fr-FR"/>
        </w:rPr>
        <w:t>;</w:t>
      </w:r>
      <w:r w:rsidR="003641EC">
        <w:rPr>
          <w:strike/>
          <w:lang w:val="fr-FR"/>
        </w:rPr>
        <w:t>le</w:t>
      </w:r>
      <w:proofErr w:type="gramEnd"/>
      <w:r w:rsidR="003641EC">
        <w:rPr>
          <w:strike/>
          <w:lang w:val="fr-FR"/>
        </w:rPr>
        <w:t xml:space="preserve"> robinet d'arrivée situé entre le réservoir à gaz et le moteur doit être fermé et le contact électrique doit être coupé</w:t>
      </w:r>
      <w:r w:rsidR="003641EC">
        <w:rPr>
          <w:lang w:val="fr-FR"/>
        </w:rPr>
        <w:t>;</w:t>
      </w:r>
    </w:p>
    <w:p w:rsidR="003749C2" w:rsidRDefault="00A12279">
      <w:pPr>
        <w:spacing w:after="120"/>
        <w:ind w:left="1134" w:right="1134"/>
        <w:jc w:val="both"/>
        <w:rPr>
          <w:lang w:val="fr-FR"/>
        </w:rPr>
      </w:pPr>
      <w:r>
        <w:rPr>
          <w:lang w:val="fr-FR"/>
        </w:rPr>
        <w:t>c)</w:t>
      </w:r>
      <w:r w:rsidR="003641EC">
        <w:rPr>
          <w:lang w:val="fr-FR"/>
        </w:rPr>
        <w:tab/>
        <w:t>Les systèmes de stockage à hydrure métallique doivent être agréés par l’autorité com</w:t>
      </w:r>
      <w:r>
        <w:rPr>
          <w:lang w:val="fr-FR"/>
        </w:rPr>
        <w:t>pétente du pays de fabrication.</w:t>
      </w:r>
      <w:r w:rsidR="003641EC">
        <w:rPr>
          <w:lang w:val="fr-FR"/>
        </w:rPr>
        <w:t xml:space="preserve"> Si le pays de fabrication n'est pas une Partie contractante à l'ADR, l'autorisation doit être reconnue par l'autorité compétente d’une Partie contractante à l’ADR;</w:t>
      </w:r>
    </w:p>
    <w:p w:rsidR="003749C2" w:rsidRDefault="00A12279">
      <w:pPr>
        <w:spacing w:after="120"/>
        <w:ind w:left="1134" w:right="1134"/>
        <w:jc w:val="both"/>
        <w:rPr>
          <w:lang w:val="fr-FR"/>
        </w:rPr>
      </w:pPr>
      <w:proofErr w:type="gramStart"/>
      <w:r>
        <w:rPr>
          <w:lang w:val="fr-FR"/>
        </w:rPr>
        <w:t>d</w:t>
      </w:r>
      <w:proofErr w:type="gramEnd"/>
      <w:r>
        <w:rPr>
          <w:lang w:val="fr-FR"/>
        </w:rPr>
        <w:t>)</w:t>
      </w:r>
      <w:r w:rsidR="003641EC">
        <w:rPr>
          <w:lang w:val="fr-FR"/>
        </w:rPr>
        <w:tab/>
        <w:t>Les dispositions des alinéas a) et b) ne s’appliquent pas aux véhicules qui sont vides de combustibles liquides ou gazeux.</w:t>
      </w:r>
    </w:p>
    <w:p w:rsidR="003749C2" w:rsidRDefault="00A12279">
      <w:pPr>
        <w:spacing w:after="120"/>
        <w:ind w:left="1134" w:right="1134"/>
        <w:jc w:val="both"/>
        <w:rPr>
          <w:i/>
          <w:lang w:val="fr-FR"/>
        </w:rPr>
      </w:pPr>
      <w:r>
        <w:rPr>
          <w:i/>
          <w:lang w:val="fr-FR"/>
        </w:rPr>
        <w:t>NOTA 1:</w:t>
      </w:r>
      <w:r>
        <w:rPr>
          <w:i/>
          <w:lang w:val="fr-FR"/>
        </w:rPr>
        <w:tab/>
      </w:r>
      <w:r w:rsidR="003641EC">
        <w:rPr>
          <w:i/>
          <w:lang w:val="fr-FR"/>
        </w:rPr>
        <w:t>Un véhicule est considéré comme étant exempt de combustible liquide si le réservoir de combustible liquide a été vidangé et que le véhicule ne peut pas fonctionner par manque de combustible. Il n’est pas nécessaire de nettoyer</w:t>
      </w:r>
      <w:r w:rsidR="003641EC">
        <w:rPr>
          <w:i/>
        </w:rPr>
        <w:t>, vider</w:t>
      </w:r>
      <w:r w:rsidR="003641EC">
        <w:rPr>
          <w:i/>
          <w:lang w:val="fr-FR"/>
        </w:rPr>
        <w:t xml:space="preserve"> ou purger les éléments des véhicules tels que les conduites de combustible, les filtres à combustible et les injecteurs pour qu’ils soient considérés comme exempts de combustible liquide. En outre, il n’est pas nécessaire que le réservoir de combustible liquide soit nettoyé ou purgé.</w:t>
      </w:r>
    </w:p>
    <w:p w:rsidR="003749C2" w:rsidRDefault="00A12279">
      <w:pPr>
        <w:spacing w:after="120"/>
        <w:ind w:left="1134" w:right="1134"/>
        <w:jc w:val="both"/>
      </w:pPr>
      <w:r>
        <w:rPr>
          <w:i/>
          <w:lang w:val="fr-FR"/>
        </w:rPr>
        <w:t>NOTE 2:</w:t>
      </w:r>
      <w:r>
        <w:rPr>
          <w:i/>
          <w:lang w:val="fr-FR"/>
        </w:rPr>
        <w:tab/>
      </w:r>
      <w:r w:rsidR="003641EC">
        <w:rPr>
          <w:i/>
          <w:lang w:val="fr-FR"/>
        </w:rPr>
        <w:t>Un véhicule est considéré comme exempt de combustible gazeux si les réservoirs de combustible gazeux sont exempts de liquide (pour les gaz liquéfiés), la pression à l'intérieur des réservoirs ne dépasse pas 2 bars et la vanne d’arrêt de combustible ou d’isolation est fermé et verrouillé.</w:t>
      </w:r>
      <w:r w:rsidR="003641EC">
        <w:t>».</w:t>
      </w:r>
    </w:p>
    <w:p w:rsidR="003749C2" w:rsidRDefault="003641EC">
      <w:pPr>
        <w:spacing w:after="120"/>
        <w:ind w:left="1134" w:right="1134"/>
        <w:jc w:val="both"/>
        <w:rPr>
          <w:i/>
        </w:rPr>
      </w:pPr>
      <w:r>
        <w:rPr>
          <w:lang w:val="fr-FR"/>
        </w:rPr>
        <w:t>Le texte de la note de bas de page * se lit comme suit: «*</w:t>
      </w:r>
      <w:r>
        <w:rPr>
          <w:lang w:val="fr-FR"/>
        </w:rPr>
        <w:tab/>
        <w:t>Le terme combustible inclut également les carburants.».</w:t>
      </w:r>
      <w:r>
        <w:rPr>
          <w:i/>
        </w:rPr>
        <w:t xml:space="preserve"> </w:t>
      </w:r>
    </w:p>
    <w:p w:rsidR="003749C2" w:rsidRDefault="003641EC">
      <w:pPr>
        <w:spacing w:after="120"/>
        <w:ind w:left="1134" w:right="1134"/>
        <w:jc w:val="both"/>
      </w:pPr>
      <w:r>
        <w:t>14.</w:t>
      </w:r>
      <w:r>
        <w:tab/>
        <w:t xml:space="preserve">Avec cette solution, on maintiendrait les 1.1.3.2 b) et 1.1.3.3 b) actuels et supprimerait le 1.1.3.3 c) qui n’a de fait pas d’utilité concrète. </w:t>
      </w:r>
    </w:p>
    <w:p w:rsidR="003749C2" w:rsidRDefault="003641EC" w:rsidP="00A12279">
      <w:pPr>
        <w:pStyle w:val="H1G"/>
      </w:pPr>
      <w:r>
        <w:tab/>
      </w:r>
      <w:r>
        <w:tab/>
        <w:t>Justification</w:t>
      </w:r>
    </w:p>
    <w:p w:rsidR="003749C2" w:rsidRDefault="003641EC">
      <w:pPr>
        <w:spacing w:after="120"/>
        <w:ind w:left="1134" w:right="1134"/>
        <w:jc w:val="both"/>
      </w:pPr>
      <w:r>
        <w:t>15.</w:t>
      </w:r>
      <w:r>
        <w:tab/>
        <w:t xml:space="preserve">Le fait de faire référence dans la </w:t>
      </w:r>
      <w:r w:rsidR="00A02A89">
        <w:rPr>
          <w:lang w:val="fr-FR"/>
        </w:rPr>
        <w:t xml:space="preserve">disposition spéciale </w:t>
      </w:r>
      <w:r>
        <w:t xml:space="preserve">666 directement aux parties de texte pertinents du 1.1.3 permet de cibler les dispositions qui sont applicables sans risquer d’avoir des contradictions entre différentes exemptions du 1.1.3 et celles qui apparaîtraient en parallèle dans la </w:t>
      </w:r>
      <w:r w:rsidR="00A02A89">
        <w:rPr>
          <w:lang w:val="fr-FR"/>
        </w:rPr>
        <w:t xml:space="preserve">disposition spéciale </w:t>
      </w:r>
      <w:r>
        <w:t xml:space="preserve">666. Il est clair que ce n’est pas l’exemption totale au RID/ADR/ADN selon 1.1.3.2 ou 1.1.3.3 qui </w:t>
      </w:r>
      <w:proofErr w:type="gramStart"/>
      <w:r>
        <w:t>est</w:t>
      </w:r>
      <w:proofErr w:type="gramEnd"/>
      <w:r>
        <w:t xml:space="preserve"> visée par la </w:t>
      </w:r>
      <w:r w:rsidR="00A02A89">
        <w:rPr>
          <w:lang w:val="fr-FR"/>
        </w:rPr>
        <w:t xml:space="preserve">disposition spéciale </w:t>
      </w:r>
      <w:r>
        <w:t>666 mais uniquement les conditions décrites dans les différents paragraphes du 1.1.3.</w:t>
      </w:r>
    </w:p>
    <w:p w:rsidR="003749C2" w:rsidRDefault="003641EC">
      <w:pPr>
        <w:spacing w:after="120"/>
        <w:ind w:left="1134" w:right="1134"/>
        <w:jc w:val="both"/>
      </w:pPr>
      <w:r>
        <w:lastRenderedPageBreak/>
        <w:t xml:space="preserve">Ceci a l’avantage de garder au 1.1.3 une vue d’ensemble des exemptions applicables aux véhicules et équipements lorsqu’ils sont utilisés pendant le transport tout en se rapprochant de l’harmonisation avec la structure </w:t>
      </w:r>
      <w:r w:rsidR="001A61AD">
        <w:t>du Règlement type</w:t>
      </w:r>
      <w:r>
        <w:t>.</w:t>
      </w:r>
    </w:p>
    <w:p w:rsidR="003749C2" w:rsidRDefault="00A12279">
      <w:pPr>
        <w:pStyle w:val="HChG"/>
      </w:pPr>
      <w:r>
        <w:tab/>
      </w:r>
      <w:r>
        <w:tab/>
      </w:r>
      <w:r w:rsidR="003641EC">
        <w:t>Difficultés de mise en œuvre des critères d’exemption du paragraphe g) vi) de la disposition spéciale 363</w:t>
      </w:r>
    </w:p>
    <w:p w:rsidR="003749C2" w:rsidRDefault="00043508" w:rsidP="00043508">
      <w:pPr>
        <w:pStyle w:val="H1G"/>
      </w:pPr>
      <w:r>
        <w:tab/>
      </w:r>
      <w:r>
        <w:tab/>
      </w:r>
      <w:r w:rsidR="003641EC">
        <w:t>Moteurs à combustion interne pour liquides (et gaz) qui ne figurent plus dans la rubrique UN3166 mais dans les rubriques 3528, 3529 et 3530.</w:t>
      </w:r>
    </w:p>
    <w:p w:rsidR="003749C2" w:rsidRDefault="003641EC">
      <w:pPr>
        <w:spacing w:after="120"/>
        <w:ind w:left="1134" w:right="1134"/>
        <w:jc w:val="both"/>
      </w:pPr>
      <w:r>
        <w:t>16.</w:t>
      </w:r>
      <w:r>
        <w:tab/>
        <w:t xml:space="preserve">Ils sont soumis à la </w:t>
      </w:r>
      <w:r w:rsidR="00A02A89">
        <w:rPr>
          <w:lang w:val="fr-FR"/>
        </w:rPr>
        <w:t xml:space="preserve">disposition spéciale </w:t>
      </w:r>
      <w:r>
        <w:t xml:space="preserve">363. S’ils sont vides, ils sont exemptés selon le NOTA 1 de la </w:t>
      </w:r>
      <w:r w:rsidR="00A02A89">
        <w:rPr>
          <w:lang w:val="fr-FR"/>
        </w:rPr>
        <w:t xml:space="preserve">disposition spéciale </w:t>
      </w:r>
      <w:r>
        <w:t xml:space="preserve">363 b). S’ils sont pleins, ils peuvent être exemptés selon </w:t>
      </w:r>
      <w:r w:rsidR="00043508">
        <w:t xml:space="preserve">la </w:t>
      </w:r>
      <w:r w:rsidR="00A02A89">
        <w:rPr>
          <w:lang w:val="fr-FR"/>
        </w:rPr>
        <w:t xml:space="preserve">disposition spéciale </w:t>
      </w:r>
      <w:r>
        <w:t>363 g). Dans ce cas les moteurs contenant plus de 60 l, de capacité supérieure à 450 l, doivent porter une étiquette apposée des deux côtés et au-delà de 3000 l une plaque étiquette sur deux côtés opposés. Pour les moteurs à gaz ces capacités sont 450 l et 1000 l sans limite inférieure de combustible.</w:t>
      </w:r>
    </w:p>
    <w:p w:rsidR="003749C2" w:rsidRDefault="003641EC">
      <w:pPr>
        <w:spacing w:after="120"/>
        <w:ind w:left="1134" w:right="1134"/>
        <w:jc w:val="both"/>
      </w:pPr>
      <w:r>
        <w:t>Par ailleurs un document de transport est requis pour des quantités de plus de 1000 l de combustible liquide. Outre</w:t>
      </w:r>
      <w:r w:rsidR="00A12279">
        <w:t xml:space="preserve"> le fait que l’on passe d’une «capacité</w:t>
      </w:r>
      <w:r>
        <w:t>» de 1500 l actuelle à un «contenu» de 1000 l, on ne sait pas comment cette quantité peut être vérifiée dans la réalité.</w:t>
      </w:r>
    </w:p>
    <w:p w:rsidR="003749C2" w:rsidRDefault="003641EC">
      <w:pPr>
        <w:spacing w:after="120"/>
        <w:ind w:left="1134" w:right="1134"/>
        <w:jc w:val="both"/>
      </w:pPr>
      <w:r>
        <w:t xml:space="preserve">Pour les gaz, le document de transport est requis pour une contenance de plus de 1000 l, ce qui a l’avantage d’être facilement vérifiable. </w:t>
      </w:r>
    </w:p>
    <w:p w:rsidR="003749C2" w:rsidRDefault="003641EC">
      <w:pPr>
        <w:spacing w:after="120"/>
        <w:ind w:left="1134" w:right="1134"/>
        <w:jc w:val="both"/>
      </w:pPr>
      <w:r>
        <w:t>17.</w:t>
      </w:r>
      <w:r>
        <w:tab/>
        <w:t xml:space="preserve">En conclusion les garages réalisant les transports de moteurs seuls devraient éviter de les envoyer avec le réservoir du moteur faute de quoi ils devront appliquer la </w:t>
      </w:r>
      <w:r w:rsidR="00A02A89">
        <w:rPr>
          <w:lang w:val="fr-FR"/>
        </w:rPr>
        <w:t xml:space="preserve">disposition spéciale </w:t>
      </w:r>
      <w:r>
        <w:t>363 comme indiqué plus haut. Par ailleurs si le réservoir n’est pas vide et qu’il dépasse 1000 l de capacité ils devront vérifier le contenu exact afin de savoir quel type d’étiquetage ils doivent apposer et s’ils doivent remplir un document de transport conforme au 5.4.1.</w:t>
      </w:r>
    </w:p>
    <w:p w:rsidR="003749C2" w:rsidRDefault="003641EC">
      <w:pPr>
        <w:spacing w:after="120"/>
        <w:ind w:left="1134" w:right="1134"/>
        <w:jc w:val="both"/>
      </w:pPr>
      <w:r>
        <w:t>18.</w:t>
      </w:r>
      <w:r>
        <w:tab/>
        <w:t xml:space="preserve">Il ne nous semble pas que ces dispositions soient pertinentes pour les transports terrestres. La Réunion commune devrait décider s’il est pertinent d’inclure les moteurs à combustion interne dans les rubriques </w:t>
      </w:r>
      <w:proofErr w:type="spellStart"/>
      <w:r>
        <w:t>des</w:t>
      </w:r>
      <w:proofErr w:type="spellEnd"/>
      <w:r w:rsidR="00A12279">
        <w:t xml:space="preserve"> Nos</w:t>
      </w:r>
      <w:r>
        <w:t xml:space="preserve"> ONU 3528, 3529 et 3530 ou si au contraire il ne conviendrait pas mieux d’exempter ceux-ci comme jusqu’à présent des dispositions du RID/ADR/ADN. Ceci pourrait être l’objet d’une disposition spéciale ad hoc.</w:t>
      </w:r>
    </w:p>
    <w:p w:rsidR="003749C2" w:rsidRDefault="00A12279" w:rsidP="00A12279">
      <w:pPr>
        <w:pStyle w:val="H1G"/>
      </w:pPr>
      <w:r>
        <w:tab/>
      </w:r>
      <w:r>
        <w:tab/>
      </w:r>
      <w:r w:rsidR="003641EC">
        <w:t xml:space="preserve">Champ d’application de la </w:t>
      </w:r>
      <w:r w:rsidR="00043508">
        <w:t xml:space="preserve">disposition spéciale </w:t>
      </w:r>
      <w:r w:rsidR="003641EC">
        <w:t>363 et 1.1.3.1 b)</w:t>
      </w:r>
    </w:p>
    <w:p w:rsidR="003749C2" w:rsidRDefault="003641EC">
      <w:pPr>
        <w:spacing w:after="120"/>
        <w:ind w:left="1134" w:right="1134"/>
        <w:jc w:val="both"/>
      </w:pPr>
      <w:r>
        <w:t>19.</w:t>
      </w:r>
      <w:r>
        <w:tab/>
        <w:t>Cette question n'a pas été présentée au Sous-comité d’</w:t>
      </w:r>
      <w:r w:rsidR="00E733B2">
        <w:t>e</w:t>
      </w:r>
      <w:r>
        <w:t xml:space="preserve">xperts </w:t>
      </w:r>
      <w:r w:rsidR="00E733B2">
        <w:t xml:space="preserve">du transport des marchandises dangereuses de l’ONU </w:t>
      </w:r>
      <w:r>
        <w:t xml:space="preserve">car elle concerne spécifiquement les transports terrestres et l’exemption 1.1.3.1 b). </w:t>
      </w:r>
    </w:p>
    <w:p w:rsidR="003749C2" w:rsidRDefault="00A12279">
      <w:pPr>
        <w:spacing w:after="120"/>
        <w:ind w:left="1134" w:right="1134"/>
        <w:jc w:val="both"/>
      </w:pPr>
      <w:r>
        <w:t>20.</w:t>
      </w:r>
      <w:r w:rsidR="003641EC">
        <w:tab/>
        <w:t xml:space="preserve">Actuellement la </w:t>
      </w:r>
      <w:r w:rsidR="00A02A89">
        <w:rPr>
          <w:lang w:val="fr-FR"/>
        </w:rPr>
        <w:t xml:space="preserve">disposition spéciale </w:t>
      </w:r>
      <w:r w:rsidR="003641EC">
        <w:t xml:space="preserve">363 contient exactement les mêmes termes que le 1.1.3.1 b) "machine et matériel", de sorte que la </w:t>
      </w:r>
      <w:r w:rsidR="00A02A89">
        <w:rPr>
          <w:lang w:val="fr-FR"/>
        </w:rPr>
        <w:t xml:space="preserve">disposition spéciale </w:t>
      </w:r>
      <w:r w:rsidR="003641EC">
        <w:t xml:space="preserve">363 pour les combustibles liquides remplace pour les machines et le matériel l'exemption 1.1.3.1 b). Avec les nouvelles dispositions, cette relation entre 1.1.3.1 b) sera perdue parce que la </w:t>
      </w:r>
      <w:r w:rsidR="00A02A89">
        <w:rPr>
          <w:lang w:val="fr-FR"/>
        </w:rPr>
        <w:t xml:space="preserve">disposition spéciale </w:t>
      </w:r>
      <w:r w:rsidR="003641EC">
        <w:t xml:space="preserve">363 et les </w:t>
      </w:r>
      <w:r w:rsidR="00E733B2">
        <w:t xml:space="preserve">Nos ONU </w:t>
      </w:r>
      <w:r w:rsidR="003641EC">
        <w:t>3528, 3529 et 3530 font référence aux machines seulement et non plus à l'équipement. La question se posera dès lors que quelqu'un définit son objet comme un équipement et non comme une machine. Est-ce qu’il aura le droit dans ce cas en vertu de l'exemption au point 1.1.3.1 b) d'exempter cet équipement comme ceci était le cas a</w:t>
      </w:r>
      <w:r>
        <w:t xml:space="preserve">vant l’introduction de la </w:t>
      </w:r>
      <w:r w:rsidR="00A02A89">
        <w:rPr>
          <w:lang w:val="fr-FR"/>
        </w:rPr>
        <w:t xml:space="preserve">disposition spéciale </w:t>
      </w:r>
      <w:r>
        <w:t>363</w:t>
      </w:r>
      <w:r w:rsidR="003641EC">
        <w:t xml:space="preserve">? </w:t>
      </w:r>
    </w:p>
    <w:p w:rsidR="003749C2" w:rsidRDefault="003641EC">
      <w:pPr>
        <w:spacing w:after="120"/>
        <w:ind w:left="1134" w:right="1134"/>
        <w:jc w:val="both"/>
      </w:pPr>
      <w:r>
        <w:lastRenderedPageBreak/>
        <w:t>21.</w:t>
      </w:r>
      <w:r>
        <w:tab/>
        <w:t xml:space="preserve">Nous estimons que la </w:t>
      </w:r>
      <w:r w:rsidR="00A02A89">
        <w:rPr>
          <w:lang w:val="fr-FR"/>
        </w:rPr>
        <w:t xml:space="preserve">disposition spéciale </w:t>
      </w:r>
      <w:r>
        <w:t>363 pour 201</w:t>
      </w:r>
      <w:r w:rsidR="00A12279">
        <w:t>7 devrait utiliser les termes «machine et matériel</w:t>
      </w:r>
      <w:r>
        <w:t>» afin de couvrir les mêmes objets que jusqu’à présent.</w:t>
      </w:r>
    </w:p>
    <w:p w:rsidR="003749C2" w:rsidRDefault="003641EC" w:rsidP="00A12279">
      <w:pPr>
        <w:pStyle w:val="H1G"/>
      </w:pPr>
      <w:r>
        <w:tab/>
      </w:r>
      <w:r>
        <w:tab/>
        <w:t>Proposition 4</w:t>
      </w:r>
    </w:p>
    <w:p w:rsidR="003749C2" w:rsidRDefault="003641EC">
      <w:pPr>
        <w:spacing w:after="120"/>
        <w:ind w:left="1134" w:right="1134"/>
        <w:jc w:val="both"/>
      </w:pPr>
      <w:r>
        <w:t>Sauf dans les désignations des rubriques UN 3528, 3529 et 3530, rempl</w:t>
      </w:r>
      <w:r w:rsidR="00A12279">
        <w:t xml:space="preserve">acer dans la </w:t>
      </w:r>
      <w:r w:rsidR="00E733B2">
        <w:t xml:space="preserve">disposition spéciale </w:t>
      </w:r>
      <w:r w:rsidR="00A12279">
        <w:t>363 les termes «machines» par «machines et matériels», «une machine» par «une machine et un matériel» et «la machine» par «la machine et le matériel</w:t>
      </w:r>
      <w:r>
        <w:t>».</w:t>
      </w:r>
    </w:p>
    <w:p w:rsidR="003749C2" w:rsidRDefault="00A12279" w:rsidP="00E733B2">
      <w:pPr>
        <w:pStyle w:val="HChG"/>
      </w:pPr>
      <w:r>
        <w:tab/>
      </w:r>
      <w:r>
        <w:tab/>
      </w:r>
      <w:r w:rsidR="003641EC">
        <w:t xml:space="preserve">Relation entre 1.1.3.7 et </w:t>
      </w:r>
      <w:r w:rsidR="00E733B2">
        <w:t xml:space="preserve">les dispositions spéciales </w:t>
      </w:r>
      <w:r w:rsidR="003641EC">
        <w:t>312, 240, 385, 666 et 667</w:t>
      </w:r>
    </w:p>
    <w:p w:rsidR="003749C2" w:rsidRDefault="003641EC">
      <w:pPr>
        <w:spacing w:after="120"/>
        <w:ind w:left="1134" w:right="1134"/>
        <w:jc w:val="both"/>
      </w:pPr>
      <w:r w:rsidRPr="002C5C7C">
        <w:t>22</w:t>
      </w:r>
      <w:r>
        <w:rPr>
          <w:i/>
        </w:rPr>
        <w:t>.</w:t>
      </w:r>
      <w:r>
        <w:rPr>
          <w:i/>
        </w:rPr>
        <w:tab/>
      </w:r>
      <w:r>
        <w:t xml:space="preserve">Les </w:t>
      </w:r>
      <w:r w:rsidR="00E733B2">
        <w:t xml:space="preserve">dispositions spéciales </w:t>
      </w:r>
      <w:r>
        <w:t>312, 240, 385, 666 et 667 pour les véhicules transportés se réfèrent toutes aux exigences pour les piles au lithium du 2.2.9.1.7. Cependant l’exemption du 1.1.3.7 pour ces mêmes véhicules et leur équipement n’a pas été modifiée de sorte que tout véhicule et son équipement pourra continuer à être utilisé en transport sans besoin de vérifier s’il satisfait au 2.2.9.1.7. Mais dès qu’il est transporté en tant que chargement, il faudra vérifier si ses piles au lithium sont conformes au 2.2.9.1.7. Il n’est pas clair comment son propriétaire pourra apporter cette preuve de conformité lorsqu’il voudra par exemple utiliser des navettes ferroviaires, lorsque le véhicule devra être remorqué vers un garage ou lorsque des véhicules d’occasion ou neufs seront déplacés.</w:t>
      </w:r>
    </w:p>
    <w:p w:rsidR="003749C2" w:rsidRDefault="00A12279">
      <w:pPr>
        <w:spacing w:after="120"/>
        <w:ind w:left="1134" w:right="1134"/>
        <w:jc w:val="both"/>
      </w:pPr>
      <w:r>
        <w:t>23.</w:t>
      </w:r>
      <w:r>
        <w:tab/>
      </w:r>
      <w:r w:rsidR="003641EC">
        <w:t xml:space="preserve">Nous pensons que les </w:t>
      </w:r>
      <w:r w:rsidR="002C5C7C">
        <w:t xml:space="preserve">dispositions spéciales </w:t>
      </w:r>
      <w:r w:rsidR="003641EC">
        <w:t>312, 240, 385, 666 et 667 ne devraient pas être applicables aux véhicules utilisés en transport terrestres lorsqu’ils sont transportés en tant que chargement lors des trajets terrestres.</w:t>
      </w:r>
    </w:p>
    <w:p w:rsidR="003749C2" w:rsidRDefault="003641EC" w:rsidP="00A12279">
      <w:pPr>
        <w:pStyle w:val="H1G"/>
      </w:pPr>
      <w:r>
        <w:tab/>
      </w:r>
      <w:r>
        <w:tab/>
        <w:t>Proposition 5</w:t>
      </w:r>
    </w:p>
    <w:p w:rsidR="003749C2" w:rsidRDefault="003641EC">
      <w:pPr>
        <w:spacing w:after="120"/>
        <w:ind w:left="1134" w:right="1134"/>
        <w:jc w:val="both"/>
      </w:pPr>
      <w:r>
        <w:t xml:space="preserve">Ajouter dans le tableau A du chapitre 3.2 vis-à-vis des rubriques </w:t>
      </w:r>
      <w:proofErr w:type="spellStart"/>
      <w:r>
        <w:t>des</w:t>
      </w:r>
      <w:proofErr w:type="spellEnd"/>
      <w:r>
        <w:t xml:space="preserve"> </w:t>
      </w:r>
      <w:r w:rsidR="00A12279">
        <w:t>N</w:t>
      </w:r>
      <w:r>
        <w:t>os ONU 3166 et 3171 la nouvelle disposition spéciale suivante:</w:t>
      </w:r>
    </w:p>
    <w:p w:rsidR="003749C2" w:rsidRDefault="00A12279">
      <w:pPr>
        <w:spacing w:after="120"/>
        <w:ind w:left="1134" w:right="1134"/>
        <w:jc w:val="both"/>
      </w:pPr>
      <w:r>
        <w:t>«</w:t>
      </w:r>
      <w:r w:rsidR="003641EC">
        <w:t>DSXXX</w:t>
      </w:r>
      <w:r w:rsidR="003641EC">
        <w:tab/>
        <w:t>Les dispositions spéciales 312, 240, 385, 666 et 667 ne sont pas applicables aux véhicules utilisés en transport terrestres lorsque ceux-ci sont transportés en tant que chargement sur des trajets soumis au RID/ADR/ADN. Dans ce cas les dispositions des 1.1.3.2, 1.1.3.3 et 1.1.3.7 restent applicables.»</w:t>
      </w:r>
    </w:p>
    <w:p w:rsidR="003749C2" w:rsidRDefault="003641EC" w:rsidP="00A12279">
      <w:pPr>
        <w:pStyle w:val="HChG"/>
        <w:spacing w:before="120" w:after="120"/>
        <w:ind w:left="1135" w:hanging="284"/>
      </w:pPr>
      <w:r>
        <w:rPr>
          <w:u w:val="single"/>
        </w:rPr>
        <w:br w:type="page"/>
      </w:r>
      <w:r>
        <w:lastRenderedPageBreak/>
        <w:t>Annexe</w:t>
      </w: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
        <w:gridCol w:w="6237"/>
        <w:gridCol w:w="3543"/>
      </w:tblGrid>
      <w:tr w:rsidR="003749C2">
        <w:tc>
          <w:tcPr>
            <w:tcW w:w="426" w:type="dxa"/>
          </w:tcPr>
          <w:p w:rsidR="003749C2" w:rsidRDefault="003641EC">
            <w:pPr>
              <w:rPr>
                <w:rFonts w:cs="Arial"/>
                <w:sz w:val="24"/>
                <w:szCs w:val="24"/>
              </w:rPr>
            </w:pPr>
            <w:r>
              <w:rPr>
                <w:rFonts w:cs="Arial"/>
                <w:sz w:val="24"/>
                <w:szCs w:val="24"/>
              </w:rPr>
              <w:t>1</w:t>
            </w:r>
          </w:p>
        </w:tc>
        <w:tc>
          <w:tcPr>
            <w:tcW w:w="6237" w:type="dxa"/>
          </w:tcPr>
          <w:p w:rsidR="003749C2" w:rsidRDefault="003641EC">
            <w:pPr>
              <w:rPr>
                <w:rFonts w:cs="Arial"/>
                <w:sz w:val="24"/>
                <w:szCs w:val="24"/>
              </w:rPr>
            </w:pPr>
            <w:r>
              <w:rPr>
                <w:rFonts w:cs="Arial"/>
                <w:noProof/>
                <w:sz w:val="24"/>
                <w:szCs w:val="24"/>
                <w:lang w:val="en-GB" w:eastAsia="en-GB"/>
              </w:rPr>
              <w:drawing>
                <wp:inline distT="0" distB="0" distL="0" distR="0" wp14:anchorId="10B5CB0C" wp14:editId="293B51DE">
                  <wp:extent cx="2030535" cy="1357803"/>
                  <wp:effectExtent l="0" t="0" r="8255" b="0"/>
                  <wp:docPr id="6" name="Image 6" descr="compress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resseu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1761" cy="1358623"/>
                          </a:xfrm>
                          <a:prstGeom prst="rect">
                            <a:avLst/>
                          </a:prstGeom>
                          <a:noFill/>
                          <a:ln>
                            <a:noFill/>
                          </a:ln>
                        </pic:spPr>
                      </pic:pic>
                    </a:graphicData>
                  </a:graphic>
                </wp:inline>
              </w:drawing>
            </w:r>
          </w:p>
        </w:tc>
        <w:tc>
          <w:tcPr>
            <w:tcW w:w="3543" w:type="dxa"/>
          </w:tcPr>
          <w:p w:rsidR="003749C2" w:rsidRPr="00A12279" w:rsidRDefault="003641EC">
            <w:pPr>
              <w:rPr>
                <w:rFonts w:cs="Arial"/>
                <w:b/>
              </w:rPr>
            </w:pPr>
            <w:r w:rsidRPr="00A12279">
              <w:rPr>
                <w:rFonts w:cs="Arial"/>
                <w:b/>
              </w:rPr>
              <w:t>Compresseur</w:t>
            </w:r>
          </w:p>
          <w:p w:rsidR="003749C2" w:rsidRPr="00A12279" w:rsidRDefault="003641EC">
            <w:pPr>
              <w:rPr>
                <w:rFonts w:cs="Arial"/>
              </w:rPr>
            </w:pPr>
            <w:r w:rsidRPr="00A12279">
              <w:rPr>
                <w:rFonts w:cs="Arial"/>
              </w:rPr>
              <w:t>Véhicule, remorque</w:t>
            </w:r>
          </w:p>
          <w:p w:rsidR="003749C2" w:rsidRPr="00A12279" w:rsidRDefault="003641EC">
            <w:pPr>
              <w:rPr>
                <w:rFonts w:cs="Arial"/>
              </w:rPr>
            </w:pPr>
            <w:r w:rsidRPr="00A12279">
              <w:rPr>
                <w:rFonts w:cs="Arial"/>
                <w:highlight w:val="yellow"/>
              </w:rPr>
              <w:t>Combustible</w:t>
            </w:r>
            <w:r w:rsidRPr="00A12279">
              <w:rPr>
                <w:rFonts w:cs="Arial"/>
              </w:rPr>
              <w:t xml:space="preserve"> liquide, UN 1202/1203</w:t>
            </w:r>
          </w:p>
          <w:p w:rsidR="003749C2" w:rsidRPr="00A12279" w:rsidRDefault="003641EC">
            <w:pPr>
              <w:rPr>
                <w:rFonts w:cs="Arial"/>
              </w:rPr>
            </w:pPr>
            <w:r w:rsidRPr="00A12279">
              <w:rPr>
                <w:rFonts w:cs="Arial"/>
              </w:rPr>
              <w:t>Quantité : 2000 l</w:t>
            </w:r>
          </w:p>
          <w:p w:rsidR="003749C2" w:rsidRPr="00A12279" w:rsidRDefault="003749C2">
            <w:pPr>
              <w:rPr>
                <w:rFonts w:cs="Arial"/>
              </w:rPr>
            </w:pPr>
          </w:p>
          <w:p w:rsidR="003749C2" w:rsidRPr="00A12279" w:rsidRDefault="003749C2">
            <w:pPr>
              <w:rPr>
                <w:rFonts w:cs="Arial"/>
                <w:b/>
                <w:i/>
              </w:rPr>
            </w:pPr>
          </w:p>
        </w:tc>
      </w:tr>
      <w:tr w:rsidR="003749C2">
        <w:tc>
          <w:tcPr>
            <w:tcW w:w="426" w:type="dxa"/>
            <w:tcBorders>
              <w:top w:val="single" w:sz="4" w:space="0" w:color="000000"/>
              <w:left w:val="single" w:sz="4" w:space="0" w:color="000000"/>
              <w:bottom w:val="single" w:sz="4" w:space="0" w:color="000000"/>
              <w:right w:val="single" w:sz="4" w:space="0" w:color="000000"/>
            </w:tcBorders>
          </w:tcPr>
          <w:p w:rsidR="003749C2" w:rsidRDefault="003641EC">
            <w:pPr>
              <w:rPr>
                <w:rFonts w:cs="Arial"/>
                <w:sz w:val="24"/>
                <w:szCs w:val="24"/>
              </w:rPr>
            </w:pPr>
            <w:r>
              <w:rPr>
                <w:rFonts w:cs="Arial"/>
                <w:sz w:val="24"/>
                <w:szCs w:val="24"/>
              </w:rPr>
              <w:t>2</w:t>
            </w:r>
          </w:p>
        </w:tc>
        <w:tc>
          <w:tcPr>
            <w:tcW w:w="6237" w:type="dxa"/>
            <w:tcBorders>
              <w:top w:val="single" w:sz="4" w:space="0" w:color="000000"/>
              <w:left w:val="single" w:sz="4" w:space="0" w:color="000000"/>
              <w:bottom w:val="single" w:sz="4" w:space="0" w:color="000000"/>
              <w:right w:val="single" w:sz="4" w:space="0" w:color="000000"/>
            </w:tcBorders>
          </w:tcPr>
          <w:p w:rsidR="003749C2" w:rsidRDefault="003641EC">
            <w:pPr>
              <w:rPr>
                <w:rFonts w:cs="Arial"/>
                <w:sz w:val="24"/>
                <w:szCs w:val="24"/>
              </w:rPr>
            </w:pPr>
            <w:r>
              <w:rPr>
                <w:rFonts w:cs="Arial"/>
                <w:noProof/>
                <w:sz w:val="24"/>
                <w:szCs w:val="24"/>
                <w:lang w:val="en-GB" w:eastAsia="en-GB"/>
              </w:rPr>
              <w:drawing>
                <wp:inline distT="0" distB="0" distL="0" distR="0" wp14:anchorId="45FE9727" wp14:editId="52F9909A">
                  <wp:extent cx="1766454" cy="1350975"/>
                  <wp:effectExtent l="0" t="0" r="5715" b="1905"/>
                  <wp:docPr id="5" name="Image 5" descr="IMGP0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P047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68576" cy="1352598"/>
                          </a:xfrm>
                          <a:prstGeom prst="rect">
                            <a:avLst/>
                          </a:prstGeom>
                          <a:noFill/>
                          <a:ln>
                            <a:noFill/>
                          </a:ln>
                        </pic:spPr>
                      </pic:pic>
                    </a:graphicData>
                  </a:graphic>
                </wp:inline>
              </w:drawing>
            </w:r>
          </w:p>
        </w:tc>
        <w:tc>
          <w:tcPr>
            <w:tcW w:w="3543" w:type="dxa"/>
            <w:tcBorders>
              <w:top w:val="single" w:sz="4" w:space="0" w:color="000000"/>
              <w:left w:val="single" w:sz="4" w:space="0" w:color="000000"/>
              <w:bottom w:val="single" w:sz="4" w:space="0" w:color="000000"/>
              <w:right w:val="single" w:sz="4" w:space="0" w:color="000000"/>
            </w:tcBorders>
          </w:tcPr>
          <w:p w:rsidR="003749C2" w:rsidRPr="00A12279" w:rsidRDefault="003641EC">
            <w:pPr>
              <w:rPr>
                <w:rFonts w:cs="Arial"/>
                <w:b/>
              </w:rPr>
            </w:pPr>
            <w:r w:rsidRPr="00A12279">
              <w:rPr>
                <w:rFonts w:cs="Arial"/>
                <w:b/>
              </w:rPr>
              <w:t>Groupe électrogène mobile</w:t>
            </w:r>
          </w:p>
          <w:p w:rsidR="003749C2" w:rsidRPr="00A12279" w:rsidRDefault="003641EC">
            <w:pPr>
              <w:rPr>
                <w:rFonts w:cs="Arial"/>
              </w:rPr>
            </w:pPr>
            <w:r w:rsidRPr="00A12279">
              <w:rPr>
                <w:rFonts w:cs="Arial"/>
              </w:rPr>
              <w:t>Véhicule, remorque de 3 essieux</w:t>
            </w:r>
          </w:p>
          <w:p w:rsidR="003749C2" w:rsidRPr="00A12279" w:rsidRDefault="003641EC">
            <w:pPr>
              <w:rPr>
                <w:rFonts w:cs="Arial"/>
              </w:rPr>
            </w:pPr>
            <w:r w:rsidRPr="00A12279">
              <w:rPr>
                <w:rFonts w:cs="Arial"/>
                <w:highlight w:val="yellow"/>
              </w:rPr>
              <w:t>Combustible</w:t>
            </w:r>
            <w:r w:rsidRPr="00A12279">
              <w:rPr>
                <w:rFonts w:cs="Arial"/>
              </w:rPr>
              <w:t xml:space="preserve"> liquide, UN 1202</w:t>
            </w:r>
          </w:p>
          <w:p w:rsidR="003749C2" w:rsidRPr="00A12279" w:rsidRDefault="003641EC">
            <w:pPr>
              <w:rPr>
                <w:rFonts w:cs="Arial"/>
              </w:rPr>
            </w:pPr>
            <w:r w:rsidRPr="00A12279">
              <w:rPr>
                <w:rFonts w:cs="Arial"/>
              </w:rPr>
              <w:t>Quantité : 1900 l</w:t>
            </w:r>
          </w:p>
          <w:p w:rsidR="003749C2" w:rsidRPr="00A12279" w:rsidRDefault="003749C2">
            <w:pPr>
              <w:rPr>
                <w:rFonts w:cs="Arial"/>
                <w:b/>
              </w:rPr>
            </w:pPr>
          </w:p>
          <w:p w:rsidR="003749C2" w:rsidRPr="00A12279" w:rsidRDefault="003749C2">
            <w:pPr>
              <w:rPr>
                <w:rFonts w:cs="Arial"/>
                <w:b/>
              </w:rPr>
            </w:pPr>
          </w:p>
        </w:tc>
      </w:tr>
      <w:tr w:rsidR="003749C2">
        <w:tc>
          <w:tcPr>
            <w:tcW w:w="426" w:type="dxa"/>
            <w:tcBorders>
              <w:top w:val="single" w:sz="4" w:space="0" w:color="000000"/>
              <w:left w:val="single" w:sz="4" w:space="0" w:color="000000"/>
              <w:bottom w:val="single" w:sz="4" w:space="0" w:color="000000"/>
              <w:right w:val="single" w:sz="4" w:space="0" w:color="000000"/>
            </w:tcBorders>
          </w:tcPr>
          <w:p w:rsidR="003749C2" w:rsidRDefault="003641EC">
            <w:pPr>
              <w:rPr>
                <w:rFonts w:cs="Arial"/>
                <w:sz w:val="24"/>
                <w:szCs w:val="24"/>
              </w:rPr>
            </w:pPr>
            <w:r>
              <w:rPr>
                <w:rFonts w:cs="Arial"/>
                <w:sz w:val="24"/>
                <w:szCs w:val="24"/>
              </w:rPr>
              <w:t>3</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3749C2" w:rsidRDefault="003641EC">
            <w:r>
              <w:rPr>
                <w:noProof/>
                <w:lang w:val="en-GB" w:eastAsia="en-GB"/>
              </w:rPr>
              <w:drawing>
                <wp:inline distT="0" distB="0" distL="0" distR="0" wp14:anchorId="46A7B6F4" wp14:editId="2B228556">
                  <wp:extent cx="2195945" cy="1206037"/>
                  <wp:effectExtent l="0" t="0" r="0" b="0"/>
                  <wp:docPr id="4" name="Image 4" descr="Heiz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izu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96797" cy="1206505"/>
                          </a:xfrm>
                          <a:prstGeom prst="rect">
                            <a:avLst/>
                          </a:prstGeom>
                          <a:noFill/>
                          <a:ln>
                            <a:noFill/>
                          </a:ln>
                        </pic:spPr>
                      </pic:pic>
                    </a:graphicData>
                  </a:graphic>
                </wp:inline>
              </w:drawing>
            </w:r>
          </w:p>
        </w:tc>
        <w:tc>
          <w:tcPr>
            <w:tcW w:w="3543" w:type="dxa"/>
            <w:tcBorders>
              <w:top w:val="single" w:sz="4" w:space="0" w:color="000000"/>
              <w:left w:val="single" w:sz="4" w:space="0" w:color="000000"/>
              <w:bottom w:val="single" w:sz="4" w:space="0" w:color="000000"/>
              <w:right w:val="single" w:sz="4" w:space="0" w:color="000000"/>
            </w:tcBorders>
          </w:tcPr>
          <w:p w:rsidR="003749C2" w:rsidRPr="00A12279" w:rsidRDefault="003641EC">
            <w:pPr>
              <w:rPr>
                <w:rFonts w:cs="Arial"/>
                <w:b/>
              </w:rPr>
            </w:pPr>
            <w:r w:rsidRPr="00A12279">
              <w:rPr>
                <w:rFonts w:cs="Arial"/>
                <w:b/>
              </w:rPr>
              <w:t>Equipement de chauffage</w:t>
            </w:r>
          </w:p>
          <w:p w:rsidR="003749C2" w:rsidRPr="00A12279" w:rsidRDefault="003641EC">
            <w:pPr>
              <w:rPr>
                <w:rFonts w:cs="Arial"/>
              </w:rPr>
            </w:pPr>
            <w:r w:rsidRPr="00A12279">
              <w:rPr>
                <w:rFonts w:cs="Arial"/>
              </w:rPr>
              <w:t>Véhicule, remorque</w:t>
            </w:r>
          </w:p>
          <w:p w:rsidR="003749C2" w:rsidRPr="00A12279" w:rsidRDefault="003641EC">
            <w:pPr>
              <w:rPr>
                <w:rFonts w:cs="Arial"/>
              </w:rPr>
            </w:pPr>
            <w:r w:rsidRPr="00A12279">
              <w:rPr>
                <w:rFonts w:cs="Arial"/>
              </w:rPr>
              <w:t>Combustible liquide</w:t>
            </w:r>
          </w:p>
          <w:p w:rsidR="003749C2" w:rsidRPr="00A12279" w:rsidRDefault="003641EC">
            <w:pPr>
              <w:rPr>
                <w:rFonts w:cs="Arial"/>
              </w:rPr>
            </w:pPr>
            <w:r w:rsidRPr="00A12279">
              <w:rPr>
                <w:rFonts w:cs="Arial"/>
              </w:rPr>
              <w:t>Huile de chauffe UN 1202</w:t>
            </w:r>
          </w:p>
          <w:p w:rsidR="003749C2" w:rsidRPr="00A12279" w:rsidRDefault="003641EC">
            <w:pPr>
              <w:rPr>
                <w:rFonts w:cs="Arial"/>
              </w:rPr>
            </w:pPr>
            <w:r w:rsidRPr="00A12279">
              <w:rPr>
                <w:rFonts w:cs="Arial"/>
              </w:rPr>
              <w:t>Quantité : 100 - 300 l</w:t>
            </w:r>
          </w:p>
          <w:p w:rsidR="003749C2" w:rsidRPr="00A12279" w:rsidRDefault="003749C2">
            <w:pPr>
              <w:rPr>
                <w:rFonts w:cs="Arial"/>
                <w:b/>
              </w:rPr>
            </w:pPr>
          </w:p>
        </w:tc>
      </w:tr>
      <w:tr w:rsidR="003749C2">
        <w:tc>
          <w:tcPr>
            <w:tcW w:w="426" w:type="dxa"/>
            <w:tcBorders>
              <w:top w:val="single" w:sz="4" w:space="0" w:color="000000"/>
              <w:left w:val="single" w:sz="4" w:space="0" w:color="000000"/>
              <w:bottom w:val="single" w:sz="4" w:space="0" w:color="000000"/>
              <w:right w:val="single" w:sz="4" w:space="0" w:color="000000"/>
            </w:tcBorders>
          </w:tcPr>
          <w:p w:rsidR="003749C2" w:rsidRDefault="003641EC">
            <w:pPr>
              <w:rPr>
                <w:rFonts w:cs="Arial"/>
                <w:sz w:val="24"/>
                <w:szCs w:val="24"/>
              </w:rPr>
            </w:pPr>
            <w:r>
              <w:rPr>
                <w:rFonts w:cs="Arial"/>
                <w:sz w:val="24"/>
                <w:szCs w:val="24"/>
              </w:rPr>
              <w:t>4</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3749C2" w:rsidRDefault="003641EC">
            <w:pPr>
              <w:rPr>
                <w:noProof/>
                <w:lang w:val="en-US"/>
              </w:rPr>
            </w:pPr>
            <w:r>
              <w:rPr>
                <w:noProof/>
                <w:lang w:val="en-GB" w:eastAsia="en-GB"/>
              </w:rPr>
              <w:drawing>
                <wp:inline distT="0" distB="0" distL="0" distR="0" wp14:anchorId="2B95C5C6" wp14:editId="2BD0F5BA">
                  <wp:extent cx="3498272" cy="2054929"/>
                  <wp:effectExtent l="0" t="0" r="6985" b="254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02671" cy="2057513"/>
                          </a:xfrm>
                          <a:prstGeom prst="rect">
                            <a:avLst/>
                          </a:prstGeom>
                        </pic:spPr>
                      </pic:pic>
                    </a:graphicData>
                  </a:graphic>
                </wp:inline>
              </w:drawing>
            </w:r>
          </w:p>
        </w:tc>
        <w:tc>
          <w:tcPr>
            <w:tcW w:w="3543" w:type="dxa"/>
            <w:tcBorders>
              <w:top w:val="single" w:sz="4" w:space="0" w:color="000000"/>
              <w:left w:val="single" w:sz="4" w:space="0" w:color="000000"/>
              <w:bottom w:val="single" w:sz="4" w:space="0" w:color="000000"/>
              <w:right w:val="single" w:sz="4" w:space="0" w:color="000000"/>
            </w:tcBorders>
          </w:tcPr>
          <w:p w:rsidR="003749C2" w:rsidRPr="00A12279" w:rsidRDefault="003641EC">
            <w:pPr>
              <w:rPr>
                <w:rFonts w:cs="Arial"/>
                <w:b/>
              </w:rPr>
            </w:pPr>
            <w:r w:rsidRPr="00A12279">
              <w:rPr>
                <w:rFonts w:cs="Arial"/>
                <w:b/>
              </w:rPr>
              <w:t>Appareil de chauffage pour la bâche du véhicule</w:t>
            </w:r>
          </w:p>
          <w:p w:rsidR="003749C2" w:rsidRPr="00A12279" w:rsidRDefault="003641EC">
            <w:pPr>
              <w:rPr>
                <w:rFonts w:cs="Arial"/>
              </w:rPr>
            </w:pPr>
            <w:r w:rsidRPr="00A12279">
              <w:rPr>
                <w:rFonts w:cs="Arial"/>
              </w:rPr>
              <w:t>Réservoir de la remorque 25 l</w:t>
            </w:r>
          </w:p>
        </w:tc>
      </w:tr>
      <w:tr w:rsidR="003749C2">
        <w:tc>
          <w:tcPr>
            <w:tcW w:w="426" w:type="dxa"/>
            <w:tcBorders>
              <w:top w:val="single" w:sz="4" w:space="0" w:color="000000"/>
              <w:left w:val="single" w:sz="4" w:space="0" w:color="000000"/>
              <w:bottom w:val="single" w:sz="4" w:space="0" w:color="000000"/>
              <w:right w:val="single" w:sz="4" w:space="0" w:color="000000"/>
            </w:tcBorders>
          </w:tcPr>
          <w:p w:rsidR="003749C2" w:rsidRDefault="003749C2">
            <w:pPr>
              <w:rPr>
                <w:rFonts w:cs="Arial"/>
                <w:sz w:val="24"/>
                <w:szCs w:val="24"/>
              </w:rPr>
            </w:pP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3749C2" w:rsidRDefault="003641EC">
            <w:pPr>
              <w:rPr>
                <w:noProof/>
                <w:lang w:val="en-US"/>
              </w:rPr>
            </w:pPr>
            <w:r>
              <w:rPr>
                <w:noProof/>
                <w:lang w:val="en-GB" w:eastAsia="en-GB"/>
              </w:rPr>
              <w:drawing>
                <wp:inline distT="0" distB="0" distL="0" distR="0" wp14:anchorId="41665384" wp14:editId="0D9EB743">
                  <wp:extent cx="1981200" cy="1438275"/>
                  <wp:effectExtent l="0" t="0" r="0" b="95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morque frigo.jpg"/>
                          <pic:cNvPicPr/>
                        </pic:nvPicPr>
                        <pic:blipFill>
                          <a:blip r:embed="rId15">
                            <a:extLst>
                              <a:ext uri="{28A0092B-C50C-407E-A947-70E740481C1C}">
                                <a14:useLocalDpi xmlns:a14="http://schemas.microsoft.com/office/drawing/2010/main" val="0"/>
                              </a:ext>
                            </a:extLst>
                          </a:blip>
                          <a:stretch>
                            <a:fillRect/>
                          </a:stretch>
                        </pic:blipFill>
                        <pic:spPr>
                          <a:xfrm>
                            <a:off x="0" y="0"/>
                            <a:ext cx="1981200" cy="1438275"/>
                          </a:xfrm>
                          <a:prstGeom prst="rect">
                            <a:avLst/>
                          </a:prstGeom>
                        </pic:spPr>
                      </pic:pic>
                    </a:graphicData>
                  </a:graphic>
                </wp:inline>
              </w:drawing>
            </w:r>
          </w:p>
        </w:tc>
        <w:tc>
          <w:tcPr>
            <w:tcW w:w="3543" w:type="dxa"/>
            <w:tcBorders>
              <w:top w:val="single" w:sz="4" w:space="0" w:color="000000"/>
              <w:left w:val="single" w:sz="4" w:space="0" w:color="000000"/>
              <w:bottom w:val="single" w:sz="4" w:space="0" w:color="000000"/>
              <w:right w:val="single" w:sz="4" w:space="0" w:color="000000"/>
            </w:tcBorders>
          </w:tcPr>
          <w:p w:rsidR="003749C2" w:rsidRPr="00A12279" w:rsidRDefault="003641EC">
            <w:pPr>
              <w:rPr>
                <w:rFonts w:cs="Arial"/>
                <w:b/>
              </w:rPr>
            </w:pPr>
            <w:r w:rsidRPr="00A12279">
              <w:rPr>
                <w:rFonts w:cs="Arial"/>
                <w:b/>
              </w:rPr>
              <w:t>Remorque frigorifique</w:t>
            </w:r>
          </w:p>
        </w:tc>
      </w:tr>
    </w:tbl>
    <w:p w:rsidR="003749C2" w:rsidRDefault="003641EC">
      <w:pPr>
        <w:pStyle w:val="SingleTxtG"/>
        <w:spacing w:before="240" w:after="0"/>
        <w:ind w:left="709"/>
        <w:jc w:val="center"/>
        <w:rPr>
          <w:u w:val="single"/>
        </w:rPr>
      </w:pPr>
      <w:r>
        <w:rPr>
          <w:u w:val="single"/>
        </w:rPr>
        <w:tab/>
      </w:r>
      <w:r>
        <w:rPr>
          <w:u w:val="single"/>
        </w:rPr>
        <w:tab/>
      </w:r>
      <w:r>
        <w:rPr>
          <w:u w:val="single"/>
        </w:rPr>
        <w:tab/>
      </w:r>
    </w:p>
    <w:sectPr w:rsidR="003749C2">
      <w:headerReference w:type="even" r:id="rId16"/>
      <w:headerReference w:type="default" r:id="rId17"/>
      <w:footerReference w:type="even" r:id="rId18"/>
      <w:footerReference w:type="default" r:id="rId19"/>
      <w:endnotePr>
        <w:numFmt w:val="decimal"/>
      </w:endnotePr>
      <w:pgSz w:w="11907" w:h="16840" w:code="9"/>
      <w:pgMar w:top="1701" w:right="1134" w:bottom="2268" w:left="1134" w:header="1134" w:footer="1701"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7FF5" w:rsidRDefault="004E7FF5"/>
  </w:endnote>
  <w:endnote w:type="continuationSeparator" w:id="0">
    <w:p w:rsidR="004E7FF5" w:rsidRDefault="004E7FF5"/>
  </w:endnote>
  <w:endnote w:type="continuationNotice" w:id="1">
    <w:p w:rsidR="004E7FF5" w:rsidRDefault="004E7F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7FF5" w:rsidRDefault="004E7FF5">
    <w:pPr>
      <w:pStyle w:val="Footer"/>
      <w:tabs>
        <w:tab w:val="right" w:pos="9638"/>
      </w:tabs>
    </w:pPr>
    <w:r>
      <w:rPr>
        <w:b/>
        <w:sz w:val="18"/>
      </w:rPr>
      <w:fldChar w:fldCharType="begin"/>
    </w:r>
    <w:r>
      <w:rPr>
        <w:b/>
        <w:sz w:val="18"/>
      </w:rPr>
      <w:instrText xml:space="preserve"> PAGE  \* MERGEFORMAT </w:instrText>
    </w:r>
    <w:r>
      <w:rPr>
        <w:b/>
        <w:sz w:val="18"/>
      </w:rPr>
      <w:fldChar w:fldCharType="separate"/>
    </w:r>
    <w:r w:rsidR="00DC39BF">
      <w:rPr>
        <w:b/>
        <w:noProof/>
        <w:sz w:val="18"/>
      </w:rPr>
      <w:t>8</w:t>
    </w:r>
    <w:r>
      <w:rPr>
        <w:b/>
        <w:sz w:val="18"/>
      </w:rPr>
      <w:fldChar w:fldCharType="end"/>
    </w:r>
    <w:r>
      <w:rPr>
        <w:b/>
        <w:sz w:val="18"/>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7FF5" w:rsidRDefault="004E7FF5">
    <w:pPr>
      <w:pStyle w:val="Footer"/>
      <w:tabs>
        <w:tab w:val="right" w:pos="9638"/>
      </w:tabs>
      <w:rPr>
        <w:b/>
        <w:sz w:val="18"/>
      </w:rPr>
    </w:pPr>
    <w:r>
      <w:tab/>
    </w:r>
    <w:r>
      <w:rPr>
        <w:b/>
        <w:sz w:val="18"/>
      </w:rPr>
      <w:fldChar w:fldCharType="begin"/>
    </w:r>
    <w:r>
      <w:rPr>
        <w:b/>
        <w:sz w:val="18"/>
      </w:rPr>
      <w:instrText xml:space="preserve"> PAGE  \* MERGEFORMAT </w:instrText>
    </w:r>
    <w:r>
      <w:rPr>
        <w:b/>
        <w:sz w:val="18"/>
      </w:rPr>
      <w:fldChar w:fldCharType="separate"/>
    </w:r>
    <w:r w:rsidR="00DC39BF">
      <w:rPr>
        <w:b/>
        <w:noProof/>
        <w:sz w:val="18"/>
      </w:rPr>
      <w:t>7</w:t>
    </w:r>
    <w:r>
      <w:rPr>
        <w:b/>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7FF5" w:rsidRDefault="004E7FF5">
      <w:pPr>
        <w:tabs>
          <w:tab w:val="right" w:pos="2155"/>
        </w:tabs>
        <w:spacing w:after="80"/>
        <w:ind w:left="680"/>
        <w:rPr>
          <w:u w:val="single"/>
        </w:rPr>
      </w:pPr>
      <w:r>
        <w:rPr>
          <w:u w:val="single"/>
        </w:rPr>
        <w:tab/>
      </w:r>
    </w:p>
  </w:footnote>
  <w:footnote w:type="continuationSeparator" w:id="0">
    <w:p w:rsidR="004E7FF5" w:rsidRDefault="004E7FF5">
      <w:pPr>
        <w:tabs>
          <w:tab w:val="right" w:pos="2155"/>
        </w:tabs>
        <w:spacing w:after="80"/>
        <w:ind w:left="680"/>
        <w:rPr>
          <w:u w:val="single"/>
        </w:rPr>
      </w:pPr>
      <w:r>
        <w:rPr>
          <w:u w:val="single"/>
        </w:rPr>
        <w:tab/>
      </w:r>
    </w:p>
  </w:footnote>
  <w:footnote w:type="continuationNotice" w:id="1">
    <w:p w:rsidR="004E7FF5" w:rsidRDefault="004E7FF5"/>
  </w:footnote>
  <w:footnote w:id="2">
    <w:p w:rsidR="004E7FF5" w:rsidRPr="002F1DF0" w:rsidRDefault="004E7FF5" w:rsidP="00B669F8">
      <w:pPr>
        <w:pStyle w:val="FootnoteText"/>
        <w:tabs>
          <w:tab w:val="clear" w:pos="1021"/>
        </w:tabs>
        <w:ind w:left="1418" w:hanging="284"/>
        <w:jc w:val="both"/>
      </w:pPr>
      <w:r>
        <w:rPr>
          <w:rStyle w:val="FootnoteReference"/>
        </w:rPr>
        <w:footnoteRef/>
      </w:r>
      <w:r w:rsidRPr="002F1DF0">
        <w:tab/>
        <w:t>Conformément au projet de programme de travail du Comité des Transports Intérieurs pour 2016-2017, (ECE/TRANS/WP.15/2015/19 (9.2)).</w:t>
      </w:r>
    </w:p>
  </w:footnote>
  <w:footnote w:id="3">
    <w:p w:rsidR="004E7FF5" w:rsidRPr="002F1DF0" w:rsidRDefault="004E7FF5" w:rsidP="00B669F8">
      <w:pPr>
        <w:pStyle w:val="FootnoteText"/>
        <w:tabs>
          <w:tab w:val="clear" w:pos="1021"/>
        </w:tabs>
        <w:ind w:left="1418" w:hanging="284"/>
        <w:jc w:val="both"/>
      </w:pPr>
      <w:r w:rsidRPr="002F1DF0">
        <w:rPr>
          <w:rStyle w:val="FootnoteReference"/>
        </w:rPr>
        <w:footnoteRef/>
      </w:r>
      <w:r w:rsidRPr="002F1DF0">
        <w:tab/>
        <w:t>Distribué sous la cote OTIF/RID/RC/2016/1</w:t>
      </w:r>
      <w:r>
        <w:t>6</w:t>
      </w:r>
      <w:r w:rsidRPr="002F1DF0">
        <w:t xml:space="preserve"> par l’Organisation intergouvernementale pour les transports internationaux ferroviaires (OTIF).</w:t>
      </w:r>
    </w:p>
    <w:p w:rsidR="004E7FF5" w:rsidRPr="002F1DF0" w:rsidRDefault="004E7FF5" w:rsidP="00B669F8">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7FF5" w:rsidRDefault="004E7FF5">
    <w:pPr>
      <w:pStyle w:val="Header"/>
    </w:pPr>
    <w:r>
      <w:t>ECE/TRANS/WP.15/AC.1/2016/16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7FF5" w:rsidRDefault="004E7FF5">
    <w:pPr>
      <w:pStyle w:val="Header"/>
      <w:jc w:val="right"/>
    </w:pPr>
    <w:r>
      <w:t>ECE/TRANS/WP.15/AC.1/2016/16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nsid w:val="0F8E69E7"/>
    <w:multiLevelType w:val="hybridMultilevel"/>
    <w:tmpl w:val="2F28A252"/>
    <w:lvl w:ilvl="0" w:tplc="0409000F">
      <w:start w:val="1"/>
      <w:numFmt w:val="decimal"/>
      <w:lvlText w:val="%1."/>
      <w:lvlJc w:val="left"/>
      <w:pPr>
        <w:tabs>
          <w:tab w:val="num" w:pos="1854"/>
        </w:tabs>
        <w:ind w:left="1854" w:hanging="360"/>
      </w:pPr>
      <w:rPr>
        <w:rFonts w:hint="default"/>
      </w:rPr>
    </w:lvl>
    <w:lvl w:ilvl="1" w:tplc="2360900C" w:tentative="1">
      <w:start w:val="1"/>
      <w:numFmt w:val="bullet"/>
      <w:lvlText w:val="•"/>
      <w:lvlJc w:val="left"/>
      <w:pPr>
        <w:tabs>
          <w:tab w:val="num" w:pos="2574"/>
        </w:tabs>
        <w:ind w:left="2574" w:hanging="360"/>
      </w:pPr>
      <w:rPr>
        <w:rFonts w:ascii="Times New Roman" w:hAnsi="Times New Roman" w:hint="default"/>
      </w:rPr>
    </w:lvl>
    <w:lvl w:ilvl="2" w:tplc="C1C66FE4" w:tentative="1">
      <w:start w:val="1"/>
      <w:numFmt w:val="bullet"/>
      <w:lvlText w:val="•"/>
      <w:lvlJc w:val="left"/>
      <w:pPr>
        <w:tabs>
          <w:tab w:val="num" w:pos="3294"/>
        </w:tabs>
        <w:ind w:left="3294" w:hanging="360"/>
      </w:pPr>
      <w:rPr>
        <w:rFonts w:ascii="Times New Roman" w:hAnsi="Times New Roman" w:hint="default"/>
      </w:rPr>
    </w:lvl>
    <w:lvl w:ilvl="3" w:tplc="FE2A2488" w:tentative="1">
      <w:start w:val="1"/>
      <w:numFmt w:val="bullet"/>
      <w:lvlText w:val="•"/>
      <w:lvlJc w:val="left"/>
      <w:pPr>
        <w:tabs>
          <w:tab w:val="num" w:pos="4014"/>
        </w:tabs>
        <w:ind w:left="4014" w:hanging="360"/>
      </w:pPr>
      <w:rPr>
        <w:rFonts w:ascii="Times New Roman" w:hAnsi="Times New Roman" w:hint="default"/>
      </w:rPr>
    </w:lvl>
    <w:lvl w:ilvl="4" w:tplc="E3D64EBE" w:tentative="1">
      <w:start w:val="1"/>
      <w:numFmt w:val="bullet"/>
      <w:lvlText w:val="•"/>
      <w:lvlJc w:val="left"/>
      <w:pPr>
        <w:tabs>
          <w:tab w:val="num" w:pos="4734"/>
        </w:tabs>
        <w:ind w:left="4734" w:hanging="360"/>
      </w:pPr>
      <w:rPr>
        <w:rFonts w:ascii="Times New Roman" w:hAnsi="Times New Roman" w:hint="default"/>
      </w:rPr>
    </w:lvl>
    <w:lvl w:ilvl="5" w:tplc="61243CB0" w:tentative="1">
      <w:start w:val="1"/>
      <w:numFmt w:val="bullet"/>
      <w:lvlText w:val="•"/>
      <w:lvlJc w:val="left"/>
      <w:pPr>
        <w:tabs>
          <w:tab w:val="num" w:pos="5454"/>
        </w:tabs>
        <w:ind w:left="5454" w:hanging="360"/>
      </w:pPr>
      <w:rPr>
        <w:rFonts w:ascii="Times New Roman" w:hAnsi="Times New Roman" w:hint="default"/>
      </w:rPr>
    </w:lvl>
    <w:lvl w:ilvl="6" w:tplc="8E7492A8" w:tentative="1">
      <w:start w:val="1"/>
      <w:numFmt w:val="bullet"/>
      <w:lvlText w:val="•"/>
      <w:lvlJc w:val="left"/>
      <w:pPr>
        <w:tabs>
          <w:tab w:val="num" w:pos="6174"/>
        </w:tabs>
        <w:ind w:left="6174" w:hanging="360"/>
      </w:pPr>
      <w:rPr>
        <w:rFonts w:ascii="Times New Roman" w:hAnsi="Times New Roman" w:hint="default"/>
      </w:rPr>
    </w:lvl>
    <w:lvl w:ilvl="7" w:tplc="AC14193E" w:tentative="1">
      <w:start w:val="1"/>
      <w:numFmt w:val="bullet"/>
      <w:lvlText w:val="•"/>
      <w:lvlJc w:val="left"/>
      <w:pPr>
        <w:tabs>
          <w:tab w:val="num" w:pos="6894"/>
        </w:tabs>
        <w:ind w:left="6894" w:hanging="360"/>
      </w:pPr>
      <w:rPr>
        <w:rFonts w:ascii="Times New Roman" w:hAnsi="Times New Roman" w:hint="default"/>
      </w:rPr>
    </w:lvl>
    <w:lvl w:ilvl="8" w:tplc="B6C072C2" w:tentative="1">
      <w:start w:val="1"/>
      <w:numFmt w:val="bullet"/>
      <w:lvlText w:val="•"/>
      <w:lvlJc w:val="left"/>
      <w:pPr>
        <w:tabs>
          <w:tab w:val="num" w:pos="7614"/>
        </w:tabs>
        <w:ind w:left="7614" w:hanging="360"/>
      </w:pPr>
      <w:rPr>
        <w:rFonts w:ascii="Times New Roman" w:hAnsi="Times New Roman" w:hint="default"/>
      </w:rPr>
    </w:lvl>
  </w:abstractNum>
  <w:abstractNum w:abstractNumId="2">
    <w:nsid w:val="1AB54FEE"/>
    <w:multiLevelType w:val="hybridMultilevel"/>
    <w:tmpl w:val="2D929E3C"/>
    <w:lvl w:ilvl="0" w:tplc="04090019">
      <w:start w:val="1"/>
      <w:numFmt w:val="lowerLetter"/>
      <w:lvlText w:val="%1."/>
      <w:lvlJc w:val="left"/>
      <w:pPr>
        <w:ind w:left="1854" w:hanging="360"/>
      </w:pPr>
      <w:rPr>
        <w:rFonts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3">
    <w:nsid w:val="1B4C6716"/>
    <w:multiLevelType w:val="hybridMultilevel"/>
    <w:tmpl w:val="DD385F0C"/>
    <w:lvl w:ilvl="0" w:tplc="F64C8474">
      <w:start w:val="1"/>
      <w:numFmt w:val="decimal"/>
      <w:lvlText w:val="%1."/>
      <w:lvlJc w:val="left"/>
      <w:pPr>
        <w:ind w:left="1710" w:hanging="576"/>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4">
    <w:nsid w:val="2BC60ECF"/>
    <w:multiLevelType w:val="hybridMultilevel"/>
    <w:tmpl w:val="A1886658"/>
    <w:lvl w:ilvl="0" w:tplc="04090019">
      <w:start w:val="1"/>
      <w:numFmt w:val="lowerLetter"/>
      <w:lvlText w:val="%1."/>
      <w:lvlJc w:val="left"/>
      <w:pPr>
        <w:tabs>
          <w:tab w:val="num" w:pos="1854"/>
        </w:tabs>
        <w:ind w:left="1854" w:hanging="360"/>
      </w:pPr>
      <w:rPr>
        <w:rFonts w:hint="default"/>
      </w:rPr>
    </w:lvl>
    <w:lvl w:ilvl="1" w:tplc="2360900C" w:tentative="1">
      <w:start w:val="1"/>
      <w:numFmt w:val="bullet"/>
      <w:lvlText w:val="•"/>
      <w:lvlJc w:val="left"/>
      <w:pPr>
        <w:tabs>
          <w:tab w:val="num" w:pos="2574"/>
        </w:tabs>
        <w:ind w:left="2574" w:hanging="360"/>
      </w:pPr>
      <w:rPr>
        <w:rFonts w:ascii="Times New Roman" w:hAnsi="Times New Roman" w:hint="default"/>
      </w:rPr>
    </w:lvl>
    <w:lvl w:ilvl="2" w:tplc="C1C66FE4" w:tentative="1">
      <w:start w:val="1"/>
      <w:numFmt w:val="bullet"/>
      <w:lvlText w:val="•"/>
      <w:lvlJc w:val="left"/>
      <w:pPr>
        <w:tabs>
          <w:tab w:val="num" w:pos="3294"/>
        </w:tabs>
        <w:ind w:left="3294" w:hanging="360"/>
      </w:pPr>
      <w:rPr>
        <w:rFonts w:ascii="Times New Roman" w:hAnsi="Times New Roman" w:hint="default"/>
      </w:rPr>
    </w:lvl>
    <w:lvl w:ilvl="3" w:tplc="FE2A2488" w:tentative="1">
      <w:start w:val="1"/>
      <w:numFmt w:val="bullet"/>
      <w:lvlText w:val="•"/>
      <w:lvlJc w:val="left"/>
      <w:pPr>
        <w:tabs>
          <w:tab w:val="num" w:pos="4014"/>
        </w:tabs>
        <w:ind w:left="4014" w:hanging="360"/>
      </w:pPr>
      <w:rPr>
        <w:rFonts w:ascii="Times New Roman" w:hAnsi="Times New Roman" w:hint="default"/>
      </w:rPr>
    </w:lvl>
    <w:lvl w:ilvl="4" w:tplc="E3D64EBE" w:tentative="1">
      <w:start w:val="1"/>
      <w:numFmt w:val="bullet"/>
      <w:lvlText w:val="•"/>
      <w:lvlJc w:val="left"/>
      <w:pPr>
        <w:tabs>
          <w:tab w:val="num" w:pos="4734"/>
        </w:tabs>
        <w:ind w:left="4734" w:hanging="360"/>
      </w:pPr>
      <w:rPr>
        <w:rFonts w:ascii="Times New Roman" w:hAnsi="Times New Roman" w:hint="default"/>
      </w:rPr>
    </w:lvl>
    <w:lvl w:ilvl="5" w:tplc="61243CB0" w:tentative="1">
      <w:start w:val="1"/>
      <w:numFmt w:val="bullet"/>
      <w:lvlText w:val="•"/>
      <w:lvlJc w:val="left"/>
      <w:pPr>
        <w:tabs>
          <w:tab w:val="num" w:pos="5454"/>
        </w:tabs>
        <w:ind w:left="5454" w:hanging="360"/>
      </w:pPr>
      <w:rPr>
        <w:rFonts w:ascii="Times New Roman" w:hAnsi="Times New Roman" w:hint="default"/>
      </w:rPr>
    </w:lvl>
    <w:lvl w:ilvl="6" w:tplc="8E7492A8" w:tentative="1">
      <w:start w:val="1"/>
      <w:numFmt w:val="bullet"/>
      <w:lvlText w:val="•"/>
      <w:lvlJc w:val="left"/>
      <w:pPr>
        <w:tabs>
          <w:tab w:val="num" w:pos="6174"/>
        </w:tabs>
        <w:ind w:left="6174" w:hanging="360"/>
      </w:pPr>
      <w:rPr>
        <w:rFonts w:ascii="Times New Roman" w:hAnsi="Times New Roman" w:hint="default"/>
      </w:rPr>
    </w:lvl>
    <w:lvl w:ilvl="7" w:tplc="AC14193E" w:tentative="1">
      <w:start w:val="1"/>
      <w:numFmt w:val="bullet"/>
      <w:lvlText w:val="•"/>
      <w:lvlJc w:val="left"/>
      <w:pPr>
        <w:tabs>
          <w:tab w:val="num" w:pos="6894"/>
        </w:tabs>
        <w:ind w:left="6894" w:hanging="360"/>
      </w:pPr>
      <w:rPr>
        <w:rFonts w:ascii="Times New Roman" w:hAnsi="Times New Roman" w:hint="default"/>
      </w:rPr>
    </w:lvl>
    <w:lvl w:ilvl="8" w:tplc="B6C072C2" w:tentative="1">
      <w:start w:val="1"/>
      <w:numFmt w:val="bullet"/>
      <w:lvlText w:val="•"/>
      <w:lvlJc w:val="left"/>
      <w:pPr>
        <w:tabs>
          <w:tab w:val="num" w:pos="7614"/>
        </w:tabs>
        <w:ind w:left="7614" w:hanging="360"/>
      </w:pPr>
      <w:rPr>
        <w:rFonts w:ascii="Times New Roman" w:hAnsi="Times New Roman" w:hint="default"/>
      </w:rPr>
    </w:lvl>
  </w:abstractNum>
  <w:abstractNum w:abstractNumId="5">
    <w:nsid w:val="3ACF4EB2"/>
    <w:multiLevelType w:val="hybridMultilevel"/>
    <w:tmpl w:val="3F2CCC0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6">
    <w:nsid w:val="3B113379"/>
    <w:multiLevelType w:val="hybridMultilevel"/>
    <w:tmpl w:val="7488FA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2D40E50"/>
    <w:multiLevelType w:val="hybridMultilevel"/>
    <w:tmpl w:val="9C0ACA72"/>
    <w:lvl w:ilvl="0" w:tplc="0D50022E">
      <w:start w:val="5"/>
      <w:numFmt w:val="bullet"/>
      <w:lvlText w:val="-"/>
      <w:lvlJc w:val="left"/>
      <w:pPr>
        <w:ind w:left="1854" w:hanging="360"/>
      </w:pPr>
      <w:rPr>
        <w:rFonts w:ascii="Times New Roman" w:eastAsia="Times New Roman" w:hAnsi="Times New Roman" w:cs="Times New Roman"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8">
    <w:nsid w:val="4AC35B49"/>
    <w:multiLevelType w:val="hybridMultilevel"/>
    <w:tmpl w:val="F7AC1D3C"/>
    <w:lvl w:ilvl="0" w:tplc="04C2C946">
      <w:start w:val="1"/>
      <w:numFmt w:val="decimal"/>
      <w:lvlText w:val="%1."/>
      <w:lvlJc w:val="left"/>
      <w:pPr>
        <w:ind w:left="924" w:hanging="56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4946D47"/>
    <w:multiLevelType w:val="hybridMultilevel"/>
    <w:tmpl w:val="E6168740"/>
    <w:lvl w:ilvl="0" w:tplc="36A4983C">
      <w:start w:val="5"/>
      <w:numFmt w:val="bullet"/>
      <w:lvlText w:val=""/>
      <w:lvlJc w:val="left"/>
      <w:pPr>
        <w:ind w:left="1494" w:hanging="360"/>
      </w:pPr>
      <w:rPr>
        <w:rFonts w:ascii="Symbol" w:eastAsia="Times New Roman" w:hAnsi="Symbol"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10">
    <w:nsid w:val="62FA4BD4"/>
    <w:multiLevelType w:val="hybridMultilevel"/>
    <w:tmpl w:val="A80419C8"/>
    <w:lvl w:ilvl="0" w:tplc="5D585758">
      <w:start w:val="1"/>
      <w:numFmt w:val="bullet"/>
      <w:lvlText w:val="•"/>
      <w:lvlJc w:val="left"/>
      <w:pPr>
        <w:tabs>
          <w:tab w:val="num" w:pos="1854"/>
        </w:tabs>
        <w:ind w:left="1854" w:hanging="360"/>
      </w:pPr>
      <w:rPr>
        <w:rFonts w:ascii="Times New Roman" w:hAnsi="Times New Roman" w:hint="default"/>
      </w:rPr>
    </w:lvl>
    <w:lvl w:ilvl="1" w:tplc="2360900C" w:tentative="1">
      <w:start w:val="1"/>
      <w:numFmt w:val="bullet"/>
      <w:lvlText w:val="•"/>
      <w:lvlJc w:val="left"/>
      <w:pPr>
        <w:tabs>
          <w:tab w:val="num" w:pos="2574"/>
        </w:tabs>
        <w:ind w:left="2574" w:hanging="360"/>
      </w:pPr>
      <w:rPr>
        <w:rFonts w:ascii="Times New Roman" w:hAnsi="Times New Roman" w:hint="default"/>
      </w:rPr>
    </w:lvl>
    <w:lvl w:ilvl="2" w:tplc="C1C66FE4" w:tentative="1">
      <w:start w:val="1"/>
      <w:numFmt w:val="bullet"/>
      <w:lvlText w:val="•"/>
      <w:lvlJc w:val="left"/>
      <w:pPr>
        <w:tabs>
          <w:tab w:val="num" w:pos="3294"/>
        </w:tabs>
        <w:ind w:left="3294" w:hanging="360"/>
      </w:pPr>
      <w:rPr>
        <w:rFonts w:ascii="Times New Roman" w:hAnsi="Times New Roman" w:hint="default"/>
      </w:rPr>
    </w:lvl>
    <w:lvl w:ilvl="3" w:tplc="FE2A2488" w:tentative="1">
      <w:start w:val="1"/>
      <w:numFmt w:val="bullet"/>
      <w:lvlText w:val="•"/>
      <w:lvlJc w:val="left"/>
      <w:pPr>
        <w:tabs>
          <w:tab w:val="num" w:pos="4014"/>
        </w:tabs>
        <w:ind w:left="4014" w:hanging="360"/>
      </w:pPr>
      <w:rPr>
        <w:rFonts w:ascii="Times New Roman" w:hAnsi="Times New Roman" w:hint="default"/>
      </w:rPr>
    </w:lvl>
    <w:lvl w:ilvl="4" w:tplc="E3D64EBE" w:tentative="1">
      <w:start w:val="1"/>
      <w:numFmt w:val="bullet"/>
      <w:lvlText w:val="•"/>
      <w:lvlJc w:val="left"/>
      <w:pPr>
        <w:tabs>
          <w:tab w:val="num" w:pos="4734"/>
        </w:tabs>
        <w:ind w:left="4734" w:hanging="360"/>
      </w:pPr>
      <w:rPr>
        <w:rFonts w:ascii="Times New Roman" w:hAnsi="Times New Roman" w:hint="default"/>
      </w:rPr>
    </w:lvl>
    <w:lvl w:ilvl="5" w:tplc="61243CB0" w:tentative="1">
      <w:start w:val="1"/>
      <w:numFmt w:val="bullet"/>
      <w:lvlText w:val="•"/>
      <w:lvlJc w:val="left"/>
      <w:pPr>
        <w:tabs>
          <w:tab w:val="num" w:pos="5454"/>
        </w:tabs>
        <w:ind w:left="5454" w:hanging="360"/>
      </w:pPr>
      <w:rPr>
        <w:rFonts w:ascii="Times New Roman" w:hAnsi="Times New Roman" w:hint="default"/>
      </w:rPr>
    </w:lvl>
    <w:lvl w:ilvl="6" w:tplc="8E7492A8" w:tentative="1">
      <w:start w:val="1"/>
      <w:numFmt w:val="bullet"/>
      <w:lvlText w:val="•"/>
      <w:lvlJc w:val="left"/>
      <w:pPr>
        <w:tabs>
          <w:tab w:val="num" w:pos="6174"/>
        </w:tabs>
        <w:ind w:left="6174" w:hanging="360"/>
      </w:pPr>
      <w:rPr>
        <w:rFonts w:ascii="Times New Roman" w:hAnsi="Times New Roman" w:hint="default"/>
      </w:rPr>
    </w:lvl>
    <w:lvl w:ilvl="7" w:tplc="AC14193E" w:tentative="1">
      <w:start w:val="1"/>
      <w:numFmt w:val="bullet"/>
      <w:lvlText w:val="•"/>
      <w:lvlJc w:val="left"/>
      <w:pPr>
        <w:tabs>
          <w:tab w:val="num" w:pos="6894"/>
        </w:tabs>
        <w:ind w:left="6894" w:hanging="360"/>
      </w:pPr>
      <w:rPr>
        <w:rFonts w:ascii="Times New Roman" w:hAnsi="Times New Roman" w:hint="default"/>
      </w:rPr>
    </w:lvl>
    <w:lvl w:ilvl="8" w:tplc="B6C072C2" w:tentative="1">
      <w:start w:val="1"/>
      <w:numFmt w:val="bullet"/>
      <w:lvlText w:val="•"/>
      <w:lvlJc w:val="left"/>
      <w:pPr>
        <w:tabs>
          <w:tab w:val="num" w:pos="7614"/>
        </w:tabs>
        <w:ind w:left="7614" w:hanging="360"/>
      </w:pPr>
      <w:rPr>
        <w:rFonts w:ascii="Times New Roman" w:hAnsi="Times New Roman" w:hint="default"/>
      </w:rPr>
    </w:lvl>
  </w:abstractNum>
  <w:abstractNum w:abstractNumId="11">
    <w:nsid w:val="68AD07B2"/>
    <w:multiLevelType w:val="hybridMultilevel"/>
    <w:tmpl w:val="D7D4790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12">
    <w:nsid w:val="747C7B9D"/>
    <w:multiLevelType w:val="hybridMultilevel"/>
    <w:tmpl w:val="30CEAA36"/>
    <w:lvl w:ilvl="0" w:tplc="2AFECE70">
      <w:start w:val="1"/>
      <w:numFmt w:val="bullet"/>
      <w:lvlText w:val=""/>
      <w:lvlJc w:val="left"/>
      <w:pPr>
        <w:tabs>
          <w:tab w:val="num" w:pos="1486"/>
        </w:tabs>
        <w:ind w:left="1486" w:hanging="172"/>
      </w:pPr>
      <w:rPr>
        <w:rFonts w:ascii="Symbol" w:hAnsi="Symbol" w:hint="default"/>
        <w:sz w:val="16"/>
        <w:szCs w:val="16"/>
      </w:rPr>
    </w:lvl>
    <w:lvl w:ilvl="1" w:tplc="040C0003" w:tentative="1">
      <w:start w:val="1"/>
      <w:numFmt w:val="bullet"/>
      <w:lvlText w:val="o"/>
      <w:lvlJc w:val="left"/>
      <w:pPr>
        <w:tabs>
          <w:tab w:val="num" w:pos="2574"/>
        </w:tabs>
        <w:ind w:left="2574" w:hanging="360"/>
      </w:pPr>
      <w:rPr>
        <w:rFonts w:ascii="Courier New" w:hAnsi="Courier New" w:cs="Courier New" w:hint="default"/>
      </w:rPr>
    </w:lvl>
    <w:lvl w:ilvl="2" w:tplc="040C0005" w:tentative="1">
      <w:start w:val="1"/>
      <w:numFmt w:val="bullet"/>
      <w:lvlText w:val=""/>
      <w:lvlJc w:val="left"/>
      <w:pPr>
        <w:tabs>
          <w:tab w:val="num" w:pos="3294"/>
        </w:tabs>
        <w:ind w:left="3294" w:hanging="360"/>
      </w:pPr>
      <w:rPr>
        <w:rFonts w:ascii="Wingdings" w:hAnsi="Wingdings" w:hint="default"/>
      </w:rPr>
    </w:lvl>
    <w:lvl w:ilvl="3" w:tplc="040C0001" w:tentative="1">
      <w:start w:val="1"/>
      <w:numFmt w:val="bullet"/>
      <w:lvlText w:val=""/>
      <w:lvlJc w:val="left"/>
      <w:pPr>
        <w:tabs>
          <w:tab w:val="num" w:pos="4014"/>
        </w:tabs>
        <w:ind w:left="4014" w:hanging="360"/>
      </w:pPr>
      <w:rPr>
        <w:rFonts w:ascii="Symbol" w:hAnsi="Symbol" w:hint="default"/>
      </w:rPr>
    </w:lvl>
    <w:lvl w:ilvl="4" w:tplc="040C0003" w:tentative="1">
      <w:start w:val="1"/>
      <w:numFmt w:val="bullet"/>
      <w:lvlText w:val="o"/>
      <w:lvlJc w:val="left"/>
      <w:pPr>
        <w:tabs>
          <w:tab w:val="num" w:pos="4734"/>
        </w:tabs>
        <w:ind w:left="4734" w:hanging="360"/>
      </w:pPr>
      <w:rPr>
        <w:rFonts w:ascii="Courier New" w:hAnsi="Courier New" w:cs="Courier New" w:hint="default"/>
      </w:rPr>
    </w:lvl>
    <w:lvl w:ilvl="5" w:tplc="040C0005" w:tentative="1">
      <w:start w:val="1"/>
      <w:numFmt w:val="bullet"/>
      <w:lvlText w:val=""/>
      <w:lvlJc w:val="left"/>
      <w:pPr>
        <w:tabs>
          <w:tab w:val="num" w:pos="5454"/>
        </w:tabs>
        <w:ind w:left="5454" w:hanging="360"/>
      </w:pPr>
      <w:rPr>
        <w:rFonts w:ascii="Wingdings" w:hAnsi="Wingdings" w:hint="default"/>
      </w:rPr>
    </w:lvl>
    <w:lvl w:ilvl="6" w:tplc="040C0001" w:tentative="1">
      <w:start w:val="1"/>
      <w:numFmt w:val="bullet"/>
      <w:lvlText w:val=""/>
      <w:lvlJc w:val="left"/>
      <w:pPr>
        <w:tabs>
          <w:tab w:val="num" w:pos="6174"/>
        </w:tabs>
        <w:ind w:left="6174" w:hanging="360"/>
      </w:pPr>
      <w:rPr>
        <w:rFonts w:ascii="Symbol" w:hAnsi="Symbol" w:hint="default"/>
      </w:rPr>
    </w:lvl>
    <w:lvl w:ilvl="7" w:tplc="040C0003" w:tentative="1">
      <w:start w:val="1"/>
      <w:numFmt w:val="bullet"/>
      <w:lvlText w:val="o"/>
      <w:lvlJc w:val="left"/>
      <w:pPr>
        <w:tabs>
          <w:tab w:val="num" w:pos="6894"/>
        </w:tabs>
        <w:ind w:left="6894" w:hanging="360"/>
      </w:pPr>
      <w:rPr>
        <w:rFonts w:ascii="Courier New" w:hAnsi="Courier New" w:cs="Courier New" w:hint="default"/>
      </w:rPr>
    </w:lvl>
    <w:lvl w:ilvl="8" w:tplc="040C0005" w:tentative="1">
      <w:start w:val="1"/>
      <w:numFmt w:val="bullet"/>
      <w:lvlText w:val=""/>
      <w:lvlJc w:val="left"/>
      <w:pPr>
        <w:tabs>
          <w:tab w:val="num" w:pos="7614"/>
        </w:tabs>
        <w:ind w:left="7614" w:hanging="360"/>
      </w:pPr>
      <w:rPr>
        <w:rFonts w:ascii="Wingdings" w:hAnsi="Wingdings" w:hint="default"/>
      </w:rPr>
    </w:lvl>
  </w:abstractNum>
  <w:num w:numId="1">
    <w:abstractNumId w:val="11"/>
  </w:num>
  <w:num w:numId="2">
    <w:abstractNumId w:val="5"/>
  </w:num>
  <w:num w:numId="3">
    <w:abstractNumId w:val="12"/>
  </w:num>
  <w:num w:numId="4">
    <w:abstractNumId w:val="11"/>
  </w:num>
  <w:num w:numId="5">
    <w:abstractNumId w:val="11"/>
  </w:num>
  <w:num w:numId="6">
    <w:abstractNumId w:val="11"/>
  </w:num>
  <w:num w:numId="7">
    <w:abstractNumId w:val="11"/>
  </w:num>
  <w:num w:numId="8">
    <w:abstractNumId w:val="3"/>
  </w:num>
  <w:num w:numId="9">
    <w:abstractNumId w:val="10"/>
  </w:num>
  <w:num w:numId="10">
    <w:abstractNumId w:val="1"/>
  </w:num>
  <w:num w:numId="11">
    <w:abstractNumId w:val="4"/>
  </w:num>
  <w:num w:numId="12">
    <w:abstractNumId w:val="8"/>
  </w:num>
  <w:num w:numId="13">
    <w:abstractNumId w:val="9"/>
  </w:num>
  <w:num w:numId="14">
    <w:abstractNumId w:val="0"/>
  </w:num>
  <w:num w:numId="15">
    <w:abstractNumId w:val="7"/>
  </w:num>
  <w:num w:numId="16">
    <w:abstractNumId w:val="2"/>
  </w:num>
  <w:num w:numId="17">
    <w:abstractNumId w:val="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GB" w:vendorID="64" w:dllVersion="131077" w:nlCheck="1" w:checkStyle="1"/>
  <w:activeWritingStyle w:appName="MSWord" w:lang="fr-CH" w:vendorID="64" w:dllVersion="131078" w:nlCheck="1" w:checkStyle="1"/>
  <w:activeWritingStyle w:appName="MSWord" w:lang="fr-FR" w:vendorID="64" w:dllVersion="131078" w:nlCheck="1" w:checkStyle="1"/>
  <w:activeWritingStyle w:appName="MSWord" w:lang="de-DE" w:vendorID="64" w:dllVersion="131078" w:nlCheck="1" w:checkStyle="1"/>
  <w:activeWritingStyle w:appName="MSWord" w:lang="en-GB" w:vendorID="64" w:dllVersion="131078" w:nlCheck="1" w:checkStyle="1"/>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10241"/>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49C2"/>
    <w:rsid w:val="00043508"/>
    <w:rsid w:val="001A22D1"/>
    <w:rsid w:val="001A61AD"/>
    <w:rsid w:val="002C5C7C"/>
    <w:rsid w:val="003641EC"/>
    <w:rsid w:val="003749C2"/>
    <w:rsid w:val="004E7FF5"/>
    <w:rsid w:val="00566F6F"/>
    <w:rsid w:val="00977C4A"/>
    <w:rsid w:val="00A02A89"/>
    <w:rsid w:val="00A12279"/>
    <w:rsid w:val="00A2268E"/>
    <w:rsid w:val="00B669F8"/>
    <w:rsid w:val="00DC39BF"/>
    <w:rsid w:val="00E733B2"/>
    <w:rsid w:val="00E942B1"/>
    <w:rsid w:val="00F057E3"/>
    <w:rsid w:val="00FF0D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note text" w:qFormat="1"/>
    <w:lsdException w:name="caption" w:qFormat="1"/>
    <w:lsdException w:name="footnote reference"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spacing w:line="240" w:lineRule="atLeast"/>
    </w:pPr>
    <w:rPr>
      <w:lang w:val="fr-CH" w:eastAsia="en-US"/>
    </w:rPr>
  </w:style>
  <w:style w:type="paragraph" w:styleId="Heading1">
    <w:name w:val="heading 1"/>
    <w:aliases w:val="Table_G"/>
    <w:basedOn w:val="SingleTxtG"/>
    <w:next w:val="SingleTxtG"/>
    <w:qFormat/>
    <w:pPr>
      <w:keepNext/>
      <w:keepLines/>
      <w:spacing w:after="0" w:line="240" w:lineRule="auto"/>
      <w:ind w:right="0"/>
      <w:jc w:val="left"/>
      <w:outlineLvl w:val="0"/>
    </w:pPr>
  </w:style>
  <w:style w:type="paragraph" w:styleId="Heading2">
    <w:name w:val="heading 2"/>
    <w:basedOn w:val="Normal"/>
    <w:next w:val="Normal"/>
    <w:qFormat/>
    <w:pPr>
      <w:outlineLvl w:val="1"/>
    </w:pPr>
  </w:style>
  <w:style w:type="paragraph" w:styleId="Heading3">
    <w:name w:val="heading 3"/>
    <w:basedOn w:val="Normal"/>
    <w:next w:val="Normal"/>
    <w:qFormat/>
    <w:pPr>
      <w:outlineLvl w:val="2"/>
    </w:pPr>
  </w:style>
  <w:style w:type="paragraph" w:styleId="Heading4">
    <w:name w:val="heading 4"/>
    <w:basedOn w:val="Normal"/>
    <w:next w:val="Normal"/>
    <w:qFormat/>
    <w:pPr>
      <w:outlineLvl w:val="3"/>
    </w:pPr>
  </w:style>
  <w:style w:type="paragraph" w:styleId="Heading5">
    <w:name w:val="heading 5"/>
    <w:basedOn w:val="Normal"/>
    <w:next w:val="Normal"/>
    <w:qFormat/>
    <w:pPr>
      <w:outlineLvl w:val="4"/>
    </w:pPr>
  </w:style>
  <w:style w:type="paragraph" w:styleId="Heading6">
    <w:name w:val="heading 6"/>
    <w:basedOn w:val="Normal"/>
    <w:next w:val="Normal"/>
    <w:qFormat/>
    <w:pPr>
      <w:outlineLvl w:val="5"/>
    </w:pPr>
  </w:style>
  <w:style w:type="paragraph" w:styleId="Heading7">
    <w:name w:val="heading 7"/>
    <w:basedOn w:val="Normal"/>
    <w:next w:val="Normal"/>
    <w:qFormat/>
    <w:pPr>
      <w:outlineLvl w:val="6"/>
    </w:pPr>
  </w:style>
  <w:style w:type="paragraph" w:styleId="Heading8">
    <w:name w:val="heading 8"/>
    <w:basedOn w:val="Normal"/>
    <w:next w:val="Normal"/>
    <w:qFormat/>
    <w:pPr>
      <w:outlineLvl w:val="7"/>
    </w:pPr>
  </w:style>
  <w:style w:type="paragraph" w:styleId="Heading9">
    <w:name w:val="heading 9"/>
    <w:basedOn w:val="Normal"/>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pPr>
      <w:spacing w:after="120"/>
      <w:ind w:left="1134" w:right="1134"/>
      <w:jc w:val="both"/>
    </w:pPr>
  </w:style>
  <w:style w:type="paragraph" w:customStyle="1" w:styleId="SLG">
    <w:name w:val="__S_L_G"/>
    <w:basedOn w:val="Normal"/>
    <w:next w:val="Normal"/>
    <w:pPr>
      <w:keepNext/>
      <w:keepLines/>
      <w:spacing w:before="240" w:after="240" w:line="580" w:lineRule="exact"/>
      <w:ind w:left="1134" w:right="1134"/>
    </w:pPr>
    <w:rPr>
      <w:b/>
      <w:sz w:val="56"/>
    </w:rPr>
  </w:style>
  <w:style w:type="paragraph" w:customStyle="1" w:styleId="SMG">
    <w:name w:val="__S_M_G"/>
    <w:basedOn w:val="Normal"/>
    <w:next w:val="Normal"/>
    <w:pPr>
      <w:keepNext/>
      <w:keepLines/>
      <w:spacing w:before="240" w:after="240" w:line="420" w:lineRule="exact"/>
      <w:ind w:left="1134" w:right="1134"/>
    </w:pPr>
    <w:rPr>
      <w:b/>
      <w:sz w:val="40"/>
    </w:rPr>
  </w:style>
  <w:style w:type="paragraph" w:customStyle="1" w:styleId="SSG">
    <w:name w:val="__S_S_G"/>
    <w:basedOn w:val="Normal"/>
    <w:next w:val="Normal"/>
    <w:pPr>
      <w:keepNext/>
      <w:keepLines/>
      <w:spacing w:before="240" w:after="240" w:line="300" w:lineRule="exact"/>
      <w:ind w:left="1134" w:right="1134"/>
    </w:pPr>
    <w:rPr>
      <w:b/>
      <w:sz w:val="28"/>
    </w:rPr>
  </w:style>
  <w:style w:type="paragraph" w:customStyle="1" w:styleId="XLargeG">
    <w:name w:val="__XLarge_G"/>
    <w:basedOn w:val="Normal"/>
    <w:next w:val="Normal"/>
    <w:pPr>
      <w:keepNext/>
      <w:keepLines/>
      <w:spacing w:before="240" w:after="240" w:line="420" w:lineRule="exact"/>
      <w:ind w:left="1134" w:right="1134"/>
    </w:pPr>
    <w:rPr>
      <w:b/>
      <w:sz w:val="40"/>
    </w:rPr>
  </w:style>
  <w:style w:type="paragraph" w:customStyle="1" w:styleId="Bullet1G">
    <w:name w:val="_Bullet 1_G"/>
    <w:basedOn w:val="Normal"/>
    <w:pPr>
      <w:numPr>
        <w:numId w:val="1"/>
      </w:numPr>
      <w:spacing w:after="120"/>
      <w:ind w:right="1134"/>
      <w:jc w:val="both"/>
    </w:pPr>
  </w:style>
  <w:style w:type="paragraph" w:customStyle="1" w:styleId="Bullet2G">
    <w:name w:val="_Bullet 2_G"/>
    <w:basedOn w:val="Normal"/>
    <w:pPr>
      <w:numPr>
        <w:numId w:val="2"/>
      </w:numPr>
      <w:spacing w:after="120"/>
      <w:ind w:right="1134"/>
      <w:jc w:val="both"/>
    </w:pPr>
  </w:style>
  <w:style w:type="character" w:styleId="FootnoteReference">
    <w:name w:val="footnote reference"/>
    <w:aliases w:val="4_G,Footnote Reference/"/>
    <w:qFormat/>
    <w:rPr>
      <w:rFonts w:ascii="Times New Roman" w:hAnsi="Times New Roman"/>
      <w:sz w:val="18"/>
      <w:vertAlign w:val="superscript"/>
      <w:lang w:val="fr-CH"/>
    </w:rPr>
  </w:style>
  <w:style w:type="character" w:styleId="EndnoteReference">
    <w:name w:val="endnote reference"/>
    <w:aliases w:val="1_G"/>
    <w:basedOn w:val="FootnoteReference"/>
    <w:rPr>
      <w:rFonts w:ascii="Times New Roman" w:hAnsi="Times New Roman"/>
      <w:sz w:val="18"/>
      <w:vertAlign w:val="superscript"/>
      <w:lang w:val="fr-CH"/>
    </w:rPr>
  </w:style>
  <w:style w:type="paragraph" w:styleId="Header">
    <w:name w:val="header"/>
    <w:aliases w:val="6_G"/>
    <w:basedOn w:val="Normal"/>
    <w:next w:val="Normal"/>
    <w:pPr>
      <w:pBdr>
        <w:bottom w:val="single" w:sz="4" w:space="4" w:color="auto"/>
      </w:pBdr>
      <w:spacing w:line="240" w:lineRule="auto"/>
    </w:pPr>
    <w:rPr>
      <w:b/>
      <w:sz w:val="18"/>
    </w:rPr>
  </w:style>
  <w:style w:type="paragraph" w:styleId="FootnoteText">
    <w:name w:val="footnote text"/>
    <w:aliases w:val="5_G"/>
    <w:basedOn w:val="Normal"/>
    <w:link w:val="FootnoteTextChar"/>
    <w:qFormat/>
    <w:pPr>
      <w:tabs>
        <w:tab w:val="right" w:pos="1021"/>
      </w:tabs>
      <w:spacing w:line="220" w:lineRule="exact"/>
      <w:ind w:left="1134" w:right="1134" w:hanging="1134"/>
    </w:pPr>
    <w:rPr>
      <w:sz w:val="18"/>
    </w:rPr>
  </w:style>
  <w:style w:type="paragraph" w:styleId="EndnoteText">
    <w:name w:val="endnote text"/>
    <w:aliases w:val="2_G"/>
    <w:basedOn w:val="FootnoteText"/>
  </w:style>
  <w:style w:type="character" w:styleId="PageNumber">
    <w:name w:val="page number"/>
    <w:aliases w:val="7_G"/>
    <w:rPr>
      <w:rFonts w:ascii="Times New Roman" w:hAnsi="Times New Roman"/>
      <w:b/>
      <w:sz w:val="18"/>
      <w:lang w:val="fr-CH"/>
    </w:rPr>
  </w:style>
  <w:style w:type="paragraph" w:styleId="Footer">
    <w:name w:val="footer"/>
    <w:aliases w:val="3_G"/>
    <w:basedOn w:val="Normal"/>
    <w:next w:val="Normal"/>
    <w:pPr>
      <w:spacing w:line="240" w:lineRule="auto"/>
    </w:pPr>
    <w:rPr>
      <w:sz w:val="16"/>
    </w:rPr>
  </w:style>
  <w:style w:type="character" w:styleId="Hyperlink">
    <w:name w:val="Hyperlink"/>
    <w:semiHidden/>
    <w:rPr>
      <w:color w:val="auto"/>
      <w:u w:val="none"/>
    </w:rPr>
  </w:style>
  <w:style w:type="character" w:styleId="FollowedHyperlink">
    <w:name w:val="FollowedHyperlink"/>
    <w:semiHidden/>
    <w:rPr>
      <w:color w:val="auto"/>
      <w:u w:val="none"/>
    </w:rPr>
  </w:style>
  <w:style w:type="table" w:styleId="TableGrid1">
    <w:name w:val="Table Grid 1"/>
    <w:basedOn w:val="TableNormal"/>
    <w:semiHidden/>
    <w:pPr>
      <w:suppressAutoHyphens/>
      <w:spacing w:line="24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113"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
    <w:name w:val="Table Grid"/>
    <w:basedOn w:val="TableNormal"/>
    <w:semiHidden/>
    <w:pPr>
      <w:suppressAutoHyphens/>
      <w:spacing w:line="24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customStyle="1" w:styleId="SingleTxtGChar">
    <w:name w:val="_ Single Txt_G Char"/>
    <w:link w:val="SingleTxtG"/>
    <w:rPr>
      <w:lang w:val="fr-CH" w:eastAsia="en-US"/>
    </w:rPr>
  </w:style>
  <w:style w:type="paragraph" w:styleId="BalloonText">
    <w:name w:val="Balloon Text"/>
    <w:basedOn w:val="Normal"/>
    <w:link w:val="BalloonTextChar"/>
    <w:pPr>
      <w:spacing w:line="240" w:lineRule="auto"/>
    </w:pPr>
    <w:rPr>
      <w:rFonts w:ascii="Tahoma" w:hAnsi="Tahoma" w:cs="Tahoma"/>
      <w:sz w:val="16"/>
      <w:szCs w:val="16"/>
    </w:rPr>
  </w:style>
  <w:style w:type="character" w:customStyle="1" w:styleId="BalloonTextChar">
    <w:name w:val="Balloon Text Char"/>
    <w:link w:val="BalloonText"/>
    <w:rPr>
      <w:rFonts w:ascii="Tahoma" w:hAnsi="Tahoma" w:cs="Tahoma"/>
      <w:sz w:val="16"/>
      <w:szCs w:val="16"/>
      <w:lang w:val="fr-CH"/>
    </w:rPr>
  </w:style>
  <w:style w:type="character" w:customStyle="1" w:styleId="SingleTxtGCar">
    <w:name w:val="_ Single Txt_G Car"/>
    <w:rPr>
      <w:lang w:val="fr-CH" w:eastAsia="en-US" w:bidi="ar-SA"/>
    </w:rPr>
  </w:style>
  <w:style w:type="character" w:styleId="CommentReference">
    <w:name w:val="annotation reference"/>
    <w:rPr>
      <w:sz w:val="16"/>
      <w:szCs w:val="16"/>
    </w:rPr>
  </w:style>
  <w:style w:type="paragraph" w:styleId="CommentText">
    <w:name w:val="annotation text"/>
    <w:basedOn w:val="Normal"/>
    <w:link w:val="CommentTextChar"/>
  </w:style>
  <w:style w:type="character" w:customStyle="1" w:styleId="CommentTextChar">
    <w:name w:val="Comment Text Char"/>
    <w:link w:val="CommentText"/>
    <w:rPr>
      <w:lang w:val="fr-CH"/>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link w:val="CommentSubject"/>
    <w:rPr>
      <w:b/>
      <w:bCs/>
      <w:lang w:val="fr-CH"/>
    </w:rPr>
  </w:style>
  <w:style w:type="character" w:customStyle="1" w:styleId="FootnoteTextChar">
    <w:name w:val="Footnote Text Char"/>
    <w:aliases w:val="5_G Char"/>
    <w:link w:val="FootnoteText"/>
    <w:rPr>
      <w:sz w:val="18"/>
      <w:lang w:val="fr-CH" w:eastAsia="en-US"/>
    </w:rPr>
  </w:style>
  <w:style w:type="paragraph" w:customStyle="1" w:styleId="ParNoG">
    <w:name w:val="_ParNo_G"/>
    <w:basedOn w:val="SingleTxtG"/>
    <w:link w:val="ParNoGCar"/>
    <w:pPr>
      <w:numPr>
        <w:numId w:val="14"/>
      </w:numPr>
    </w:pPr>
  </w:style>
  <w:style w:type="character" w:customStyle="1" w:styleId="ParNoGCar">
    <w:name w:val="_ParNo_G Car"/>
    <w:link w:val="ParNoG"/>
    <w:rPr>
      <w:lang w:val="fr-CH"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note text" w:qFormat="1"/>
    <w:lsdException w:name="caption" w:qFormat="1"/>
    <w:lsdException w:name="footnote reference"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spacing w:line="240" w:lineRule="atLeast"/>
    </w:pPr>
    <w:rPr>
      <w:lang w:val="fr-CH" w:eastAsia="en-US"/>
    </w:rPr>
  </w:style>
  <w:style w:type="paragraph" w:styleId="Heading1">
    <w:name w:val="heading 1"/>
    <w:aliases w:val="Table_G"/>
    <w:basedOn w:val="SingleTxtG"/>
    <w:next w:val="SingleTxtG"/>
    <w:qFormat/>
    <w:pPr>
      <w:keepNext/>
      <w:keepLines/>
      <w:spacing w:after="0" w:line="240" w:lineRule="auto"/>
      <w:ind w:right="0"/>
      <w:jc w:val="left"/>
      <w:outlineLvl w:val="0"/>
    </w:pPr>
  </w:style>
  <w:style w:type="paragraph" w:styleId="Heading2">
    <w:name w:val="heading 2"/>
    <w:basedOn w:val="Normal"/>
    <w:next w:val="Normal"/>
    <w:qFormat/>
    <w:pPr>
      <w:outlineLvl w:val="1"/>
    </w:pPr>
  </w:style>
  <w:style w:type="paragraph" w:styleId="Heading3">
    <w:name w:val="heading 3"/>
    <w:basedOn w:val="Normal"/>
    <w:next w:val="Normal"/>
    <w:qFormat/>
    <w:pPr>
      <w:outlineLvl w:val="2"/>
    </w:pPr>
  </w:style>
  <w:style w:type="paragraph" w:styleId="Heading4">
    <w:name w:val="heading 4"/>
    <w:basedOn w:val="Normal"/>
    <w:next w:val="Normal"/>
    <w:qFormat/>
    <w:pPr>
      <w:outlineLvl w:val="3"/>
    </w:pPr>
  </w:style>
  <w:style w:type="paragraph" w:styleId="Heading5">
    <w:name w:val="heading 5"/>
    <w:basedOn w:val="Normal"/>
    <w:next w:val="Normal"/>
    <w:qFormat/>
    <w:pPr>
      <w:outlineLvl w:val="4"/>
    </w:pPr>
  </w:style>
  <w:style w:type="paragraph" w:styleId="Heading6">
    <w:name w:val="heading 6"/>
    <w:basedOn w:val="Normal"/>
    <w:next w:val="Normal"/>
    <w:qFormat/>
    <w:pPr>
      <w:outlineLvl w:val="5"/>
    </w:pPr>
  </w:style>
  <w:style w:type="paragraph" w:styleId="Heading7">
    <w:name w:val="heading 7"/>
    <w:basedOn w:val="Normal"/>
    <w:next w:val="Normal"/>
    <w:qFormat/>
    <w:pPr>
      <w:outlineLvl w:val="6"/>
    </w:pPr>
  </w:style>
  <w:style w:type="paragraph" w:styleId="Heading8">
    <w:name w:val="heading 8"/>
    <w:basedOn w:val="Normal"/>
    <w:next w:val="Normal"/>
    <w:qFormat/>
    <w:pPr>
      <w:outlineLvl w:val="7"/>
    </w:pPr>
  </w:style>
  <w:style w:type="paragraph" w:styleId="Heading9">
    <w:name w:val="heading 9"/>
    <w:basedOn w:val="Normal"/>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pPr>
      <w:spacing w:after="120"/>
      <w:ind w:left="1134" w:right="1134"/>
      <w:jc w:val="both"/>
    </w:pPr>
  </w:style>
  <w:style w:type="paragraph" w:customStyle="1" w:styleId="SLG">
    <w:name w:val="__S_L_G"/>
    <w:basedOn w:val="Normal"/>
    <w:next w:val="Normal"/>
    <w:pPr>
      <w:keepNext/>
      <w:keepLines/>
      <w:spacing w:before="240" w:after="240" w:line="580" w:lineRule="exact"/>
      <w:ind w:left="1134" w:right="1134"/>
    </w:pPr>
    <w:rPr>
      <w:b/>
      <w:sz w:val="56"/>
    </w:rPr>
  </w:style>
  <w:style w:type="paragraph" w:customStyle="1" w:styleId="SMG">
    <w:name w:val="__S_M_G"/>
    <w:basedOn w:val="Normal"/>
    <w:next w:val="Normal"/>
    <w:pPr>
      <w:keepNext/>
      <w:keepLines/>
      <w:spacing w:before="240" w:after="240" w:line="420" w:lineRule="exact"/>
      <w:ind w:left="1134" w:right="1134"/>
    </w:pPr>
    <w:rPr>
      <w:b/>
      <w:sz w:val="40"/>
    </w:rPr>
  </w:style>
  <w:style w:type="paragraph" w:customStyle="1" w:styleId="SSG">
    <w:name w:val="__S_S_G"/>
    <w:basedOn w:val="Normal"/>
    <w:next w:val="Normal"/>
    <w:pPr>
      <w:keepNext/>
      <w:keepLines/>
      <w:spacing w:before="240" w:after="240" w:line="300" w:lineRule="exact"/>
      <w:ind w:left="1134" w:right="1134"/>
    </w:pPr>
    <w:rPr>
      <w:b/>
      <w:sz w:val="28"/>
    </w:rPr>
  </w:style>
  <w:style w:type="paragraph" w:customStyle="1" w:styleId="XLargeG">
    <w:name w:val="__XLarge_G"/>
    <w:basedOn w:val="Normal"/>
    <w:next w:val="Normal"/>
    <w:pPr>
      <w:keepNext/>
      <w:keepLines/>
      <w:spacing w:before="240" w:after="240" w:line="420" w:lineRule="exact"/>
      <w:ind w:left="1134" w:right="1134"/>
    </w:pPr>
    <w:rPr>
      <w:b/>
      <w:sz w:val="40"/>
    </w:rPr>
  </w:style>
  <w:style w:type="paragraph" w:customStyle="1" w:styleId="Bullet1G">
    <w:name w:val="_Bullet 1_G"/>
    <w:basedOn w:val="Normal"/>
    <w:pPr>
      <w:numPr>
        <w:numId w:val="1"/>
      </w:numPr>
      <w:spacing w:after="120"/>
      <w:ind w:right="1134"/>
      <w:jc w:val="both"/>
    </w:pPr>
  </w:style>
  <w:style w:type="paragraph" w:customStyle="1" w:styleId="Bullet2G">
    <w:name w:val="_Bullet 2_G"/>
    <w:basedOn w:val="Normal"/>
    <w:pPr>
      <w:numPr>
        <w:numId w:val="2"/>
      </w:numPr>
      <w:spacing w:after="120"/>
      <w:ind w:right="1134"/>
      <w:jc w:val="both"/>
    </w:pPr>
  </w:style>
  <w:style w:type="character" w:styleId="FootnoteReference">
    <w:name w:val="footnote reference"/>
    <w:aliases w:val="4_G,Footnote Reference/"/>
    <w:qFormat/>
    <w:rPr>
      <w:rFonts w:ascii="Times New Roman" w:hAnsi="Times New Roman"/>
      <w:sz w:val="18"/>
      <w:vertAlign w:val="superscript"/>
      <w:lang w:val="fr-CH"/>
    </w:rPr>
  </w:style>
  <w:style w:type="character" w:styleId="EndnoteReference">
    <w:name w:val="endnote reference"/>
    <w:aliases w:val="1_G"/>
    <w:basedOn w:val="FootnoteReference"/>
    <w:rPr>
      <w:rFonts w:ascii="Times New Roman" w:hAnsi="Times New Roman"/>
      <w:sz w:val="18"/>
      <w:vertAlign w:val="superscript"/>
      <w:lang w:val="fr-CH"/>
    </w:rPr>
  </w:style>
  <w:style w:type="paragraph" w:styleId="Header">
    <w:name w:val="header"/>
    <w:aliases w:val="6_G"/>
    <w:basedOn w:val="Normal"/>
    <w:next w:val="Normal"/>
    <w:pPr>
      <w:pBdr>
        <w:bottom w:val="single" w:sz="4" w:space="4" w:color="auto"/>
      </w:pBdr>
      <w:spacing w:line="240" w:lineRule="auto"/>
    </w:pPr>
    <w:rPr>
      <w:b/>
      <w:sz w:val="18"/>
    </w:rPr>
  </w:style>
  <w:style w:type="paragraph" w:styleId="FootnoteText">
    <w:name w:val="footnote text"/>
    <w:aliases w:val="5_G"/>
    <w:basedOn w:val="Normal"/>
    <w:link w:val="FootnoteTextChar"/>
    <w:qFormat/>
    <w:pPr>
      <w:tabs>
        <w:tab w:val="right" w:pos="1021"/>
      </w:tabs>
      <w:spacing w:line="220" w:lineRule="exact"/>
      <w:ind w:left="1134" w:right="1134" w:hanging="1134"/>
    </w:pPr>
    <w:rPr>
      <w:sz w:val="18"/>
    </w:rPr>
  </w:style>
  <w:style w:type="paragraph" w:styleId="EndnoteText">
    <w:name w:val="endnote text"/>
    <w:aliases w:val="2_G"/>
    <w:basedOn w:val="FootnoteText"/>
  </w:style>
  <w:style w:type="character" w:styleId="PageNumber">
    <w:name w:val="page number"/>
    <w:aliases w:val="7_G"/>
    <w:rPr>
      <w:rFonts w:ascii="Times New Roman" w:hAnsi="Times New Roman"/>
      <w:b/>
      <w:sz w:val="18"/>
      <w:lang w:val="fr-CH"/>
    </w:rPr>
  </w:style>
  <w:style w:type="paragraph" w:styleId="Footer">
    <w:name w:val="footer"/>
    <w:aliases w:val="3_G"/>
    <w:basedOn w:val="Normal"/>
    <w:next w:val="Normal"/>
    <w:pPr>
      <w:spacing w:line="240" w:lineRule="auto"/>
    </w:pPr>
    <w:rPr>
      <w:sz w:val="16"/>
    </w:rPr>
  </w:style>
  <w:style w:type="character" w:styleId="Hyperlink">
    <w:name w:val="Hyperlink"/>
    <w:semiHidden/>
    <w:rPr>
      <w:color w:val="auto"/>
      <w:u w:val="none"/>
    </w:rPr>
  </w:style>
  <w:style w:type="character" w:styleId="FollowedHyperlink">
    <w:name w:val="FollowedHyperlink"/>
    <w:semiHidden/>
    <w:rPr>
      <w:color w:val="auto"/>
      <w:u w:val="none"/>
    </w:rPr>
  </w:style>
  <w:style w:type="table" w:styleId="TableGrid1">
    <w:name w:val="Table Grid 1"/>
    <w:basedOn w:val="TableNormal"/>
    <w:semiHidden/>
    <w:pPr>
      <w:suppressAutoHyphens/>
      <w:spacing w:line="24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113"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
    <w:name w:val="Table Grid"/>
    <w:basedOn w:val="TableNormal"/>
    <w:semiHidden/>
    <w:pPr>
      <w:suppressAutoHyphens/>
      <w:spacing w:line="24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customStyle="1" w:styleId="SingleTxtGChar">
    <w:name w:val="_ Single Txt_G Char"/>
    <w:link w:val="SingleTxtG"/>
    <w:rPr>
      <w:lang w:val="fr-CH" w:eastAsia="en-US"/>
    </w:rPr>
  </w:style>
  <w:style w:type="paragraph" w:styleId="BalloonText">
    <w:name w:val="Balloon Text"/>
    <w:basedOn w:val="Normal"/>
    <w:link w:val="BalloonTextChar"/>
    <w:pPr>
      <w:spacing w:line="240" w:lineRule="auto"/>
    </w:pPr>
    <w:rPr>
      <w:rFonts w:ascii="Tahoma" w:hAnsi="Tahoma" w:cs="Tahoma"/>
      <w:sz w:val="16"/>
      <w:szCs w:val="16"/>
    </w:rPr>
  </w:style>
  <w:style w:type="character" w:customStyle="1" w:styleId="BalloonTextChar">
    <w:name w:val="Balloon Text Char"/>
    <w:link w:val="BalloonText"/>
    <w:rPr>
      <w:rFonts w:ascii="Tahoma" w:hAnsi="Tahoma" w:cs="Tahoma"/>
      <w:sz w:val="16"/>
      <w:szCs w:val="16"/>
      <w:lang w:val="fr-CH"/>
    </w:rPr>
  </w:style>
  <w:style w:type="character" w:customStyle="1" w:styleId="SingleTxtGCar">
    <w:name w:val="_ Single Txt_G Car"/>
    <w:rPr>
      <w:lang w:val="fr-CH" w:eastAsia="en-US" w:bidi="ar-SA"/>
    </w:rPr>
  </w:style>
  <w:style w:type="character" w:styleId="CommentReference">
    <w:name w:val="annotation reference"/>
    <w:rPr>
      <w:sz w:val="16"/>
      <w:szCs w:val="16"/>
    </w:rPr>
  </w:style>
  <w:style w:type="paragraph" w:styleId="CommentText">
    <w:name w:val="annotation text"/>
    <w:basedOn w:val="Normal"/>
    <w:link w:val="CommentTextChar"/>
  </w:style>
  <w:style w:type="character" w:customStyle="1" w:styleId="CommentTextChar">
    <w:name w:val="Comment Text Char"/>
    <w:link w:val="CommentText"/>
    <w:rPr>
      <w:lang w:val="fr-CH"/>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link w:val="CommentSubject"/>
    <w:rPr>
      <w:b/>
      <w:bCs/>
      <w:lang w:val="fr-CH"/>
    </w:rPr>
  </w:style>
  <w:style w:type="character" w:customStyle="1" w:styleId="FootnoteTextChar">
    <w:name w:val="Footnote Text Char"/>
    <w:aliases w:val="5_G Char"/>
    <w:link w:val="FootnoteText"/>
    <w:rPr>
      <w:sz w:val="18"/>
      <w:lang w:val="fr-CH" w:eastAsia="en-US"/>
    </w:rPr>
  </w:style>
  <w:style w:type="paragraph" w:customStyle="1" w:styleId="ParNoG">
    <w:name w:val="_ParNo_G"/>
    <w:basedOn w:val="SingleTxtG"/>
    <w:link w:val="ParNoGCar"/>
    <w:pPr>
      <w:numPr>
        <w:numId w:val="14"/>
      </w:numPr>
    </w:pPr>
  </w:style>
  <w:style w:type="character" w:customStyle="1" w:styleId="ParNoGCar">
    <w:name w:val="_ParNo_G Car"/>
    <w:link w:val="ParNoG"/>
    <w:rPr>
      <w:lang w:val="fr-CH"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613834">
      <w:bodyDiv w:val="1"/>
      <w:marLeft w:val="0"/>
      <w:marRight w:val="0"/>
      <w:marTop w:val="0"/>
      <w:marBottom w:val="0"/>
      <w:divBdr>
        <w:top w:val="none" w:sz="0" w:space="0" w:color="auto"/>
        <w:left w:val="none" w:sz="0" w:space="0" w:color="auto"/>
        <w:bottom w:val="none" w:sz="0" w:space="0" w:color="auto"/>
        <w:right w:val="none" w:sz="0" w:space="0" w:color="auto"/>
      </w:divBdr>
      <w:divsChild>
        <w:div w:id="444273445">
          <w:marLeft w:val="547"/>
          <w:marRight w:val="0"/>
          <w:marTop w:val="101"/>
          <w:marBottom w:val="0"/>
          <w:divBdr>
            <w:top w:val="none" w:sz="0" w:space="0" w:color="auto"/>
            <w:left w:val="none" w:sz="0" w:space="0" w:color="auto"/>
            <w:bottom w:val="none" w:sz="0" w:space="0" w:color="auto"/>
            <w:right w:val="none" w:sz="0" w:space="0" w:color="auto"/>
          </w:divBdr>
        </w:div>
        <w:div w:id="463890542">
          <w:marLeft w:val="547"/>
          <w:marRight w:val="0"/>
          <w:marTop w:val="101"/>
          <w:marBottom w:val="0"/>
          <w:divBdr>
            <w:top w:val="none" w:sz="0" w:space="0" w:color="auto"/>
            <w:left w:val="none" w:sz="0" w:space="0" w:color="auto"/>
            <w:bottom w:val="none" w:sz="0" w:space="0" w:color="auto"/>
            <w:right w:val="none" w:sz="0" w:space="0" w:color="auto"/>
          </w:divBdr>
        </w:div>
        <w:div w:id="1911577287">
          <w:marLeft w:val="547"/>
          <w:marRight w:val="0"/>
          <w:marTop w:val="101"/>
          <w:marBottom w:val="0"/>
          <w:divBdr>
            <w:top w:val="none" w:sz="0" w:space="0" w:color="auto"/>
            <w:left w:val="none" w:sz="0" w:space="0" w:color="auto"/>
            <w:bottom w:val="none" w:sz="0" w:space="0" w:color="auto"/>
            <w:right w:val="none" w:sz="0" w:space="0" w:color="auto"/>
          </w:divBdr>
        </w:div>
        <w:div w:id="1948807503">
          <w:marLeft w:val="547"/>
          <w:marRight w:val="0"/>
          <w:marTop w:val="101"/>
          <w:marBottom w:val="0"/>
          <w:divBdr>
            <w:top w:val="none" w:sz="0" w:space="0" w:color="auto"/>
            <w:left w:val="none" w:sz="0" w:space="0" w:color="auto"/>
            <w:bottom w:val="none" w:sz="0" w:space="0" w:color="auto"/>
            <w:right w:val="none" w:sz="0" w:space="0" w:color="auto"/>
          </w:divBdr>
        </w:div>
      </w:divsChild>
    </w:div>
    <w:div w:id="484931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image" Target="media/image6.jpg"/><Relationship Id="rId10" Type="http://schemas.openxmlformats.org/officeDocument/2006/relationships/image" Target="media/image1.wmf"/><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f:fields xmlns:f="http://schemas.fabasoft.com/folio/2007/fields">
  <f:record ref="">
    <f:field ref="objname" par="" edit="true" text="DS666 Commentaires OFT"/>
    <f:field ref="objsubject" par="" edit="true" text=""/>
    <f:field ref="objcreatedby" par="" text="Blanchard Bakx, Valérie (BAV - blv)"/>
    <f:field ref="objcreatedat" par="" text="21.12.2015 15:11:08"/>
    <f:field ref="objchangedby" par="" text="Bonnet, Colin (BAV - boc)"/>
    <f:field ref="objmodifiedat" par="" text="22.12.2015 17:44:50"/>
    <f:field ref="doc_FSCFOLIO_1_1001_FieldDocumentNumber" par="" text=""/>
    <f:field ref="doc_FSCFOLIO_1_1001_FieldSubject" par="" edit="true" text=""/>
    <f:field ref="FSCFOLIO_1_1001_FieldCurrentUser" par="" text="Valérie Blanchard Bakx"/>
    <f:field ref="CCAPRECONFIG_15_1001_Objektname" par="" edit="true" text="DS666 Commentaires OFT"/>
    <f:field ref="CHPRECONFIG_1_1001_Objektname" par="" edit="true" text="DS666 Commentaires OFT"/>
  </f:record>
  <f:record inx="1" ref="">
    <f:field ref="CCAPRECONFIG_15_1001_Anrede" par="" edit="true" text=""/>
    <f:field ref="CCAPRECONFIG_15_1001_Anrede_Briefkopf" par="" text=""/>
    <f:field ref="CCAPRECONFIG_15_1001_Geschlecht_Anrede" par="" text=""/>
    <f:field ref="CCAPRECONFIG_15_1001_Titel" par="" edit="true" text=""/>
    <f:field ref="CCAPRECONFIG_15_1001_Nachgestellter_Titel" par="" edit="true" text=""/>
    <f:field ref="CCAPRECONFIG_15_1001_Vorname" par="" edit="true" text=""/>
    <f:field ref="CCAPRECONFIG_15_1001_Nachname" par="" edit="true" text=""/>
    <f:field ref="CCAPRECONFIG_15_1001_zH" par="" edit="true" text=""/>
    <f:field ref="CCAPRECONFIG_15_1001_Geschlecht" par="" text=""/>
    <f:field ref="CCAPRECONFIG_15_1001_Strasse" par="" text=""/>
    <f:field ref="CCAPRECONFIG_15_1001_Hausnummer" par="" text=""/>
    <f:field ref="CCAPRECONFIG_15_1001_Stiege" par="" text=""/>
    <f:field ref="CCAPRECONFIG_15_1001_Stock" par="" text=""/>
    <f:field ref="CCAPRECONFIG_15_1001_Tuer" par="" text=""/>
    <f:field ref="CCAPRECONFIG_15_1001_Postfach" par="" text=""/>
    <f:field ref="CCAPRECONFIG_15_1001_Postleitzahl" par="" text=""/>
    <f:field ref="CCAPRECONFIG_15_1001_Ort" par="" text=""/>
    <f:field ref="CCAPRECONFIG_15_1001_Land" par="" text=""/>
    <f:field ref="CCAPRECONFIG_15_1001_Email" par="" text=""/>
    <f:field ref="CCAPRECONFIG_15_1001_Postalische_Adresse" par="" text=""/>
    <f:field ref="CCAPRECONFIG_15_1001_Adresse" par="" text=""/>
    <f:field ref="CCAPRECONFIG_15_1001_Fax" par="" text=""/>
    <f:field ref="CCAPRECONFIG_15_1001_Telefon" par="" text=""/>
    <f:field ref="CCAPRECONFIG_15_1001_Geburtsdatum" par="" text=""/>
    <f:field ref="CCAPRECONFIG_15_1001_Sozialversicherungsnummer" par="" text=""/>
    <f:field ref="CCAPRECONFIG_15_1001_Berufstitel" par="" text=""/>
    <f:field ref="CCAPRECONFIG_15_1001_Funktionsbezeichnung" par="" text=""/>
    <f:field ref="CCAPRECONFIG_15_1001_Organisationsname" par="" text=""/>
    <f:field ref="CCAPRECONFIG_15_1001_Organisationskurzname" par="" text=""/>
    <f:field ref="CCAPRECONFIG_15_1001_Abschriftsbemerkung" par="" text=""/>
    <f:field ref="CCAPRECONFIG_15_1001_Name_Zeile_2" par="" text=""/>
    <f:field ref="CCAPRECONFIG_15_1001_Name_Zeile_3" par="" text=""/>
    <f:field ref="CCAPRECONFIG_15_1001_Firmenbuchnummer" par="" text=""/>
    <f:field ref="CCAPRECONFIG_15_1001_Versandart" par="" text="Courrier B"/>
    <f:field ref="CCAPRECONFIG_15_1001_Kategorie" par="" text="Destinataire"/>
    <f:field ref="CCAPRECONFIG_15_1001_Rechtsform" par="" text=""/>
    <f:field ref="CCAPRECONFIG_15_1001_Ziel" par="" text=""/>
    <f:field ref="CHPRECONFIG_1_1001_Anrede" par="" edit="true" text=""/>
    <f:field ref="CHPRECONFIG_1_1001_Titel" par="" edit="true" text=""/>
    <f:field ref="CHPRECONFIG_1_1001_Vorname" par="" edit="true" text=""/>
    <f:field ref="CHPRECONFIG_1_1001_Nachname" par="" edit="true" text=""/>
    <f:field ref="CHPRECONFIG_1_1001_Strasse" par="" text=""/>
    <f:field ref="CHPRECONFIG_1_1001_Postleitzahl" par="" text=""/>
    <f:field ref="CHPRECONFIG_1_1001_Ort" par="" text=""/>
    <f:field ref="CHPRECONFIG_1_1001_EMailAdresse" par="" text=""/>
    <f:field ref="BAVCFG_15_1700_Adresse1" par="" edit="true" text=""/>
    <f:field ref="BAVCFG_15_1700_Firma" par="" text=""/>
    <f:field ref="BAVCFG_15_1700_ZustellungAm" par="" text=""/>
    <f:field ref="BAVCFG_15_1700_ForeignNumber" par="" text=""/>
    <f:field ref="BAVCFG_15_1700_AnredePartner" par="" edit="true" text=""/>
    <f:field ref="BAVCFG_15_1700_Anrede_Adresse" par="" edit="true" text=""/>
    <f:field ref="BAVCFG_15_1700_Zusatzzeile1" par="" edit="true" text=""/>
    <f:field ref="BAVCFG_15_1700_Zusatzzeile2" par="" edit="true" text=""/>
    <f:field ref="BAVCFG_15_1700_Strasse2" par="" edit="true" text=""/>
    <f:field ref="BAVCFG_15_1700_Firma_Kurz" par="" text=""/>
    <f:field ref="BAVCFG_15_1700_Posfach" par="" text=""/>
    <f:field ref="BAVCFG_15_1700_Vorname_AP" par="" text=""/>
    <f:field ref="BAVCFG_15_1700_Nachname_AP" par="" text=""/>
    <f:field ref="BAVCFG_15_1700_Adresse1_AP" par="" text=""/>
    <f:field ref="BAVCFG_15_1700_Strasse_AP" par="" text=""/>
    <f:field ref="BAVCFG_15_1700_Postleitzahl_AP" par="" text=""/>
    <f:field ref="BAVCFG_15_1700_Ort_AP" par="" text=""/>
    <f:field ref="BAVCFG_15_1700_EMail_AP" par="" text=""/>
    <f:field ref="BAVCFG_15_1700_Firma_AP" par="" text=""/>
    <f:field ref="BAVCFG_15_1700_AnredePartner_AP" par="" text=""/>
    <f:field ref="BAVCFG_15_1700_Titel_AP" par="" text=""/>
    <f:field ref="BAVCFG_15_1700_Fax_AP" par="" text=""/>
    <f:field ref="BAVCFG_15_1700_Anrede_Adresse_AP" par="" text=""/>
    <f:field ref="BAVCFG_15_1700_Zusatzzeile1_AP" par="" text=""/>
    <f:field ref="BAVCFG_15_1700_Zusatzzeile2_AP" par="" text=""/>
    <f:field ref="BAVCFG_15_1700_Strasse2_AP" par="" text=""/>
    <f:field ref="BAVCFG_15_1700_FirmaKurz_AP" par="" text=""/>
    <f:field ref="BAVCFG_15_1700_Posfach_AP" par="" text=""/>
  </f:record>
  <f:display par="" text="...">
    <f:field ref="CHPRECONFIG_1_1001_Objektname" text="Classe d'objets"/>
    <f:field ref="objcreatedat" text="Créé le/à"/>
    <f:field ref="objcreatedby" text="Créé par"/>
    <f:field ref="objchangedby" text="Dernière modification apportée par"/>
    <f:field ref="objmodifiedat" text="Dernière modification le/à"/>
    <f:field ref="objname" text="Nom"/>
    <f:field ref="CCAPRECONFIG_15_1001_Objektname" text="Nom d'objet"/>
    <f:field ref="objsubject" text="Subject (single-line)"/>
    <f:field ref="FSCFOLIO_1_1001_FieldCurrentUser" text="Utilisateur actuel"/>
  </f:display>
  <f:display par="" text="Publipostage">
    <f:field ref="doc_FSCFOLIO_1_1001_FieldDocumentNumber" text="Numéro de document"/>
    <f:field ref="doc_FSCFOLIO_1_1001_FieldSubject" text="Objet"/>
  </f:display>
  <f:display par="" text="Serialcontext &gt; Destinataires">
    <f:field ref="BAVCFG_15_1700_AnredePartner" text=""/>
    <f:field ref="CCAPRECONFIG_15_1001_zH" text="à l'att. de"/>
    <f:field ref="CCAPRECONFIG_15_1001_Adresse" text="Adresse"/>
    <f:field ref="CHPRECONFIG_1_1001_EMailAdresse" text="Adresse e-mail"/>
    <f:field ref="CCAPRECONFIG_15_1001_Postalische_Adresse" text="Adresse postale"/>
    <f:field ref="BAVCFG_15_1700_Adresse1" text="Adresse1"/>
    <f:field ref="BAVCFG_15_1700_Adresse1_AP" text="Adresse1_AP"/>
    <f:field ref="BAVCFG_15_1700_Anrede_Adresse" text="Anrede Adresse"/>
    <f:field ref="BAVCFG_15_1700_Anrede_Adresse_AP" text="Anrede Adresse_AP"/>
    <f:field ref="CCAPRECONFIG_15_1001_Anrede_Briefkopf" text="Anrede_Briefkopf"/>
    <f:field ref="BAVCFG_15_1700_AnredePartner_AP" text="AnredePartner_AP"/>
    <f:field ref="CCAPRECONFIG_15_1001_Berufstitel" text="Berufstitel"/>
    <f:field ref="CCAPRECONFIG_15_1001_Postfach" text="Case postale"/>
    <f:field ref="CCAPRECONFIG_15_1001_Postleitzahl" text="Code postal"/>
    <f:field ref="CCAPRECONFIG_15_1001_Organisationskurzname" text="Diminutif de l'organisation"/>
    <f:field ref="CCAPRECONFIG_15_1001_Email" text="E-Mail"/>
    <f:field ref="BAVCFG_15_1700_EMail_AP" text="E-Mail_AP"/>
    <f:field ref="CCAPRECONFIG_15_1001_Stiege" text="Escalier"/>
    <f:field ref="CCAPRECONFIG_15_1001_Fax" text="Fax"/>
    <f:field ref="BAVCFG_15_1700_Fax_AP" text="Fax_AP"/>
    <f:field ref="BAVCFG_15_1700_Firma" text="Firma"/>
    <f:field ref="BAVCFG_15_1700_Firma_Kurz" text="Firma Kurz"/>
    <f:field ref="BAVCFG_15_1700_FirmaKurz_AP" text="Firma Kurz_AP"/>
    <f:field ref="BAVCFG_15_1700_Firma_AP" text="Firma_AP"/>
    <f:field ref="CCAPRECONFIG_15_1001_Firmenbuchnummer" text="Firmenbuchnummer"/>
    <f:field ref="CCAPRECONFIG_15_1001_Anrede" text="Formule d'appel"/>
    <f:field ref="CHPRECONFIG_1_1001_Anrede" text="Formule d'appel"/>
    <f:field ref="BAVCFG_15_1700_ForeignNumber" text="Fremdaktenzeichen"/>
    <f:field ref="CCAPRECONFIG_15_1001_Funktionsbezeichnung" text="Funktionsbezeichnung"/>
    <f:field ref="CCAPRECONFIG_15_1001_Geburtsdatum" text="Geburtsdatum"/>
    <f:field ref="CCAPRECONFIG_15_1001_Geschlecht_Anrede" text="Geschlecht_Anrede"/>
    <f:field ref="CCAPRECONFIG_15_1001_Nachgestellter_Titel" text="Intitulé du poste"/>
    <f:field ref="CCAPRECONFIG_15_1001_Kategorie" text="Kategorie"/>
    <f:field ref="CCAPRECONFIG_15_1001_Ort" text="Localité"/>
    <f:field ref="CHPRECONFIG_1_1001_Ort" text="Localité"/>
    <f:field ref="BAVCFG_15_1700_Nachname_AP" text="Nachname_AP"/>
    <f:field ref="CHPRECONFIG_1_1001_Nachname" text="Nom"/>
    <f:field ref="CCAPRECONFIG_15_1001_Nachname" text="Nom"/>
    <f:field ref="CCAPRECONFIG_15_1001_Organisationsname" text="Nom de l'organisation"/>
    <f:field ref="CCAPRECONFIG_15_1001_Name_Zeile_2" text="Nom_Ligne_2"/>
    <f:field ref="CCAPRECONFIG_15_1001_Name_Zeile_3" text="Nom_Ligne_3"/>
    <f:field ref="CHPRECONFIG_1_1001_Postleitzahl" text="NPA"/>
    <f:field ref="CCAPRECONFIG_15_1001_Hausnummer" text="Numéro"/>
    <f:field ref="BAVCFG_15_1700_Ort_AP" text="Ort_AP"/>
    <f:field ref="CCAPRECONFIG_15_1001_Land" text="Pays"/>
    <f:field ref="CCAPRECONFIG_15_1001_Tuer" text="Porte"/>
    <f:field ref="BAVCFG_15_1700_Posfach" text="Posfach"/>
    <f:field ref="BAVCFG_15_1700_Posfach_AP" text="Posfach_AP"/>
    <f:field ref="BAVCFG_15_1700_Postleitzahl_AP" text="Postleitzahl_AP"/>
    <f:field ref="CHPRECONFIG_1_1001_Vorname" text="Prénom"/>
    <f:field ref="CCAPRECONFIG_15_1001_Vorname" text="Prénom"/>
    <f:field ref="CCAPRECONFIG_15_1001_Rechtsform" text="Rechtsform"/>
    <f:field ref="CCAPRECONFIG_15_1001_Abschriftsbemerkung" text="Remarque de l'expéditeur"/>
    <f:field ref="CCAPRECONFIG_15_1001_Strasse" text="Rue"/>
    <f:field ref="CHPRECONFIG_1_1001_Strasse" text="Rue"/>
    <f:field ref="CCAPRECONFIG_15_1001_Geschlecht" text="Sexe"/>
    <f:field ref="CCAPRECONFIG_15_1001_Sozialversicherungsnummer" text="Sozialversicherungsnummer"/>
    <f:field ref="CCAPRECONFIG_15_1001_Stock" text="Stock"/>
    <f:field ref="BAVCFG_15_1700_Strasse2" text="Strasse2"/>
    <f:field ref="BAVCFG_15_1700_Strasse2_AP" text="Strasse2_AP"/>
    <f:field ref="BAVCFG_15_1700_Strasse_AP" text="Strasse_AP"/>
    <f:field ref="CCAPRECONFIG_15_1001_Telefon" text="Telefon"/>
    <f:field ref="BAVCFG_15_1700_Titel_AP" text="Titel_AP"/>
    <f:field ref="CHPRECONFIG_1_1001_Titel" text="Titre"/>
    <f:field ref="CCAPRECONFIG_15_1001_Titel" text="Titre"/>
    <f:field ref="CCAPRECONFIG_15_1001_Versandart" text="Type d'envoi"/>
    <f:field ref="BAVCFG_15_1700_Vorname_AP" text="Vorname_AP"/>
    <f:field ref="CCAPRECONFIG_15_1001_Ziel" text="Ziel"/>
    <f:field ref="BAVCFG_15_1700_Zusatzzeile1" text="Zusatzzeile1"/>
    <f:field ref="BAVCFG_15_1700_Zusatzzeile1_AP" text="Zusatzzeile1_AP"/>
    <f:field ref="BAVCFG_15_1700_Zusatzzeile2" text="Zusatzzeile2"/>
    <f:field ref="BAVCFG_15_1700_Zusatzzeile2_AP" text="Zusatzzeile2_AP"/>
    <f:field ref="BAVCFG_15_1700_ZustellungAm" text="ZustellungAm"/>
  </f:display>
</f:fields>
</file>

<file path=customXml/item2.xml><?xml version="1.0" encoding="utf-8"?>
<b:Sources xmlns:b="http://schemas.openxmlformats.org/officeDocument/2006/bibliography" xmlns="http://schemas.openxmlformats.org/officeDocument/2006/bibliography" SelectedStyle="\GB.XSL" StyleName="GB7714 2005"/>
</file>

<file path=customXml/itemProps1.xml><?xml version="1.0" encoding="utf-8"?>
<ds:datastoreItem xmlns:ds="http://schemas.openxmlformats.org/officeDocument/2006/customXml" ds:itemID="{4E8A9591-F074-446B-902F-511FF79C122F}">
  <ds:schemaRefs>
    <ds:schemaRef ds:uri="http://schemas.fabasoft.com/folio/2007/fields"/>
  </ds:schemaRefs>
</ds:datastoreItem>
</file>

<file path=customXml/itemProps2.xml><?xml version="1.0" encoding="utf-8"?>
<ds:datastoreItem xmlns:ds="http://schemas.openxmlformats.org/officeDocument/2006/customXml" ds:itemID="{4AB0DDD7-83A4-403D-B5ED-88C63F9E54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8</Pages>
  <Words>3066</Words>
  <Characters>17477</Characters>
  <Application>Microsoft Office Word</Application>
  <DocSecurity>0</DocSecurity>
  <Lines>145</Lines>
  <Paragraphs>41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ECE/TRANS/WP.15/AC.1/2010/40</vt:lpstr>
      <vt:lpstr>ECE/TRANS/WP.15/AC.1/2010/40</vt:lpstr>
    </vt:vector>
  </TitlesOfParts>
  <Company>CSD</Company>
  <LinksUpToDate>false</LinksUpToDate>
  <CharactersWithSpaces>20502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ECE/TRANS/WP.15/AC.1/2010/40</dc:title>
  <dc:subject>final</dc:subject>
  <dc:creator>ROBERT</dc:creator>
  <cp:lastModifiedBy>barrio-champeau</cp:lastModifiedBy>
  <cp:revision>13</cp:revision>
  <cp:lastPrinted>2015-12-23T08:19:00Z</cp:lastPrinted>
  <dcterms:created xsi:type="dcterms:W3CDTF">2015-12-23T09:59:00Z</dcterms:created>
  <dcterms:modified xsi:type="dcterms:W3CDTF">2015-12-23T14:15:00Z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SC#BAVTEMPL@102.1950:Amtstitel">
    <vt:lpwstr/>
  </property>
  <property fmtid="{D5CDD505-2E9C-101B-9397-08002B2CF9AE}" pid="3" name="FSC#BAVTEMPL@102.1950:AssignmentName">
    <vt:lpwstr/>
  </property>
  <property fmtid="{D5CDD505-2E9C-101B-9397-08002B2CF9AE}" pid="4" name="FSC#BAVTEMPL@102.1950:BAVShortsign">
    <vt:lpwstr/>
  </property>
  <property fmtid="{D5CDD505-2E9C-101B-9397-08002B2CF9AE}" pid="5" name="FSC#BAVTEMPL@102.1950:DocumentID">
    <vt:lpwstr/>
  </property>
  <property fmtid="{D5CDD505-2E9C-101B-9397-08002B2CF9AE}" pid="6" name="FSC#BAVTEMPL@102.1950:Dossierref">
    <vt:lpwstr/>
  </property>
  <property fmtid="{D5CDD505-2E9C-101B-9397-08002B2CF9AE}" pid="7" name="FSC#BAVTEMPL@102.1950:EmpfName">
    <vt:lpwstr/>
  </property>
  <property fmtid="{D5CDD505-2E9C-101B-9397-08002B2CF9AE}" pid="8" name="FSC#BAVTEMPL@102.1950:EmpfName_AP">
    <vt:lpwstr/>
  </property>
  <property fmtid="{D5CDD505-2E9C-101B-9397-08002B2CF9AE}" pid="9" name="FSC#BAVTEMPL@102.1950:EmpfOrt">
    <vt:lpwstr/>
  </property>
  <property fmtid="{D5CDD505-2E9C-101B-9397-08002B2CF9AE}" pid="10" name="FSC#BAVTEMPL@102.1950:EmpfPLZ">
    <vt:lpwstr/>
  </property>
  <property fmtid="{D5CDD505-2E9C-101B-9397-08002B2CF9AE}" pid="11" name="FSC#BAVTEMPL@102.1950:EmpfStrasse">
    <vt:lpwstr/>
  </property>
  <property fmtid="{D5CDD505-2E9C-101B-9397-08002B2CF9AE}" pid="12" name="FSC#BAVTEMPL@102.1950:EmpfOrt_AP">
    <vt:lpwstr/>
  </property>
  <property fmtid="{D5CDD505-2E9C-101B-9397-08002B2CF9AE}" pid="13" name="FSC#BAVTEMPL@102.1950:EmpfPLZ_AP">
    <vt:lpwstr/>
  </property>
  <property fmtid="{D5CDD505-2E9C-101B-9397-08002B2CF9AE}" pid="14" name="FSC#BAVTEMPL@102.1950:EmpfStrasse_AP">
    <vt:lpwstr/>
  </property>
  <property fmtid="{D5CDD505-2E9C-101B-9397-08002B2CF9AE}" pid="15" name="FSC#BAVTEMPL@102.1950:FileRespEmail">
    <vt:lpwstr/>
  </property>
  <property fmtid="{D5CDD505-2E9C-101B-9397-08002B2CF9AE}" pid="16" name="FSC#BAVTEMPL@102.1950:FileRespFax">
    <vt:lpwstr/>
  </property>
  <property fmtid="{D5CDD505-2E9C-101B-9397-08002B2CF9AE}" pid="17" name="FSC#BAVTEMPL@102.1950:FileRespHome">
    <vt:lpwstr/>
  </property>
  <property fmtid="{D5CDD505-2E9C-101B-9397-08002B2CF9AE}" pid="18" name="FSC#BAVTEMPL@102.1950:FileResponsible">
    <vt:lpwstr/>
  </property>
  <property fmtid="{D5CDD505-2E9C-101B-9397-08002B2CF9AE}" pid="19" name="FSC#BAVTEMPL@102.1950:FileRespOrg">
    <vt:lpwstr/>
  </property>
  <property fmtid="{D5CDD505-2E9C-101B-9397-08002B2CF9AE}" pid="20" name="FSC#BAVTEMPL@102.1950:FileRespOrgHome">
    <vt:lpwstr/>
  </property>
  <property fmtid="{D5CDD505-2E9C-101B-9397-08002B2CF9AE}" pid="21" name="FSC#BAVTEMPL@102.1950:FileRespOrgStreet">
    <vt:lpwstr/>
  </property>
  <property fmtid="{D5CDD505-2E9C-101B-9397-08002B2CF9AE}" pid="22" name="FSC#BAVTEMPL@102.1950:FileRespOrgZipCode">
    <vt:lpwstr/>
  </property>
  <property fmtid="{D5CDD505-2E9C-101B-9397-08002B2CF9AE}" pid="23" name="FSC#BAVTEMPL@102.1950:FileRespOU">
    <vt:lpwstr>Umwelt</vt:lpwstr>
  </property>
  <property fmtid="{D5CDD505-2E9C-101B-9397-08002B2CF9AE}" pid="24" name="FSC#BAVTEMPL@102.1950:FileRespStreet">
    <vt:lpwstr/>
  </property>
  <property fmtid="{D5CDD505-2E9C-101B-9397-08002B2CF9AE}" pid="25" name="FSC#BAVTEMPL@102.1950:FileRespTel">
    <vt:lpwstr/>
  </property>
  <property fmtid="{D5CDD505-2E9C-101B-9397-08002B2CF9AE}" pid="26" name="FSC#BAVTEMPL@102.1950:FileRespZipCode">
    <vt:lpwstr/>
  </property>
  <property fmtid="{D5CDD505-2E9C-101B-9397-08002B2CF9AE}" pid="27" name="FSC#BAVTEMPL@102.1950:ForeignNumber">
    <vt:lpwstr/>
  </property>
  <property fmtid="{D5CDD505-2E9C-101B-9397-08002B2CF9AE}" pid="28" name="FSC#BAVTEMPL@102.1950:NameFileResponsible">
    <vt:lpwstr/>
  </property>
  <property fmtid="{D5CDD505-2E9C-101B-9397-08002B2CF9AE}" pid="29" name="FSC#BAVTEMPL@102.1950:OutAttachPhysic">
    <vt:lpwstr/>
  </property>
  <property fmtid="{D5CDD505-2E9C-101B-9397-08002B2CF9AE}" pid="30" name="FSC#BAVTEMPL@102.1950:Registrierdatum">
    <vt:lpwstr/>
  </property>
  <property fmtid="{D5CDD505-2E9C-101B-9397-08002B2CF9AE}" pid="31" name="FSC#BAVTEMPL@102.1950:RegPlanPos">
    <vt:lpwstr>BAV-510.42</vt:lpwstr>
  </property>
  <property fmtid="{D5CDD505-2E9C-101B-9397-08002B2CF9AE}" pid="32" name="FSC#BAVTEMPL@102.1950:Subject">
    <vt:lpwstr/>
  </property>
  <property fmtid="{D5CDD505-2E9C-101B-9397-08002B2CF9AE}" pid="33" name="FSC#BAVTEMPL@102.1950:TitleDossier">
    <vt:lpwstr/>
  </property>
  <property fmtid="{D5CDD505-2E9C-101B-9397-08002B2CF9AE}" pid="34" name="FSC#BAVTEMPL@102.1950:UserFunction">
    <vt:lpwstr/>
  </property>
  <property fmtid="{D5CDD505-2E9C-101B-9397-08002B2CF9AE}" pid="35" name="FSC#BAVTEMPL@102.1950:VornameNameFileResponsible">
    <vt:lpwstr/>
  </property>
  <property fmtid="{D5CDD505-2E9C-101B-9397-08002B2CF9AE}" pid="36" name="FSC#BAVTEMPL@102.1950:ZusendungAm">
    <vt:lpwstr/>
  </property>
  <property fmtid="{D5CDD505-2E9C-101B-9397-08002B2CF9AE}" pid="37" name="FSC#BAVTEMPL@102.1950:SubFileState">
    <vt:lpwstr/>
  </property>
  <property fmtid="{D5CDD505-2E9C-101B-9397-08002B2CF9AE}" pid="38" name="FSC#UVEKCFG@15.1700:Function">
    <vt:lpwstr/>
  </property>
  <property fmtid="{D5CDD505-2E9C-101B-9397-08002B2CF9AE}" pid="39" name="FSC#UVEKCFG@15.1700:FileRespOrg">
    <vt:lpwstr>Umwelt</vt:lpwstr>
  </property>
  <property fmtid="{D5CDD505-2E9C-101B-9397-08002B2CF9AE}" pid="40" name="FSC#UVEKCFG@15.1700:DefaultGroupFileResponsible">
    <vt:lpwstr/>
  </property>
  <property fmtid="{D5CDD505-2E9C-101B-9397-08002B2CF9AE}" pid="41" name="FSC#UVEKCFG@15.1700:FileRespFunction">
    <vt:lpwstr/>
  </property>
  <property fmtid="{D5CDD505-2E9C-101B-9397-08002B2CF9AE}" pid="42" name="FSC#UVEKCFG@15.1700:AssignedClassification">
    <vt:lpwstr/>
  </property>
  <property fmtid="{D5CDD505-2E9C-101B-9397-08002B2CF9AE}" pid="43" name="FSC#UVEKCFG@15.1700:AssignedClassificationCode">
    <vt:lpwstr/>
  </property>
  <property fmtid="{D5CDD505-2E9C-101B-9397-08002B2CF9AE}" pid="44" name="FSC#UVEKCFG@15.1700:FileResponsible">
    <vt:lpwstr/>
  </property>
  <property fmtid="{D5CDD505-2E9C-101B-9397-08002B2CF9AE}" pid="45" name="FSC#UVEKCFG@15.1700:FileResponsibleTel">
    <vt:lpwstr/>
  </property>
  <property fmtid="{D5CDD505-2E9C-101B-9397-08002B2CF9AE}" pid="46" name="FSC#UVEKCFG@15.1700:FileResponsibleEmail">
    <vt:lpwstr/>
  </property>
  <property fmtid="{D5CDD505-2E9C-101B-9397-08002B2CF9AE}" pid="47" name="FSC#UVEKCFG@15.1700:FileResponsibleFax">
    <vt:lpwstr/>
  </property>
  <property fmtid="{D5CDD505-2E9C-101B-9397-08002B2CF9AE}" pid="48" name="FSC#UVEKCFG@15.1700:FileResponsibleAddress">
    <vt:lpwstr/>
  </property>
  <property fmtid="{D5CDD505-2E9C-101B-9397-08002B2CF9AE}" pid="49" name="FSC#UVEKCFG@15.1700:FileResponsibleStreet">
    <vt:lpwstr/>
  </property>
  <property fmtid="{D5CDD505-2E9C-101B-9397-08002B2CF9AE}" pid="50" name="FSC#UVEKCFG@15.1700:FileResponsiblezipcode">
    <vt:lpwstr/>
  </property>
  <property fmtid="{D5CDD505-2E9C-101B-9397-08002B2CF9AE}" pid="51" name="FSC#UVEKCFG@15.1700:FileResponsiblecity">
    <vt:lpwstr/>
  </property>
  <property fmtid="{D5CDD505-2E9C-101B-9397-08002B2CF9AE}" pid="52" name="FSC#UVEKCFG@15.1700:FileResponsibleAbbreviation">
    <vt:lpwstr/>
  </property>
  <property fmtid="{D5CDD505-2E9C-101B-9397-08002B2CF9AE}" pid="53" name="FSC#UVEKCFG@15.1700:FileRespOrgHome">
    <vt:lpwstr/>
  </property>
  <property fmtid="{D5CDD505-2E9C-101B-9397-08002B2CF9AE}" pid="54" name="FSC#UVEKCFG@15.1700:CurrUserAbbreviation">
    <vt:lpwstr>blv</vt:lpwstr>
  </property>
  <property fmtid="{D5CDD505-2E9C-101B-9397-08002B2CF9AE}" pid="55" name="FSC#UVEKCFG@15.1700:CategoryReference">
    <vt:lpwstr>BAV-510.42</vt:lpwstr>
  </property>
  <property fmtid="{D5CDD505-2E9C-101B-9397-08002B2CF9AE}" pid="56" name="FSC#UVEKCFG@15.1700:cooAddress">
    <vt:lpwstr>COO.2125.100.2.8222107</vt:lpwstr>
  </property>
  <property fmtid="{D5CDD505-2E9C-101B-9397-08002B2CF9AE}" pid="57" name="FSC#UVEKCFG@15.1700:sleeveFileReference">
    <vt:lpwstr/>
  </property>
  <property fmtid="{D5CDD505-2E9C-101B-9397-08002B2CF9AE}" pid="58" name="FSC#UVEKCFG@15.1700:BureauName">
    <vt:lpwstr/>
  </property>
  <property fmtid="{D5CDD505-2E9C-101B-9397-08002B2CF9AE}" pid="59" name="FSC#UVEKCFG@15.1700:BureauShortName">
    <vt:lpwstr/>
  </property>
  <property fmtid="{D5CDD505-2E9C-101B-9397-08002B2CF9AE}" pid="60" name="FSC#UVEKCFG@15.1700:BureauWebsite">
    <vt:lpwstr/>
  </property>
  <property fmtid="{D5CDD505-2E9C-101B-9397-08002B2CF9AE}" pid="61" name="FSC#UVEKCFG@15.1700:SubFileTitle">
    <vt:lpwstr>DS666 Commentaires OFT</vt:lpwstr>
  </property>
  <property fmtid="{D5CDD505-2E9C-101B-9397-08002B2CF9AE}" pid="62" name="FSC#UVEKCFG@15.1700:ForeignNumber">
    <vt:lpwstr/>
  </property>
  <property fmtid="{D5CDD505-2E9C-101B-9397-08002B2CF9AE}" pid="63" name="FSC#UVEKCFG@15.1700:Amtstitel">
    <vt:lpwstr/>
  </property>
  <property fmtid="{D5CDD505-2E9C-101B-9397-08002B2CF9AE}" pid="64" name="FSC#UVEKCFG@15.1700:ZusendungAm">
    <vt:lpwstr/>
  </property>
  <property fmtid="{D5CDD505-2E9C-101B-9397-08002B2CF9AE}" pid="65" name="FSC#UVEKCFG@15.1700:SignerLeft">
    <vt:lpwstr/>
  </property>
  <property fmtid="{D5CDD505-2E9C-101B-9397-08002B2CF9AE}" pid="66" name="FSC#UVEKCFG@15.1700:SignerRight">
    <vt:lpwstr/>
  </property>
  <property fmtid="{D5CDD505-2E9C-101B-9397-08002B2CF9AE}" pid="67" name="FSC#UVEKCFG@15.1700:SignerLeftJobTitle">
    <vt:lpwstr/>
  </property>
  <property fmtid="{D5CDD505-2E9C-101B-9397-08002B2CF9AE}" pid="68" name="FSC#UVEKCFG@15.1700:SignerRightJobTitle">
    <vt:lpwstr/>
  </property>
  <property fmtid="{D5CDD505-2E9C-101B-9397-08002B2CF9AE}" pid="69" name="FSC#UVEKCFG@15.1700:SignerLeftFunction">
    <vt:lpwstr/>
  </property>
  <property fmtid="{D5CDD505-2E9C-101B-9397-08002B2CF9AE}" pid="70" name="FSC#UVEKCFG@15.1700:SignerRightFunction">
    <vt:lpwstr/>
  </property>
  <property fmtid="{D5CDD505-2E9C-101B-9397-08002B2CF9AE}" pid="71" name="FSC#UVEKCFG@15.1700:SignerLeftUserRoleGroup">
    <vt:lpwstr/>
  </property>
  <property fmtid="{D5CDD505-2E9C-101B-9397-08002B2CF9AE}" pid="72" name="FSC#UVEKCFG@15.1700:SignerRightUserRoleGroup">
    <vt:lpwstr/>
  </property>
  <property fmtid="{D5CDD505-2E9C-101B-9397-08002B2CF9AE}" pid="73" name="FSC#COOELAK@1.1001:Subject">
    <vt:lpwstr/>
  </property>
  <property fmtid="{D5CDD505-2E9C-101B-9397-08002B2CF9AE}" pid="74" name="FSC#COOELAK@1.1001:FileReference">
    <vt:lpwstr>BAV-510.42-00002</vt:lpwstr>
  </property>
  <property fmtid="{D5CDD505-2E9C-101B-9397-08002B2CF9AE}" pid="75" name="FSC#COOELAK@1.1001:FileRefYear">
    <vt:lpwstr>2014</vt:lpwstr>
  </property>
  <property fmtid="{D5CDD505-2E9C-101B-9397-08002B2CF9AE}" pid="76" name="FSC#COOELAK@1.1001:FileRefOrdinal">
    <vt:lpwstr>2</vt:lpwstr>
  </property>
  <property fmtid="{D5CDD505-2E9C-101B-9397-08002B2CF9AE}" pid="77" name="FSC#COOELAK@1.1001:FileRefOU">
    <vt:lpwstr>reg_SI</vt:lpwstr>
  </property>
  <property fmtid="{D5CDD505-2E9C-101B-9397-08002B2CF9AE}" pid="78" name="FSC#COOELAK@1.1001:Organization">
    <vt:lpwstr/>
  </property>
  <property fmtid="{D5CDD505-2E9C-101B-9397-08002B2CF9AE}" pid="79" name="FSC#COOELAK@1.1001:Owner">
    <vt:lpwstr>Blanchard Bakx Valérie</vt:lpwstr>
  </property>
  <property fmtid="{D5CDD505-2E9C-101B-9397-08002B2CF9AE}" pid="80" name="FSC#COOELAK@1.1001:OwnerExtension">
    <vt:lpwstr>+41 58 465 72 72</vt:lpwstr>
  </property>
  <property fmtid="{D5CDD505-2E9C-101B-9397-08002B2CF9AE}" pid="81" name="FSC#COOELAK@1.1001:OwnerFaxExtension">
    <vt:lpwstr>+41 58 464 12 48</vt:lpwstr>
  </property>
  <property fmtid="{D5CDD505-2E9C-101B-9397-08002B2CF9AE}" pid="82" name="FSC#COOELAK@1.1001:DispatchedBy">
    <vt:lpwstr/>
  </property>
  <property fmtid="{D5CDD505-2E9C-101B-9397-08002B2CF9AE}" pid="83" name="FSC#COOELAK@1.1001:DispatchedAt">
    <vt:lpwstr/>
  </property>
  <property fmtid="{D5CDD505-2E9C-101B-9397-08002B2CF9AE}" pid="84" name="FSC#COOELAK@1.1001:ApprovedBy">
    <vt:lpwstr/>
  </property>
  <property fmtid="{D5CDD505-2E9C-101B-9397-08002B2CF9AE}" pid="85" name="FSC#COOELAK@1.1001:ApprovedAt">
    <vt:lpwstr/>
  </property>
  <property fmtid="{D5CDD505-2E9C-101B-9397-08002B2CF9AE}" pid="86" name="FSC#COOELAK@1.1001:Department">
    <vt:lpwstr>Umwelt (BAV)</vt:lpwstr>
  </property>
  <property fmtid="{D5CDD505-2E9C-101B-9397-08002B2CF9AE}" pid="87" name="FSC#COOELAK@1.1001:CreatedAt">
    <vt:lpwstr>21.12.2015</vt:lpwstr>
  </property>
  <property fmtid="{D5CDD505-2E9C-101B-9397-08002B2CF9AE}" pid="88" name="FSC#COOELAK@1.1001:OU">
    <vt:lpwstr>Umwelt (BAV)</vt:lpwstr>
  </property>
  <property fmtid="{D5CDD505-2E9C-101B-9397-08002B2CF9AE}" pid="89" name="FSC#COOELAK@1.1001:Priority">
    <vt:lpwstr> ()</vt:lpwstr>
  </property>
  <property fmtid="{D5CDD505-2E9C-101B-9397-08002B2CF9AE}" pid="90" name="FSC#COOELAK@1.1001:ObjBarCode">
    <vt:lpwstr>*COO.2125.100.2.8222107*</vt:lpwstr>
  </property>
  <property fmtid="{D5CDD505-2E9C-101B-9397-08002B2CF9AE}" pid="91" name="FSC#COOELAK@1.1001:RefBarCode">
    <vt:lpwstr>*COO.2125.100.2.8222108*</vt:lpwstr>
  </property>
  <property fmtid="{D5CDD505-2E9C-101B-9397-08002B2CF9AE}" pid="92" name="FSC#COOELAK@1.1001:FileRefBarCode">
    <vt:lpwstr>*BAV-510.42-00002*</vt:lpwstr>
  </property>
  <property fmtid="{D5CDD505-2E9C-101B-9397-08002B2CF9AE}" pid="93" name="FSC#COOELAK@1.1001:ExternalRef">
    <vt:lpwstr/>
  </property>
  <property fmtid="{D5CDD505-2E9C-101B-9397-08002B2CF9AE}" pid="94" name="FSC#COOELAK@1.1001:IncomingNumber">
    <vt:lpwstr/>
  </property>
  <property fmtid="{D5CDD505-2E9C-101B-9397-08002B2CF9AE}" pid="95" name="FSC#COOELAK@1.1001:IncomingSubject">
    <vt:lpwstr/>
  </property>
  <property fmtid="{D5CDD505-2E9C-101B-9397-08002B2CF9AE}" pid="96" name="FSC#COOELAK@1.1001:ProcessResponsible">
    <vt:lpwstr>Bonnet Colin</vt:lpwstr>
  </property>
  <property fmtid="{D5CDD505-2E9C-101B-9397-08002B2CF9AE}" pid="97" name="FSC#COOELAK@1.1001:ProcessResponsiblePhone">
    <vt:lpwstr>+41 58 463 89 96</vt:lpwstr>
  </property>
  <property fmtid="{D5CDD505-2E9C-101B-9397-08002B2CF9AE}" pid="98" name="FSC#COOELAK@1.1001:ProcessResponsibleMail">
    <vt:lpwstr>colin.bonnet@bav.admin.ch</vt:lpwstr>
  </property>
  <property fmtid="{D5CDD505-2E9C-101B-9397-08002B2CF9AE}" pid="99" name="FSC#COOELAK@1.1001:ProcessResponsibleFax">
    <vt:lpwstr>+41 58 464 12 48</vt:lpwstr>
  </property>
  <property fmtid="{D5CDD505-2E9C-101B-9397-08002B2CF9AE}" pid="100" name="FSC#COOELAK@1.1001:ApproverFirstName">
    <vt:lpwstr/>
  </property>
  <property fmtid="{D5CDD505-2E9C-101B-9397-08002B2CF9AE}" pid="101" name="FSC#COOELAK@1.1001:ApproverSurName">
    <vt:lpwstr/>
  </property>
  <property fmtid="{D5CDD505-2E9C-101B-9397-08002B2CF9AE}" pid="102" name="FSC#COOELAK@1.1001:ApproverTitle">
    <vt:lpwstr/>
  </property>
  <property fmtid="{D5CDD505-2E9C-101B-9397-08002B2CF9AE}" pid="103" name="FSC#COOELAK@1.1001:ExternalDate">
    <vt:lpwstr/>
  </property>
  <property fmtid="{D5CDD505-2E9C-101B-9397-08002B2CF9AE}" pid="104" name="FSC#COOELAK@1.1001:SettlementApprovedAt">
    <vt:lpwstr/>
  </property>
  <property fmtid="{D5CDD505-2E9C-101B-9397-08002B2CF9AE}" pid="105" name="FSC#COOELAK@1.1001:BaseNumber">
    <vt:lpwstr>BAV-510.42</vt:lpwstr>
  </property>
  <property fmtid="{D5CDD505-2E9C-101B-9397-08002B2CF9AE}" pid="106" name="FSC#COOELAK@1.1001:CurrentUserRolePos">
    <vt:lpwstr>Collaborateur, -trice spécialisé(e)</vt:lpwstr>
  </property>
  <property fmtid="{D5CDD505-2E9C-101B-9397-08002B2CF9AE}" pid="107" name="FSC#COOELAK@1.1001:CurrentUserEmail">
    <vt:lpwstr>valerie.blanchard@bav.admin.ch</vt:lpwstr>
  </property>
  <property fmtid="{D5CDD505-2E9C-101B-9397-08002B2CF9AE}" pid="108" name="FSC#ELAKGOV@1.1001:PersonalSubjGender">
    <vt:lpwstr/>
  </property>
  <property fmtid="{D5CDD505-2E9C-101B-9397-08002B2CF9AE}" pid="109" name="FSC#ELAKGOV@1.1001:PersonalSubjFirstName">
    <vt:lpwstr/>
  </property>
  <property fmtid="{D5CDD505-2E9C-101B-9397-08002B2CF9AE}" pid="110" name="FSC#ELAKGOV@1.1001:PersonalSubjSurName">
    <vt:lpwstr/>
  </property>
  <property fmtid="{D5CDD505-2E9C-101B-9397-08002B2CF9AE}" pid="111" name="FSC#ELAKGOV@1.1001:PersonalSubjSalutation">
    <vt:lpwstr/>
  </property>
  <property fmtid="{D5CDD505-2E9C-101B-9397-08002B2CF9AE}" pid="112" name="FSC#ELAKGOV@1.1001:PersonalSubjAddress">
    <vt:lpwstr/>
  </property>
  <property fmtid="{D5CDD505-2E9C-101B-9397-08002B2CF9AE}" pid="113" name="FSC#ATSTATECFG@1.1001:Office">
    <vt:lpwstr/>
  </property>
  <property fmtid="{D5CDD505-2E9C-101B-9397-08002B2CF9AE}" pid="114" name="FSC#ATSTATECFG@1.1001:Agent">
    <vt:lpwstr/>
  </property>
  <property fmtid="{D5CDD505-2E9C-101B-9397-08002B2CF9AE}" pid="115" name="FSC#ATSTATECFG@1.1001:AgentPhone">
    <vt:lpwstr/>
  </property>
  <property fmtid="{D5CDD505-2E9C-101B-9397-08002B2CF9AE}" pid="116" name="FSC#ATSTATECFG@1.1001:DepartmentFax">
    <vt:lpwstr/>
  </property>
  <property fmtid="{D5CDD505-2E9C-101B-9397-08002B2CF9AE}" pid="117" name="FSC#ATSTATECFG@1.1001:DepartmentEmail">
    <vt:lpwstr/>
  </property>
  <property fmtid="{D5CDD505-2E9C-101B-9397-08002B2CF9AE}" pid="118" name="FSC#ATSTATECFG@1.1001:SubfileDate">
    <vt:lpwstr/>
  </property>
  <property fmtid="{D5CDD505-2E9C-101B-9397-08002B2CF9AE}" pid="119" name="FSC#ATSTATECFG@1.1001:SubfileSubject">
    <vt:lpwstr>DS666f</vt:lpwstr>
  </property>
  <property fmtid="{D5CDD505-2E9C-101B-9397-08002B2CF9AE}" pid="120" name="FSC#ATSTATECFG@1.1001:DepartmentZipCode">
    <vt:lpwstr/>
  </property>
  <property fmtid="{D5CDD505-2E9C-101B-9397-08002B2CF9AE}" pid="121" name="FSC#ATSTATECFG@1.1001:DepartmentCountry">
    <vt:lpwstr/>
  </property>
  <property fmtid="{D5CDD505-2E9C-101B-9397-08002B2CF9AE}" pid="122" name="FSC#ATSTATECFG@1.1001:DepartmentCity">
    <vt:lpwstr/>
  </property>
  <property fmtid="{D5CDD505-2E9C-101B-9397-08002B2CF9AE}" pid="123" name="FSC#ATSTATECFG@1.1001:DepartmentStreet">
    <vt:lpwstr/>
  </property>
  <property fmtid="{D5CDD505-2E9C-101B-9397-08002B2CF9AE}" pid="124" name="FSC#ATSTATECFG@1.1001:DepartmentDVR">
    <vt:lpwstr/>
  </property>
  <property fmtid="{D5CDD505-2E9C-101B-9397-08002B2CF9AE}" pid="125" name="FSC#ATSTATECFG@1.1001:DepartmentUID">
    <vt:lpwstr/>
  </property>
  <property fmtid="{D5CDD505-2E9C-101B-9397-08002B2CF9AE}" pid="126" name="FSC#ATSTATECFG@1.1001:SubfileReference">
    <vt:lpwstr>BAV-510.42-00002/00001/00009</vt:lpwstr>
  </property>
  <property fmtid="{D5CDD505-2E9C-101B-9397-08002B2CF9AE}" pid="127" name="FSC#ATSTATECFG@1.1001:Clause">
    <vt:lpwstr/>
  </property>
  <property fmtid="{D5CDD505-2E9C-101B-9397-08002B2CF9AE}" pid="128" name="FSC#ATSTATECFG@1.1001:ApprovedSignature">
    <vt:lpwstr/>
  </property>
  <property fmtid="{D5CDD505-2E9C-101B-9397-08002B2CF9AE}" pid="129" name="FSC#ATSTATECFG@1.1001:BankAccount">
    <vt:lpwstr/>
  </property>
  <property fmtid="{D5CDD505-2E9C-101B-9397-08002B2CF9AE}" pid="130" name="FSC#ATSTATECFG@1.1001:BankAccountOwner">
    <vt:lpwstr/>
  </property>
  <property fmtid="{D5CDD505-2E9C-101B-9397-08002B2CF9AE}" pid="131" name="FSC#ATSTATECFG@1.1001:BankInstitute">
    <vt:lpwstr/>
  </property>
  <property fmtid="{D5CDD505-2E9C-101B-9397-08002B2CF9AE}" pid="132" name="FSC#ATSTATECFG@1.1001:BankAccountID">
    <vt:lpwstr/>
  </property>
  <property fmtid="{D5CDD505-2E9C-101B-9397-08002B2CF9AE}" pid="133" name="FSC#ATSTATECFG@1.1001:BankAccountIBAN">
    <vt:lpwstr/>
  </property>
  <property fmtid="{D5CDD505-2E9C-101B-9397-08002B2CF9AE}" pid="134" name="FSC#ATSTATECFG@1.1001:BankAccountBIC">
    <vt:lpwstr/>
  </property>
  <property fmtid="{D5CDD505-2E9C-101B-9397-08002B2CF9AE}" pid="135" name="FSC#ATSTATECFG@1.1001:BankName">
    <vt:lpwstr/>
  </property>
  <property fmtid="{D5CDD505-2E9C-101B-9397-08002B2CF9AE}" pid="136" name="FSC#CCAPRECONFIG@15.1001:AddrAnrede">
    <vt:lpwstr/>
  </property>
  <property fmtid="{D5CDD505-2E9C-101B-9397-08002B2CF9AE}" pid="137" name="FSC#CCAPRECONFIG@15.1001:AddrTitel">
    <vt:lpwstr/>
  </property>
  <property fmtid="{D5CDD505-2E9C-101B-9397-08002B2CF9AE}" pid="138" name="FSC#CCAPRECONFIG@15.1001:AddrNachgestellter_Titel">
    <vt:lpwstr/>
  </property>
  <property fmtid="{D5CDD505-2E9C-101B-9397-08002B2CF9AE}" pid="139" name="FSC#CCAPRECONFIG@15.1001:AddrVorname">
    <vt:lpwstr/>
  </property>
  <property fmtid="{D5CDD505-2E9C-101B-9397-08002B2CF9AE}" pid="140" name="FSC#CCAPRECONFIG@15.1001:AddrNachname">
    <vt:lpwstr/>
  </property>
  <property fmtid="{D5CDD505-2E9C-101B-9397-08002B2CF9AE}" pid="141" name="FSC#CCAPRECONFIG@15.1001:AddrzH">
    <vt:lpwstr/>
  </property>
  <property fmtid="{D5CDD505-2E9C-101B-9397-08002B2CF9AE}" pid="142" name="FSC#CCAPRECONFIG@15.1001:AddrGeschlecht">
    <vt:lpwstr/>
  </property>
  <property fmtid="{D5CDD505-2E9C-101B-9397-08002B2CF9AE}" pid="143" name="FSC#CCAPRECONFIG@15.1001:AddrStrasse">
    <vt:lpwstr/>
  </property>
  <property fmtid="{D5CDD505-2E9C-101B-9397-08002B2CF9AE}" pid="144" name="FSC#CCAPRECONFIG@15.1001:AddrHausnummer">
    <vt:lpwstr/>
  </property>
  <property fmtid="{D5CDD505-2E9C-101B-9397-08002B2CF9AE}" pid="145" name="FSC#CCAPRECONFIG@15.1001:AddrStiege">
    <vt:lpwstr/>
  </property>
  <property fmtid="{D5CDD505-2E9C-101B-9397-08002B2CF9AE}" pid="146" name="FSC#CCAPRECONFIG@15.1001:AddrTuer">
    <vt:lpwstr/>
  </property>
  <property fmtid="{D5CDD505-2E9C-101B-9397-08002B2CF9AE}" pid="147" name="FSC#CCAPRECONFIG@15.1001:AddrPostfach">
    <vt:lpwstr/>
  </property>
  <property fmtid="{D5CDD505-2E9C-101B-9397-08002B2CF9AE}" pid="148" name="FSC#CCAPRECONFIG@15.1001:AddrPostleitzahl">
    <vt:lpwstr/>
  </property>
  <property fmtid="{D5CDD505-2E9C-101B-9397-08002B2CF9AE}" pid="149" name="FSC#CCAPRECONFIG@15.1001:AddrOrt">
    <vt:lpwstr/>
  </property>
  <property fmtid="{D5CDD505-2E9C-101B-9397-08002B2CF9AE}" pid="150" name="FSC#CCAPRECONFIG@15.1001:AddrLand">
    <vt:lpwstr/>
  </property>
  <property fmtid="{D5CDD505-2E9C-101B-9397-08002B2CF9AE}" pid="151" name="FSC#CCAPRECONFIG@15.1001:AddrEmail">
    <vt:lpwstr/>
  </property>
  <property fmtid="{D5CDD505-2E9C-101B-9397-08002B2CF9AE}" pid="152" name="FSC#CCAPRECONFIG@15.1001:AddrAdresse">
    <vt:lpwstr/>
  </property>
  <property fmtid="{D5CDD505-2E9C-101B-9397-08002B2CF9AE}" pid="153" name="FSC#CCAPRECONFIG@15.1001:AddrFax">
    <vt:lpwstr/>
  </property>
  <property fmtid="{D5CDD505-2E9C-101B-9397-08002B2CF9AE}" pid="154" name="FSC#CCAPRECONFIG@15.1001:AddrOrganisationsname">
    <vt:lpwstr/>
  </property>
  <property fmtid="{D5CDD505-2E9C-101B-9397-08002B2CF9AE}" pid="155" name="FSC#CCAPRECONFIG@15.1001:AddrOrganisationskurzname">
    <vt:lpwstr/>
  </property>
  <property fmtid="{D5CDD505-2E9C-101B-9397-08002B2CF9AE}" pid="156" name="FSC#CCAPRECONFIG@15.1001:AddrAbschriftsbemerkung">
    <vt:lpwstr/>
  </property>
  <property fmtid="{D5CDD505-2E9C-101B-9397-08002B2CF9AE}" pid="157" name="FSC#CCAPRECONFIG@15.1001:AddrName_Zeile_2">
    <vt:lpwstr/>
  </property>
  <property fmtid="{D5CDD505-2E9C-101B-9397-08002B2CF9AE}" pid="158" name="FSC#CCAPRECONFIG@15.1001:AddrName_Zeile_3">
    <vt:lpwstr/>
  </property>
  <property fmtid="{D5CDD505-2E9C-101B-9397-08002B2CF9AE}" pid="159" name="FSC#CCAPRECONFIG@15.1001:AddrPostalischeAdresse">
    <vt:lpwstr/>
  </property>
  <property fmtid="{D5CDD505-2E9C-101B-9397-08002B2CF9AE}" pid="160" name="FSC#COOSYSTEM@1.1:Container">
    <vt:lpwstr>COO.2125.100.2.8222107</vt:lpwstr>
  </property>
  <property fmtid="{D5CDD505-2E9C-101B-9397-08002B2CF9AE}" pid="161" name="FSC#FSCFOLIO@1.1001:docpropproject">
    <vt:lpwstr/>
  </property>
</Properties>
</file>