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C" w:rsidRPr="00863545" w:rsidRDefault="00CD791C" w:rsidP="00CD791C">
      <w:pPr>
        <w:spacing w:line="60" w:lineRule="exact"/>
        <w:rPr>
          <w:color w:val="010000"/>
          <w:sz w:val="6"/>
        </w:rPr>
        <w:sectPr w:rsidR="00CD791C" w:rsidRPr="00863545" w:rsidSect="00CD79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63545">
        <w:rPr>
          <w:rStyle w:val="CommentReference"/>
        </w:rPr>
        <w:commentReference w:id="0"/>
      </w:r>
      <w:bookmarkStart w:id="1" w:name="_GoBack"/>
      <w:bookmarkEnd w:id="1"/>
    </w:p>
    <w:p w:rsidR="003E25DA" w:rsidRDefault="00863545" w:rsidP="003E25D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63545">
        <w:lastRenderedPageBreak/>
        <w:t>Европейская экономическая комиссия</w:t>
      </w:r>
      <w:r w:rsidR="003E25DA">
        <w:t xml:space="preserve"> </w:t>
      </w:r>
    </w:p>
    <w:p w:rsidR="003E25DA" w:rsidRPr="003E25DA" w:rsidRDefault="003E25DA" w:rsidP="003E25DA">
      <w:pPr>
        <w:spacing w:line="120" w:lineRule="exact"/>
        <w:rPr>
          <w:sz w:val="10"/>
        </w:rPr>
      </w:pPr>
    </w:p>
    <w:p w:rsidR="003E25DA" w:rsidRPr="003E25DA" w:rsidRDefault="00863545" w:rsidP="003E25D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3E25DA">
        <w:rPr>
          <w:b w:val="0"/>
          <w:bCs/>
        </w:rPr>
        <w:t>Комитет по внутреннему транспорту</w:t>
      </w:r>
      <w:r w:rsidR="003E25DA" w:rsidRPr="003E25DA">
        <w:rPr>
          <w:b w:val="0"/>
          <w:bCs/>
        </w:rPr>
        <w:t xml:space="preserve"> </w:t>
      </w:r>
    </w:p>
    <w:p w:rsidR="003E25DA" w:rsidRPr="003E25DA" w:rsidRDefault="003E25DA" w:rsidP="003E25DA">
      <w:pPr>
        <w:spacing w:line="120" w:lineRule="exact"/>
        <w:rPr>
          <w:sz w:val="10"/>
        </w:rPr>
      </w:pPr>
    </w:p>
    <w:p w:rsidR="003E25DA" w:rsidRDefault="00863545" w:rsidP="003E25D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63545">
        <w:t>Рабочая группа по перевозкам опасных грузов</w:t>
      </w:r>
      <w:r w:rsidR="003E25DA">
        <w:t xml:space="preserve"> </w:t>
      </w:r>
    </w:p>
    <w:p w:rsidR="003E25DA" w:rsidRPr="003E25DA" w:rsidRDefault="003E25DA" w:rsidP="003E25DA">
      <w:pPr>
        <w:spacing w:line="120" w:lineRule="exact"/>
        <w:rPr>
          <w:sz w:val="10"/>
        </w:rPr>
      </w:pPr>
    </w:p>
    <w:p w:rsidR="003E25DA" w:rsidRDefault="00863545" w:rsidP="003E25D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63545">
        <w:t>Совместное совещание Комиссии экспертов МПОГ</w:t>
      </w:r>
      <w:r w:rsidR="003E25DA">
        <w:t xml:space="preserve"> </w:t>
      </w:r>
      <w:r w:rsidR="003E25DA">
        <w:br/>
      </w:r>
      <w:r w:rsidRPr="00863545">
        <w:t>и Рабочей группы по перевозкам опасных грузов</w:t>
      </w:r>
      <w:r w:rsidR="003E25DA">
        <w:t xml:space="preserve"> </w:t>
      </w:r>
    </w:p>
    <w:p w:rsidR="003E25DA" w:rsidRPr="003E25DA" w:rsidRDefault="003E25DA" w:rsidP="003E25DA">
      <w:pPr>
        <w:spacing w:line="120" w:lineRule="exact"/>
        <w:rPr>
          <w:sz w:val="10"/>
        </w:rPr>
      </w:pPr>
    </w:p>
    <w:p w:rsidR="00863545" w:rsidRPr="001013F2" w:rsidRDefault="00863545" w:rsidP="003E25D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1013F2">
        <w:rPr>
          <w:b w:val="0"/>
          <w:bCs/>
        </w:rPr>
        <w:t>Берн, 14−18 марта 2016 года</w:t>
      </w:r>
    </w:p>
    <w:p w:rsidR="00863545" w:rsidRPr="00863545" w:rsidRDefault="00863545" w:rsidP="003E25DA">
      <w:r w:rsidRPr="00863545">
        <w:t>Пункт 5 b) предварительной повестки дня</w:t>
      </w:r>
    </w:p>
    <w:p w:rsidR="003E25DA" w:rsidRDefault="00863545" w:rsidP="003E25D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63545">
        <w:t xml:space="preserve">Предложения о внесении поправок </w:t>
      </w:r>
      <w:r w:rsidR="003E25DA">
        <w:br/>
      </w:r>
      <w:r w:rsidRPr="00863545">
        <w:t>в МПОГ/ДОПОГ/ВОПОГ:</w:t>
      </w:r>
      <w:r w:rsidR="003E25DA">
        <w:t xml:space="preserve"> </w:t>
      </w:r>
      <w:r w:rsidRPr="00863545">
        <w:t>новые предложения</w:t>
      </w:r>
      <w:r w:rsidR="003E25DA">
        <w:t xml:space="preserve"> </w:t>
      </w:r>
    </w:p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3E25DA" w:rsidRDefault="003E25DA" w:rsidP="003E25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63545" w:rsidRPr="00863545">
        <w:t>Указания на табличках оранжевого цвета, предписанные в разделе 5.3.2 для перевозки радиоактивных материалов</w:t>
      </w:r>
      <w:r>
        <w:t xml:space="preserve"> </w:t>
      </w:r>
    </w:p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863545" w:rsidRPr="00863545" w:rsidRDefault="003E25DA" w:rsidP="003E25D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63545" w:rsidRPr="00863545">
        <w:t>Передано правительством Франц</w:t>
      </w:r>
      <w:r w:rsidR="001013F2">
        <w:t>и</w:t>
      </w:r>
      <w:r w:rsidR="00863545" w:rsidRPr="00863545">
        <w:t>и</w:t>
      </w:r>
      <w:r w:rsidRPr="001013F2">
        <w:rPr>
          <w:rStyle w:val="FootnoteReference"/>
          <w:b w:val="0"/>
          <w:bCs/>
          <w:sz w:val="20"/>
          <w:szCs w:val="20"/>
        </w:rPr>
        <w:footnoteReference w:id="2"/>
      </w:r>
      <w:r w:rsidR="00863545" w:rsidRPr="001013F2">
        <w:rPr>
          <w:b w:val="0"/>
          <w:bCs/>
          <w:sz w:val="20"/>
          <w:szCs w:val="20"/>
          <w:vertAlign w:val="superscript"/>
        </w:rPr>
        <w:t>,</w:t>
      </w:r>
      <w:r w:rsidRPr="001013F2">
        <w:rPr>
          <w:b w:val="0"/>
          <w:bCs/>
          <w:sz w:val="20"/>
          <w:szCs w:val="20"/>
          <w:vertAlign w:val="superscript"/>
        </w:rPr>
        <w:t xml:space="preserve"> </w:t>
      </w:r>
      <w:r w:rsidRPr="001013F2">
        <w:rPr>
          <w:rStyle w:val="FootnoteReference"/>
          <w:b w:val="0"/>
          <w:bCs/>
          <w:sz w:val="20"/>
          <w:szCs w:val="20"/>
        </w:rPr>
        <w:footnoteReference w:id="3"/>
      </w:r>
    </w:p>
    <w:p w:rsidR="00863545" w:rsidRPr="003E25DA" w:rsidRDefault="00863545" w:rsidP="003E25DA">
      <w:pPr>
        <w:pStyle w:val="SingleTxt"/>
        <w:spacing w:after="0" w:line="120" w:lineRule="exact"/>
        <w:rPr>
          <w:sz w:val="10"/>
        </w:rPr>
      </w:pPr>
    </w:p>
    <w:p w:rsidR="003E25DA" w:rsidRPr="003E25DA" w:rsidRDefault="003E25DA" w:rsidP="003E25DA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3E25DA" w:rsidTr="003E25D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E25DA" w:rsidRPr="003E25DA" w:rsidRDefault="003E25DA" w:rsidP="003E25DA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3E25DA" w:rsidTr="001013F2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3E25DA" w:rsidRPr="003E25DA" w:rsidRDefault="003E25DA" w:rsidP="001013F2">
            <w:pPr>
              <w:pStyle w:val="SingleTxt"/>
              <w:ind w:left="3658" w:hanging="2391"/>
            </w:pPr>
            <w:r w:rsidRPr="00863545"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 w:rsidRPr="00863545">
              <w:t>Настоящее предложение направлено на то, чтобы включить в ДОПОГ, ВОПОГ и МПОГ обязанность ра</w:t>
            </w:r>
            <w:r w:rsidRPr="00863545">
              <w:t>з</w:t>
            </w:r>
            <w:r w:rsidRPr="00863545">
              <w:t>мещать соответствующие указания на табличках ора</w:t>
            </w:r>
            <w:r w:rsidRPr="00863545">
              <w:t>н</w:t>
            </w:r>
            <w:r w:rsidRPr="00863545">
              <w:t>жевого цвета при каждой перевозке упакованных р</w:t>
            </w:r>
            <w:r w:rsidRPr="00863545">
              <w:t>а</w:t>
            </w:r>
            <w:r w:rsidRPr="00863545">
              <w:t>диоактивных материалов, имеющих один номер ООН (в отсутствие каких-либо других опасных грузов), независимо от того, перевозятся они в условиях и</w:t>
            </w:r>
            <w:r w:rsidRPr="00863545">
              <w:t>с</w:t>
            </w:r>
            <w:r w:rsidRPr="00863545">
              <w:t>ключительного использования или нет.</w:t>
            </w:r>
          </w:p>
        </w:tc>
      </w:tr>
      <w:tr w:rsidR="003E25DA" w:rsidTr="001013F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E25DA" w:rsidRPr="003E25DA" w:rsidRDefault="003E25DA" w:rsidP="001013F2">
            <w:pPr>
              <w:pStyle w:val="SingleTxt"/>
              <w:spacing w:after="240"/>
              <w:ind w:left="3657" w:hanging="2390"/>
            </w:pPr>
            <w:r w:rsidRPr="00863545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Pr="00863545">
              <w:t>Изменение формулировок пунктов 5.3.2.1.4 и 5.3.2.2.1 ДОПОГ и ВОПОГ и пункта 5.3.2.1.1 МПОГ.</w:t>
            </w:r>
          </w:p>
        </w:tc>
      </w:tr>
    </w:tbl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3E25DA" w:rsidRPr="003E25DA" w:rsidRDefault="003E25DA" w:rsidP="003E25DA">
      <w:pPr>
        <w:pStyle w:val="SingleTxt"/>
        <w:spacing w:after="0" w:line="120" w:lineRule="exact"/>
        <w:rPr>
          <w:b/>
          <w:bCs/>
          <w:sz w:val="10"/>
        </w:rPr>
      </w:pPr>
    </w:p>
    <w:p w:rsidR="003E25DA" w:rsidRPr="003E25DA" w:rsidRDefault="003E25DA" w:rsidP="003E25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3E25DA">
        <w:t>Введение</w:t>
      </w:r>
    </w:p>
    <w:p w:rsidR="003E25DA" w:rsidRPr="003E25DA" w:rsidRDefault="003E25DA" w:rsidP="003E25DA">
      <w:pPr>
        <w:pStyle w:val="SingleTxt"/>
        <w:spacing w:after="0" w:line="120" w:lineRule="exact"/>
        <w:rPr>
          <w:sz w:val="10"/>
        </w:rPr>
      </w:pPr>
    </w:p>
    <w:p w:rsidR="003E25DA" w:rsidRPr="003E25DA" w:rsidRDefault="003E25DA" w:rsidP="003E25DA">
      <w:pPr>
        <w:pStyle w:val="SingleTxt"/>
        <w:spacing w:after="0" w:line="120" w:lineRule="exact"/>
        <w:rPr>
          <w:sz w:val="10"/>
        </w:rPr>
      </w:pPr>
    </w:p>
    <w:p w:rsidR="003E25DA" w:rsidRPr="003E25DA" w:rsidRDefault="003E25DA" w:rsidP="003E25DA">
      <w:pPr>
        <w:pStyle w:val="SingleTxt"/>
      </w:pPr>
      <w:r w:rsidRPr="003E25DA">
        <w:t>1.</w:t>
      </w:r>
      <w:r w:rsidRPr="003E25DA">
        <w:tab/>
        <w:t>В случае аварии при перевозке радиоактивных материалов надлежащие м</w:t>
      </w:r>
      <w:r w:rsidRPr="003E25DA">
        <w:t>е</w:t>
      </w:r>
      <w:r w:rsidRPr="003E25DA">
        <w:t>ры, которые должны приниматься аварийными службами независимо от того, идет ли речь об определении периметра опасной</w:t>
      </w:r>
      <w:r>
        <w:t xml:space="preserve"> </w:t>
      </w:r>
      <w:r w:rsidRPr="003E25DA">
        <w:t>зоны, средствах индивидуал</w:t>
      </w:r>
      <w:r w:rsidRPr="003E25DA">
        <w:t>ь</w:t>
      </w:r>
      <w:r w:rsidRPr="003E25DA">
        <w:t>ной защиты участников перевозки или способах тушения пожара, во многом з</w:t>
      </w:r>
      <w:r w:rsidRPr="003E25DA">
        <w:t>а</w:t>
      </w:r>
      <w:r w:rsidRPr="003E25DA">
        <w:t>висят от типа перевозимого материала. Таким образом, крайне важно, чтобы ав</w:t>
      </w:r>
      <w:r w:rsidRPr="003E25DA">
        <w:t>а</w:t>
      </w:r>
      <w:r w:rsidRPr="003E25DA">
        <w:t>рийные службы могли быстро получить соответствующую информацию о грузе.</w:t>
      </w:r>
    </w:p>
    <w:p w:rsidR="003E25DA" w:rsidRPr="003E25DA" w:rsidRDefault="003E25DA" w:rsidP="003E25DA">
      <w:pPr>
        <w:pStyle w:val="SingleTxt"/>
      </w:pPr>
      <w:r w:rsidRPr="003E25DA">
        <w:t>2.</w:t>
      </w:r>
      <w:r w:rsidRPr="003E25DA">
        <w:tab/>
      </w:r>
      <w:proofErr w:type="gramStart"/>
      <w:r w:rsidRPr="003E25DA">
        <w:t xml:space="preserve">Например, в случае аварии и вызванного ею сильного пожара при перевозке обогащенного </w:t>
      </w:r>
      <w:proofErr w:type="spellStart"/>
      <w:r w:rsidRPr="003E25DA">
        <w:t>гексафторида</w:t>
      </w:r>
      <w:proofErr w:type="spellEnd"/>
      <w:r w:rsidRPr="003E25DA">
        <w:t xml:space="preserve"> урана (</w:t>
      </w:r>
      <w:r w:rsidRPr="003E25DA">
        <w:rPr>
          <w:lang w:val="en-US"/>
        </w:rPr>
        <w:t>UF</w:t>
      </w:r>
      <w:r w:rsidRPr="003E25DA">
        <w:rPr>
          <w:vertAlign w:val="subscript"/>
        </w:rPr>
        <w:t>6</w:t>
      </w:r>
      <w:r w:rsidRPr="003E25DA">
        <w:t>) важно увеличить радиус зоны отчужд</w:t>
      </w:r>
      <w:r w:rsidRPr="003E25DA">
        <w:t>е</w:t>
      </w:r>
      <w:r w:rsidRPr="003E25DA">
        <w:t>ния, введенной аварийно-спасательными службами, пользоваться подходящей защитной одеждой и дыхательными аппаратами, не использовать воду для туш</w:t>
      </w:r>
      <w:r w:rsidRPr="003E25DA">
        <w:t>е</w:t>
      </w:r>
      <w:r w:rsidRPr="003E25DA">
        <w:t>ния пожара, если упаковки повреждены, или же, напротив, быстро охладить уп</w:t>
      </w:r>
      <w:r w:rsidRPr="003E25DA">
        <w:t>а</w:t>
      </w:r>
      <w:r w:rsidRPr="003E25DA">
        <w:t>ковки с помощью воды, если упаковки не повреждены.</w:t>
      </w:r>
      <w:proofErr w:type="gramEnd"/>
    </w:p>
    <w:p w:rsidR="003E25DA" w:rsidRPr="003E25DA" w:rsidRDefault="003E25DA" w:rsidP="003E25DA">
      <w:pPr>
        <w:pStyle w:val="SingleTxt"/>
      </w:pPr>
      <w:r w:rsidRPr="003E25DA">
        <w:t>3.</w:t>
      </w:r>
      <w:r w:rsidRPr="003E25DA">
        <w:tab/>
        <w:t>В этом контексте указание номера ООН на транспортном средстве является весьма полезным, в особенности тогда, когда водитель не в состоянии передать информацию аварийно-спасательным службам или передать им транспортный документ.</w:t>
      </w:r>
    </w:p>
    <w:p w:rsidR="003E25DA" w:rsidRPr="003E25DA" w:rsidRDefault="003E25DA" w:rsidP="003E25DA">
      <w:pPr>
        <w:pStyle w:val="SingleTxt"/>
      </w:pPr>
      <w:r w:rsidRPr="003E25DA">
        <w:t>4.</w:t>
      </w:r>
      <w:r w:rsidRPr="003E25DA">
        <w:tab/>
        <w:t>В соответствии с положениями ДОПОГ и ВОПОГ на табличках оранжевого цвета, предписанных в разделе 5.3.2, в зависимости от случая не указываются или указываются идентификационный номер опасности и номер ООН, присвое</w:t>
      </w:r>
      <w:r w:rsidRPr="003E25DA">
        <w:t>н</w:t>
      </w:r>
      <w:r w:rsidRPr="003E25DA">
        <w:t>ный грузу. В соответствии с разделом 5.3.2 МПОГ данные номера систематич</w:t>
      </w:r>
      <w:r w:rsidRPr="003E25DA">
        <w:t>е</w:t>
      </w:r>
      <w:r w:rsidRPr="003E25DA">
        <w:t>ски наносятся на эти таблички, однако размещать таблички на всех вагонах не обязательно.</w:t>
      </w:r>
    </w:p>
    <w:p w:rsidR="003E25DA" w:rsidRPr="003E25DA" w:rsidRDefault="003E25DA" w:rsidP="003E25DA">
      <w:pPr>
        <w:pStyle w:val="SingleTxt"/>
      </w:pPr>
      <w:r w:rsidRPr="003E25DA">
        <w:t>5.</w:t>
      </w:r>
      <w:r w:rsidRPr="003E25DA">
        <w:tab/>
      </w:r>
      <w:proofErr w:type="gramStart"/>
      <w:r w:rsidRPr="003E25DA">
        <w:t>В пункте 5.3.2.1.4 ДОПОГ и ВОПОГ предусмотрено, что в случае тран</w:t>
      </w:r>
      <w:r w:rsidRPr="003E25DA">
        <w:t>с</w:t>
      </w:r>
      <w:r w:rsidRPr="003E25DA">
        <w:t>портных единиц и контейнеров, в которых содержатся упакованные радиоакти</w:t>
      </w:r>
      <w:r w:rsidRPr="003E25DA">
        <w:t>в</w:t>
      </w:r>
      <w:r w:rsidRPr="003E25DA">
        <w:t>ные материалы с одним номером ООН, которые должны перевозиться в условиях исключительного использования, и не перевозятся никакие другие опасные гр</w:t>
      </w:r>
      <w:r w:rsidRPr="003E25DA">
        <w:t>у</w:t>
      </w:r>
      <w:r w:rsidRPr="003E25DA">
        <w:t>зы, на табличках оранжевого цвета должны быть указаны идентификационный номер опасности и номер ООН.</w:t>
      </w:r>
      <w:proofErr w:type="gramEnd"/>
    </w:p>
    <w:p w:rsidR="003E25DA" w:rsidRPr="003E25DA" w:rsidRDefault="003E25DA" w:rsidP="003E25DA">
      <w:pPr>
        <w:pStyle w:val="SingleTxt"/>
      </w:pPr>
      <w:r w:rsidRPr="003E25DA">
        <w:t>6.</w:t>
      </w:r>
      <w:r w:rsidRPr="003E25DA">
        <w:tab/>
        <w:t>Аналогичным образом пункт 5.3.2.1.1 МПОГ предписывает устанавливать заполненные таблички оранжевого цвета на боковых сторонах вагонов, в которых содержатся упакованные радиоактивные материалы с одним номером ООН, кот</w:t>
      </w:r>
      <w:r w:rsidRPr="003E25DA">
        <w:t>о</w:t>
      </w:r>
      <w:r w:rsidRPr="003E25DA">
        <w:t>рые должны перевозиться в условиях исключительного использования, и не п</w:t>
      </w:r>
      <w:r w:rsidRPr="003E25DA">
        <w:t>е</w:t>
      </w:r>
      <w:r w:rsidRPr="003E25DA">
        <w:t>ревозятся никакие другие опасные грузы.</w:t>
      </w:r>
    </w:p>
    <w:p w:rsidR="003E25DA" w:rsidRPr="003E25DA" w:rsidRDefault="003E25DA" w:rsidP="003E25DA">
      <w:pPr>
        <w:pStyle w:val="SingleTxt"/>
      </w:pPr>
      <w:r w:rsidRPr="003E25DA">
        <w:t>7.</w:t>
      </w:r>
      <w:r w:rsidRPr="003E25DA">
        <w:tab/>
        <w:t>Исключительное использование касается только перевозки радиоактивных материалов и определяется в разделе 1.2.1 (случай, когда имеется только один грузоотправитель и когда все транспортные операции осуществляются в соотве</w:t>
      </w:r>
      <w:r w:rsidRPr="003E25DA">
        <w:t>т</w:t>
      </w:r>
      <w:r w:rsidRPr="003E25DA">
        <w:t xml:space="preserve">ствии с указаниями грузоотправителя или грузополучателя). Однако в изданиях МПОГ/ДОПОГ/ВОПОГ 2015 года данное определение было дополнено, с </w:t>
      </w:r>
      <w:proofErr w:type="gramStart"/>
      <w:r w:rsidRPr="003E25DA">
        <w:t>тем</w:t>
      </w:r>
      <w:proofErr w:type="gramEnd"/>
      <w:r w:rsidRPr="003E25DA">
        <w:t xml:space="preserve"> чтобы только перевозки, которые обязательно должны осуществляться в услов</w:t>
      </w:r>
      <w:r w:rsidRPr="003E25DA">
        <w:t>и</w:t>
      </w:r>
      <w:r w:rsidRPr="003E25DA">
        <w:t>ях исключительного использования, могли декларироваться как перевозки в условиях исключительного использования. Это новшество значительно сокращ</w:t>
      </w:r>
      <w:r w:rsidRPr="003E25DA">
        <w:t>а</w:t>
      </w:r>
      <w:r w:rsidRPr="003E25DA">
        <w:t>ет число перевозок, осуществляемых в условиях исключительного использов</w:t>
      </w:r>
      <w:r w:rsidRPr="003E25DA">
        <w:t>а</w:t>
      </w:r>
      <w:r w:rsidRPr="003E25DA">
        <w:t>ния, и изменяет ситуацию с маркировкой, поскольку прежде можно было пред</w:t>
      </w:r>
      <w:r w:rsidRPr="003E25DA">
        <w:t>у</w:t>
      </w:r>
      <w:r w:rsidRPr="003E25DA">
        <w:t xml:space="preserve">смотреть перевозку груза в условиях исключительного использования, с </w:t>
      </w:r>
      <w:proofErr w:type="gramStart"/>
      <w:r w:rsidRPr="003E25DA">
        <w:t>тем</w:t>
      </w:r>
      <w:proofErr w:type="gramEnd"/>
      <w:r w:rsidRPr="003E25DA">
        <w:t xml:space="preserve"> чт</w:t>
      </w:r>
      <w:r w:rsidRPr="003E25DA">
        <w:t>о</w:t>
      </w:r>
      <w:r w:rsidRPr="003E25DA">
        <w:t>бы повысить эффективность маркировки.</w:t>
      </w:r>
    </w:p>
    <w:p w:rsidR="003E25DA" w:rsidRPr="003E25DA" w:rsidRDefault="003E25DA" w:rsidP="003E25DA">
      <w:pPr>
        <w:pStyle w:val="SingleTxt"/>
      </w:pPr>
      <w:r w:rsidRPr="003E25DA">
        <w:t>8.</w:t>
      </w:r>
      <w:r w:rsidRPr="003E25DA">
        <w:tab/>
        <w:t>В приведенном выше примере (пункт 2) нет никакой причины для того, чтобы перевозка осуществлялась в условиях исключительного использования. Поэтому таблички оранжевого цвета будут оставаться незаполненными. Всле</w:t>
      </w:r>
      <w:r w:rsidRPr="003E25DA">
        <w:t>д</w:t>
      </w:r>
      <w:r w:rsidRPr="003E25DA">
        <w:t xml:space="preserve">ствие этого, если упаковки, в которых содержится </w:t>
      </w:r>
      <w:r w:rsidRPr="003E25DA">
        <w:rPr>
          <w:lang w:val="en-US"/>
        </w:rPr>
        <w:t>UF</w:t>
      </w:r>
      <w:r w:rsidRPr="003E25DA">
        <w:rPr>
          <w:vertAlign w:val="subscript"/>
        </w:rPr>
        <w:t>6</w:t>
      </w:r>
      <w:r w:rsidRPr="003E25DA">
        <w:t xml:space="preserve">, не видны из-под брезента </w:t>
      </w:r>
      <w:r w:rsidRPr="003E25DA">
        <w:lastRenderedPageBreak/>
        <w:t>(как это случается на практике) и если не имеется транспортного документа, ав</w:t>
      </w:r>
      <w:r w:rsidRPr="003E25DA">
        <w:t>а</w:t>
      </w:r>
      <w:r w:rsidRPr="003E25DA">
        <w:t xml:space="preserve">рийно-спасательные службы не будут располагать информацией о содержимом упаковок и не смогут принять соответствующие меры для устранения серьезных радиологических и химических опасностей, которые представляет </w:t>
      </w:r>
      <w:r w:rsidRPr="003E25DA">
        <w:rPr>
          <w:lang w:val="en-US"/>
        </w:rPr>
        <w:t>UF</w:t>
      </w:r>
      <w:r w:rsidRPr="003E25DA">
        <w:rPr>
          <w:vertAlign w:val="subscript"/>
        </w:rPr>
        <w:t>6</w:t>
      </w:r>
      <w:r w:rsidRPr="00AD5353">
        <w:t>.</w:t>
      </w:r>
    </w:p>
    <w:p w:rsidR="003E25DA" w:rsidRPr="003E25DA" w:rsidRDefault="003E25DA" w:rsidP="001013F2">
      <w:pPr>
        <w:pStyle w:val="SingleTxt"/>
      </w:pPr>
      <w:r w:rsidRPr="003E25DA">
        <w:t>9.</w:t>
      </w:r>
      <w:r w:rsidRPr="003E25DA">
        <w:tab/>
        <w:t>Для того чтобы облегчить действия аварийно-спасательных слу</w:t>
      </w:r>
      <w:proofErr w:type="gramStart"/>
      <w:r w:rsidRPr="003E25DA">
        <w:t>жб в сл</w:t>
      </w:r>
      <w:proofErr w:type="gramEnd"/>
      <w:r w:rsidRPr="003E25DA">
        <w:t>учае аварии, мы считаем необходимым включить в МПОГ/ДОПОГ/ВОПОГ обяза</w:t>
      </w:r>
      <w:r w:rsidRPr="003E25DA">
        <w:t>н</w:t>
      </w:r>
      <w:r w:rsidRPr="003E25DA">
        <w:t>ность заполнять таблички оранжевого цвета в случае всех перевозок упакова</w:t>
      </w:r>
      <w:r w:rsidRPr="003E25DA">
        <w:t>н</w:t>
      </w:r>
      <w:r w:rsidRPr="003E25DA">
        <w:t>ных радиоактивных материалов с одним номером ООН (при отсутствии других опасных грузов) независимо от того, осуществляется перевозка в условиях и</w:t>
      </w:r>
      <w:r w:rsidRPr="003E25DA">
        <w:t>с</w:t>
      </w:r>
      <w:r w:rsidRPr="003E25DA">
        <w:t>ключительного использования или нет.</w:t>
      </w:r>
    </w:p>
    <w:p w:rsidR="003E25DA" w:rsidRPr="003E25DA" w:rsidRDefault="003E25DA" w:rsidP="005E6B5E">
      <w:pPr>
        <w:pStyle w:val="SingleTxt"/>
      </w:pPr>
      <w:r w:rsidRPr="003E25DA">
        <w:t>10.</w:t>
      </w:r>
      <w:r w:rsidRPr="003E25DA">
        <w:tab/>
        <w:t>Вместе с тем необходимо учитывать случай перевозчиков, которые ос</w:t>
      </w:r>
      <w:r w:rsidRPr="003E25DA">
        <w:t>у</w:t>
      </w:r>
      <w:r w:rsidRPr="003E25DA">
        <w:t>ществляют погрузку упаковок с разными номерами ООН в ходе одной и той же перевозки. В этом случае перевозчик может быть вынужден заменять таблички оранжевого цвета несколько раз в ходе перевозки. Во избежание подобной ситу</w:t>
      </w:r>
      <w:r w:rsidRPr="003E25DA">
        <w:t>а</w:t>
      </w:r>
      <w:r w:rsidRPr="003E25DA">
        <w:t>ции мы предлагаем уточнить, что обязанность по заполнению табличек оранж</w:t>
      </w:r>
      <w:r w:rsidRPr="003E25DA">
        <w:t>е</w:t>
      </w:r>
      <w:r w:rsidRPr="003E25DA">
        <w:t>вого цвета применяется только в том случае, если в транспортной единице или контейнере содержатся упаковки с одним номером ООН на протяжении всей п</w:t>
      </w:r>
      <w:r w:rsidRPr="003E25DA">
        <w:t>е</w:t>
      </w:r>
      <w:r w:rsidRPr="003E25DA">
        <w:t>ревозки.</w:t>
      </w:r>
    </w:p>
    <w:p w:rsidR="003E25DA" w:rsidRDefault="003E25DA" w:rsidP="003E25DA">
      <w:pPr>
        <w:pStyle w:val="SingleTxt"/>
      </w:pPr>
      <w:r w:rsidRPr="003E25DA">
        <w:t>11.</w:t>
      </w:r>
      <w:r w:rsidRPr="003E25DA">
        <w:tab/>
        <w:t>Кроме того, наше предложение не противоречит пункту 572 Правил пер</w:t>
      </w:r>
      <w:r w:rsidRPr="003E25DA">
        <w:t>е</w:t>
      </w:r>
      <w:r w:rsidRPr="003E25DA">
        <w:t>возки радиоактивных материалов (</w:t>
      </w:r>
      <w:r w:rsidRPr="003E25DA">
        <w:rPr>
          <w:lang w:val="en-US"/>
        </w:rPr>
        <w:t>SSR</w:t>
      </w:r>
      <w:r w:rsidRPr="003E25DA">
        <w:t>-6) МАГАТЭ.</w:t>
      </w:r>
      <w:r>
        <w:t xml:space="preserve"> </w:t>
      </w: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3E25DA" w:rsidRDefault="00F72678" w:rsidP="00F726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25DA" w:rsidRPr="003E25DA">
        <w:t>Предложение</w:t>
      </w:r>
      <w:r w:rsidR="003E25DA">
        <w:t xml:space="preserve"> </w:t>
      </w: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p w:rsidR="003E25DA" w:rsidRDefault="003E25DA" w:rsidP="003E25DA">
      <w:pPr>
        <w:pStyle w:val="SingleTxt"/>
      </w:pPr>
      <w:r w:rsidRPr="003E25DA">
        <w:t>В пункте 5.3.2.1.4 ДОПОГ и ВОПОГ заменить слова:</w:t>
      </w:r>
      <w:r>
        <w:t xml:space="preserve"> </w:t>
      </w:r>
    </w:p>
    <w:p w:rsidR="003E25DA" w:rsidRDefault="003E25DA" w:rsidP="00F72678">
      <w:pPr>
        <w:pStyle w:val="SingleTxt"/>
      </w:pPr>
      <w:r w:rsidRPr="003E25DA">
        <w:t>«которые должны перевозиться в условиях исключительного использования, и не перевозятся никакие другие опасные грузы</w:t>
      </w:r>
      <w:proofErr w:type="gramStart"/>
      <w:r w:rsidRPr="003E25DA">
        <w:t>,»</w:t>
      </w:r>
      <w:proofErr w:type="gramEnd"/>
    </w:p>
    <w:p w:rsidR="003E25DA" w:rsidRDefault="003E25DA" w:rsidP="003E25DA">
      <w:pPr>
        <w:pStyle w:val="SingleTxt"/>
      </w:pPr>
      <w:r w:rsidRPr="003E25DA">
        <w:t>словами:</w:t>
      </w:r>
      <w:r>
        <w:t xml:space="preserve"> </w:t>
      </w:r>
    </w:p>
    <w:p w:rsidR="003E25DA" w:rsidRDefault="003E25DA" w:rsidP="003E25DA">
      <w:pPr>
        <w:pStyle w:val="SingleTxt"/>
      </w:pPr>
      <w:r w:rsidRPr="003E25DA">
        <w:t>«если в транспортной единице или контейнере в любой момент в ходе перевозки не содержится радиоактивный материал с другим номером ООН или другое опасное вещество</w:t>
      </w:r>
      <w:proofErr w:type="gramStart"/>
      <w:r w:rsidRPr="003E25DA">
        <w:t>,»</w:t>
      </w:r>
      <w:proofErr w:type="gramEnd"/>
      <w:r w:rsidRPr="003E25DA">
        <w:t xml:space="preserve"> и исключить слова «когда требуется их перевозка в условиях исключительного использования».</w:t>
      </w:r>
      <w:r>
        <w:t xml:space="preserve"> </w:t>
      </w:r>
    </w:p>
    <w:p w:rsidR="003E25DA" w:rsidRDefault="003E25DA" w:rsidP="003E25DA">
      <w:pPr>
        <w:pStyle w:val="SingleTxt"/>
      </w:pPr>
      <w:r w:rsidRPr="003E25DA">
        <w:t>В пункте 5.3.2.2.1, третий абзац, исключить слова:</w:t>
      </w:r>
      <w:r>
        <w:t xml:space="preserve"> </w:t>
      </w:r>
    </w:p>
    <w:p w:rsidR="003E25DA" w:rsidRDefault="003E25DA" w:rsidP="003E25DA">
      <w:pPr>
        <w:pStyle w:val="SingleTxt"/>
      </w:pPr>
      <w:r w:rsidRPr="003E25DA">
        <w:t>«перевозимого в условиях исключительного использования</w:t>
      </w:r>
      <w:proofErr w:type="gramStart"/>
      <w:r w:rsidRPr="003E25DA">
        <w:t>,»</w:t>
      </w:r>
      <w:proofErr w:type="gramEnd"/>
      <w:r w:rsidRPr="003E25DA">
        <w:t>.</w:t>
      </w:r>
      <w:r>
        <w:t xml:space="preserve"> </w:t>
      </w:r>
    </w:p>
    <w:p w:rsidR="003E25DA" w:rsidRDefault="003E25DA" w:rsidP="003E25DA">
      <w:pPr>
        <w:pStyle w:val="SingleTxt"/>
      </w:pPr>
      <w:r w:rsidRPr="003E25DA">
        <w:t>В пункте 5.3.2.1.1 МПОГ заменить слова:</w:t>
      </w:r>
      <w:r>
        <w:t xml:space="preserve"> </w:t>
      </w:r>
    </w:p>
    <w:p w:rsidR="003E25DA" w:rsidRDefault="003E25DA" w:rsidP="00F72678">
      <w:pPr>
        <w:pStyle w:val="SingleTxt"/>
      </w:pPr>
      <w:r w:rsidRPr="003E25DA">
        <w:t>«которые должны перевозиться в условиях исключительного использования, и не перевозятся никакие другие опасные грузы</w:t>
      </w:r>
      <w:proofErr w:type="gramStart"/>
      <w:r w:rsidRPr="003E25DA">
        <w:t>,»</w:t>
      </w:r>
      <w:proofErr w:type="gramEnd"/>
    </w:p>
    <w:p w:rsidR="003E25DA" w:rsidRDefault="003E25DA" w:rsidP="003E25DA">
      <w:pPr>
        <w:pStyle w:val="SingleTxt"/>
      </w:pPr>
      <w:r w:rsidRPr="003E25DA">
        <w:t>словами:</w:t>
      </w:r>
      <w:r>
        <w:t xml:space="preserve"> </w:t>
      </w:r>
    </w:p>
    <w:p w:rsidR="003E25DA" w:rsidRDefault="003E25DA" w:rsidP="003E25DA">
      <w:pPr>
        <w:pStyle w:val="SingleTxt"/>
      </w:pPr>
      <w:r w:rsidRPr="003E25DA">
        <w:t>«если в вагоне или контейнере в любой момент в ходе перевозки не содержится радиоактивный материал с другим номером ООН или другое опасное вещество</w:t>
      </w:r>
      <w:proofErr w:type="gramStart"/>
      <w:r w:rsidRPr="003E25DA">
        <w:t>,»</w:t>
      </w:r>
      <w:proofErr w:type="gramEnd"/>
      <w:r w:rsidRPr="003E25DA">
        <w:t>.</w:t>
      </w:r>
      <w:r>
        <w:t xml:space="preserve"> </w:t>
      </w: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3E25DA" w:rsidRPr="003E25DA" w:rsidRDefault="00F72678" w:rsidP="00F726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25DA" w:rsidRPr="003E25DA">
        <w:t>Обоснование</w:t>
      </w:r>
    </w:p>
    <w:p w:rsidR="003E25DA" w:rsidRPr="00F72678" w:rsidRDefault="003E25DA" w:rsidP="00F72678">
      <w:pPr>
        <w:pStyle w:val="SingleTxt"/>
        <w:spacing w:after="0" w:line="120" w:lineRule="exact"/>
        <w:rPr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60"/>
      </w:tblGrid>
      <w:tr w:rsidR="003E25DA" w:rsidRPr="003E25DA" w:rsidTr="00341CFB">
        <w:tc>
          <w:tcPr>
            <w:tcW w:w="1980" w:type="dxa"/>
          </w:tcPr>
          <w:p w:rsidR="003E25DA" w:rsidRPr="003E25DA" w:rsidRDefault="003E25DA" w:rsidP="00F72678">
            <w:pPr>
              <w:pStyle w:val="SingleTxt"/>
              <w:ind w:left="0" w:right="0"/>
            </w:pPr>
            <w:r w:rsidRPr="003E25DA">
              <w:t>Безопасность:</w:t>
            </w:r>
          </w:p>
        </w:tc>
        <w:tc>
          <w:tcPr>
            <w:tcW w:w="5760" w:type="dxa"/>
          </w:tcPr>
          <w:p w:rsidR="003E25DA" w:rsidRPr="003E25DA" w:rsidRDefault="003E25DA" w:rsidP="00F72678">
            <w:pPr>
              <w:pStyle w:val="SingleTxt"/>
              <w:ind w:left="0" w:right="0"/>
            </w:pPr>
            <w:r w:rsidRPr="003E25DA">
              <w:t>Предлагаемое изменение направлено на повышение степени безопасности перевозки радиоактивных материалов, обе</w:t>
            </w:r>
            <w:r w:rsidRPr="003E25DA">
              <w:t>с</w:t>
            </w:r>
            <w:r w:rsidRPr="003E25DA">
              <w:t xml:space="preserve">печивая для аварийных служб </w:t>
            </w:r>
            <w:proofErr w:type="gramStart"/>
            <w:r w:rsidRPr="003E25DA">
              <w:t>возможность</w:t>
            </w:r>
            <w:proofErr w:type="gramEnd"/>
            <w:r w:rsidRPr="003E25DA">
              <w:t xml:space="preserve"> принимать б</w:t>
            </w:r>
            <w:r w:rsidRPr="003E25DA">
              <w:t>о</w:t>
            </w:r>
            <w:r w:rsidRPr="003E25DA">
              <w:t>лее подходящие меры в случае аварии.</w:t>
            </w:r>
          </w:p>
        </w:tc>
      </w:tr>
      <w:tr w:rsidR="003E25DA" w:rsidRPr="003E25DA" w:rsidTr="00341CFB">
        <w:tc>
          <w:tcPr>
            <w:tcW w:w="1980" w:type="dxa"/>
          </w:tcPr>
          <w:p w:rsidR="003E25DA" w:rsidRPr="003E25DA" w:rsidRDefault="003E25DA" w:rsidP="00F72678">
            <w:pPr>
              <w:pStyle w:val="SingleTxt"/>
              <w:ind w:left="0" w:right="0"/>
            </w:pPr>
            <w:r w:rsidRPr="003E25DA">
              <w:lastRenderedPageBreak/>
              <w:t>Осуществимость:</w:t>
            </w:r>
          </w:p>
        </w:tc>
        <w:tc>
          <w:tcPr>
            <w:tcW w:w="5760" w:type="dxa"/>
          </w:tcPr>
          <w:p w:rsidR="003E25DA" w:rsidRPr="003E25DA" w:rsidRDefault="003E25DA" w:rsidP="00F72678">
            <w:pPr>
              <w:pStyle w:val="SingleTxt"/>
              <w:ind w:left="0" w:right="0"/>
            </w:pPr>
            <w:r w:rsidRPr="003E25DA">
              <w:t>Предлагаемое изменение касается всех перевозчиков ради</w:t>
            </w:r>
            <w:r w:rsidRPr="003E25DA">
              <w:t>о</w:t>
            </w:r>
            <w:r w:rsidRPr="003E25DA">
              <w:t>активных материалов. Однако издержки для перевозчиков будут ограниченными. В соответствующих случаях данное предложение обяжет перевозчиков приобрести набор та</w:t>
            </w:r>
            <w:r w:rsidRPr="003E25DA">
              <w:t>б</w:t>
            </w:r>
            <w:r w:rsidRPr="003E25DA">
              <w:t>личек оранжевого цвета.</w:t>
            </w:r>
          </w:p>
        </w:tc>
      </w:tr>
      <w:tr w:rsidR="003E25DA" w:rsidRPr="003E25DA" w:rsidTr="00341CFB">
        <w:tc>
          <w:tcPr>
            <w:tcW w:w="1980" w:type="dxa"/>
          </w:tcPr>
          <w:p w:rsidR="003E25DA" w:rsidRPr="003E25DA" w:rsidRDefault="003E25DA" w:rsidP="00F72678">
            <w:pPr>
              <w:pStyle w:val="SingleTxt"/>
              <w:ind w:left="0" w:right="0"/>
            </w:pPr>
            <w:r w:rsidRPr="003E25DA">
              <w:t>Практическое применение:</w:t>
            </w:r>
          </w:p>
        </w:tc>
        <w:tc>
          <w:tcPr>
            <w:tcW w:w="5760" w:type="dxa"/>
          </w:tcPr>
          <w:p w:rsidR="003E25DA" w:rsidRPr="003E25DA" w:rsidRDefault="003E25DA" w:rsidP="00F72678">
            <w:pPr>
              <w:pStyle w:val="SingleTxt"/>
              <w:ind w:left="0" w:right="0"/>
            </w:pPr>
            <w:r w:rsidRPr="003E25DA">
              <w:t>Применение данного изменения можно будет контролир</w:t>
            </w:r>
            <w:r w:rsidRPr="003E25DA">
              <w:t>о</w:t>
            </w:r>
            <w:r w:rsidRPr="003E25DA">
              <w:t>вать во время проверок при осуществлении перевозок р</w:t>
            </w:r>
            <w:r w:rsidRPr="003E25DA">
              <w:t>а</w:t>
            </w:r>
            <w:r w:rsidRPr="003E25DA">
              <w:t>диоактивных материалов.</w:t>
            </w:r>
          </w:p>
        </w:tc>
      </w:tr>
    </w:tbl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p w:rsidR="003E25DA" w:rsidRDefault="00F72678" w:rsidP="00F726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25DA" w:rsidRPr="003E25DA">
        <w:t>Текст с выделенными изменениями</w:t>
      </w:r>
      <w:r w:rsidR="003E25DA">
        <w:t xml:space="preserve"> </w:t>
      </w: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3E25DA" w:rsidRDefault="00F72678" w:rsidP="005E6B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25DA" w:rsidRPr="003E25DA">
        <w:t>ДОПОГ и ВОПОГ:</w:t>
      </w:r>
      <w:r w:rsidR="003E25DA">
        <w:t xml:space="preserve"> </w:t>
      </w: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p w:rsidR="003E25DA" w:rsidRDefault="003E25DA" w:rsidP="00F10814">
      <w:pPr>
        <w:pStyle w:val="SingleTxt"/>
        <w:ind w:left="3182" w:hanging="1915"/>
      </w:pPr>
      <w:r w:rsidRPr="003E25DA">
        <w:t>5.3.2.1.4</w:t>
      </w:r>
      <w:proofErr w:type="gramStart"/>
      <w:r w:rsidRPr="003E25DA">
        <w:tab/>
      </w:r>
      <w:r w:rsidR="00341CFB">
        <w:tab/>
      </w:r>
      <w:r w:rsidR="00341CFB">
        <w:tab/>
      </w:r>
      <w:r w:rsidRPr="003E25DA">
        <w:t>Е</w:t>
      </w:r>
      <w:proofErr w:type="gramEnd"/>
      <w:r w:rsidRPr="003E25DA">
        <w:t>сли в колонке 20 таблицы А главы 3.2 указан идентифик</w:t>
      </w:r>
      <w:r w:rsidRPr="003E25DA">
        <w:t>а</w:t>
      </w:r>
      <w:r w:rsidRPr="003E25DA">
        <w:t>ционный номер опасности, то на боковых сторонах каждой транспортной единицы или каждого контейнера, в которых перевозятся неупакованные твердые вещества или изделия либо упакованные радиоактивные материалы с одним ном</w:t>
      </w:r>
      <w:r w:rsidRPr="003E25DA">
        <w:t>е</w:t>
      </w:r>
      <w:r w:rsidRPr="003E25DA">
        <w:t xml:space="preserve">ром ООН, </w:t>
      </w:r>
      <w:r w:rsidRPr="003E25DA">
        <w:rPr>
          <w:u w:val="single"/>
        </w:rPr>
        <w:t>если в транспортной единице или контейнере в любой момент в ходе перевозки не содержится радиоакти</w:t>
      </w:r>
      <w:r w:rsidRPr="003E25DA">
        <w:rPr>
          <w:u w:val="single"/>
        </w:rPr>
        <w:t>в</w:t>
      </w:r>
      <w:r w:rsidRPr="003E25DA">
        <w:rPr>
          <w:u w:val="single"/>
        </w:rPr>
        <w:t>ный материал с другим номером ООН или другое опасное вещество</w:t>
      </w:r>
      <w:r w:rsidRPr="003E25DA">
        <w:t xml:space="preserve">, </w:t>
      </w:r>
      <w:r w:rsidRPr="00F72678">
        <w:rPr>
          <w:strike/>
        </w:rPr>
        <w:t>которые должны перевозиться в условиях искл</w:t>
      </w:r>
      <w:r w:rsidRPr="00F72678">
        <w:rPr>
          <w:strike/>
        </w:rPr>
        <w:t>ю</w:t>
      </w:r>
      <w:r w:rsidRPr="00F72678">
        <w:rPr>
          <w:strike/>
        </w:rPr>
        <w:t>чительного использования, и не перевозятся никакие другие опасные грузы,</w:t>
      </w:r>
      <w:r w:rsidRPr="003E25DA">
        <w:t xml:space="preserve"> должны, кроме того, иметься хорошо вид</w:t>
      </w:r>
      <w:r w:rsidRPr="003E25DA">
        <w:t>и</w:t>
      </w:r>
      <w:r w:rsidRPr="003E25DA">
        <w:t>мые и расположенные параллельно продольной оси тран</w:t>
      </w:r>
      <w:r w:rsidRPr="003E25DA">
        <w:t>с</w:t>
      </w:r>
      <w:r w:rsidRPr="003E25DA">
        <w:t>портного средства таблички оранжевого цвета, идентичные табличкам, предписанным в пункте 5.3.2.1.1. На этих та</w:t>
      </w:r>
      <w:r w:rsidRPr="003E25DA">
        <w:t>б</w:t>
      </w:r>
      <w:r w:rsidRPr="003E25DA">
        <w:t>личках оранжевого цвета должны быть указаны идентиф</w:t>
      </w:r>
      <w:r w:rsidRPr="003E25DA">
        <w:t>и</w:t>
      </w:r>
      <w:r w:rsidRPr="003E25DA">
        <w:t>кационный номер опасности и номер</w:t>
      </w:r>
      <w:r w:rsidR="00F10814">
        <w:t xml:space="preserve"> </w:t>
      </w:r>
      <w:r w:rsidRPr="003E25DA">
        <w:t>ООН, предписанные соответственно в колонках 20 и 1 таблицы</w:t>
      </w:r>
      <w:proofErr w:type="gramStart"/>
      <w:r w:rsidRPr="003E25DA">
        <w:t xml:space="preserve"> А</w:t>
      </w:r>
      <w:proofErr w:type="gramEnd"/>
      <w:r w:rsidRPr="003E25DA">
        <w:t xml:space="preserve"> главы 3.2 для каждого из веществ, перевозимых навалом/насыпью в транспортной единице или в контейнере, или для упакова</w:t>
      </w:r>
      <w:r w:rsidRPr="003E25DA">
        <w:t>н</w:t>
      </w:r>
      <w:r w:rsidRPr="003E25DA">
        <w:t xml:space="preserve">ных радиоактивных материалов, </w:t>
      </w:r>
      <w:r w:rsidRPr="00F72678">
        <w:rPr>
          <w:strike/>
        </w:rPr>
        <w:t>когда требуется их пер</w:t>
      </w:r>
      <w:r w:rsidRPr="00F72678">
        <w:rPr>
          <w:strike/>
        </w:rPr>
        <w:t>е</w:t>
      </w:r>
      <w:r w:rsidRPr="00F72678">
        <w:rPr>
          <w:strike/>
        </w:rPr>
        <w:t>возка в условиях исключительного использования</w:t>
      </w:r>
      <w:r w:rsidRPr="003E25DA">
        <w:t xml:space="preserve"> </w:t>
      </w:r>
      <w:r w:rsidRPr="003E25DA">
        <w:rPr>
          <w:u w:val="single"/>
        </w:rPr>
        <w:t>перев</w:t>
      </w:r>
      <w:r w:rsidRPr="003E25DA">
        <w:rPr>
          <w:u w:val="single"/>
        </w:rPr>
        <w:t>о</w:t>
      </w:r>
      <w:r w:rsidRPr="003E25DA">
        <w:rPr>
          <w:u w:val="single"/>
        </w:rPr>
        <w:t>зимых</w:t>
      </w:r>
      <w:r w:rsidRPr="003E25DA">
        <w:t xml:space="preserve"> в транспортной единице или в контейнере.</w:t>
      </w:r>
      <w:r>
        <w:t xml:space="preserve"> </w:t>
      </w:r>
    </w:p>
    <w:p w:rsidR="003E25DA" w:rsidRDefault="003E25DA" w:rsidP="003E25DA">
      <w:pPr>
        <w:pStyle w:val="SingleTxt"/>
      </w:pPr>
      <w:r w:rsidRPr="003E25DA">
        <w:t>5.3.2.2.1</w:t>
      </w:r>
      <w:r w:rsidRPr="003E25DA">
        <w:tab/>
      </w:r>
      <w:r w:rsidR="00341CFB">
        <w:tab/>
      </w:r>
      <w:r w:rsidR="00341CFB">
        <w:tab/>
      </w:r>
      <w:r w:rsidRPr="003E25DA">
        <w:t>Третий абзац</w:t>
      </w:r>
      <w:r>
        <w:t xml:space="preserve"> </w:t>
      </w:r>
    </w:p>
    <w:p w:rsidR="003E25DA" w:rsidRPr="003E25DA" w:rsidRDefault="003E25DA" w:rsidP="00341CFB">
      <w:pPr>
        <w:pStyle w:val="SingleTxt"/>
        <w:ind w:left="3182" w:hanging="1915"/>
      </w:pPr>
      <w:r w:rsidRPr="003E25DA">
        <w:tab/>
      </w:r>
      <w:r w:rsidR="00341CFB">
        <w:tab/>
      </w:r>
      <w:r w:rsidR="00341CFB">
        <w:tab/>
      </w:r>
      <w:r w:rsidR="00341CFB">
        <w:tab/>
      </w:r>
      <w:r w:rsidRPr="003E25DA">
        <w:t xml:space="preserve">Когда таблички оранжевого цвета уменьшенных размеров используются для упакованного радиоактивного материала, </w:t>
      </w:r>
      <w:r w:rsidRPr="00F72678">
        <w:rPr>
          <w:strike/>
        </w:rPr>
        <w:t>перевозимого в условиях исключительного использования,</w:t>
      </w:r>
      <w:r w:rsidRPr="003E25DA">
        <w:t xml:space="preserve"> необходимо указать только номер ООН и высота цифр, предписанная в пункте</w:t>
      </w:r>
      <w:r w:rsidR="00341CFB">
        <w:t> </w:t>
      </w:r>
      <w:r w:rsidRPr="003E25DA">
        <w:t xml:space="preserve">5.3.2.2.2, может быть уменьшена до </w:t>
      </w:r>
      <w:smartTag w:uri="urn:schemas-microsoft-com:office:smarttags" w:element="metricconverter">
        <w:smartTagPr>
          <w:attr w:name="ProductID" w:val="65 мм"/>
        </w:smartTagPr>
        <w:r w:rsidRPr="003E25DA">
          <w:t>65 мм</w:t>
        </w:r>
      </w:smartTag>
      <w:r w:rsidRPr="003E25DA">
        <w:t xml:space="preserve">, а толщина линий – до </w:t>
      </w:r>
      <w:smartTag w:uri="urn:schemas-microsoft-com:office:smarttags" w:element="metricconverter">
        <w:smartTagPr>
          <w:attr w:name="ProductID" w:val="10 мм"/>
        </w:smartTagPr>
        <w:r w:rsidRPr="003E25DA">
          <w:t>10 мм</w:t>
        </w:r>
      </w:smartTag>
      <w:r w:rsidRPr="003E25DA">
        <w:t>.</w:t>
      </w: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b/>
          <w:bCs/>
          <w:sz w:val="10"/>
        </w:rPr>
      </w:pPr>
    </w:p>
    <w:p w:rsidR="003E25DA" w:rsidRDefault="00F72678" w:rsidP="005E6B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25DA" w:rsidRPr="003E25DA">
        <w:t>МПОГ</w:t>
      </w:r>
      <w:r w:rsidR="003E25DA" w:rsidRPr="003E25DA">
        <w:rPr>
          <w:lang w:val="fr-FR"/>
        </w:rPr>
        <w:t>:</w:t>
      </w:r>
      <w:r w:rsidR="003E25DA">
        <w:t xml:space="preserve"> </w:t>
      </w:r>
    </w:p>
    <w:p w:rsidR="003E25DA" w:rsidRPr="00F72678" w:rsidRDefault="003E25DA" w:rsidP="00F72678">
      <w:pPr>
        <w:pStyle w:val="SingleTxt"/>
        <w:spacing w:after="0" w:line="120" w:lineRule="exact"/>
        <w:rPr>
          <w:sz w:val="10"/>
        </w:rPr>
      </w:pPr>
    </w:p>
    <w:p w:rsidR="00F72678" w:rsidRPr="00F72678" w:rsidRDefault="00F72678" w:rsidP="00F72678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760"/>
      </w:tblGrid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  <w:r w:rsidRPr="003E25DA">
              <w:rPr>
                <w:lang w:val="fr-FR"/>
              </w:rPr>
              <w:t>5.3.2.</w:t>
            </w:r>
            <w:r w:rsidRPr="003E25DA">
              <w:t>1</w:t>
            </w:r>
            <w:r w:rsidRPr="003E25DA">
              <w:rPr>
                <w:lang w:val="fr-FR"/>
              </w:rPr>
              <w:t>.1</w:t>
            </w:r>
          </w:p>
        </w:tc>
        <w:tc>
          <w:tcPr>
            <w:tcW w:w="5760" w:type="dxa"/>
          </w:tcPr>
          <w:p w:rsidR="003E25DA" w:rsidRPr="003E25DA" w:rsidRDefault="003E25DA" w:rsidP="00341CFB">
            <w:pPr>
              <w:pStyle w:val="SingleTxt"/>
              <w:ind w:left="0" w:right="0"/>
            </w:pPr>
            <w:r w:rsidRPr="003E25DA">
              <w:t>Во время перевозки в грузов, для которых в колонке 20 та</w:t>
            </w:r>
            <w:r w:rsidRPr="003E25DA">
              <w:t>б</w:t>
            </w:r>
            <w:r w:rsidRPr="003E25DA">
              <w:t>лицы А главы</w:t>
            </w:r>
            <w:r w:rsidR="00341CFB">
              <w:t> </w:t>
            </w:r>
            <w:r w:rsidRPr="003E25DA">
              <w:t>3.2 указан идентификационный номер опа</w:t>
            </w:r>
            <w:r w:rsidRPr="003E25DA">
              <w:t>с</w:t>
            </w:r>
            <w:r w:rsidRPr="003E25DA">
              <w:t>ности, на каждой боковой стороне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  <w:r w:rsidR="005E6B5E">
              <w:rPr>
                <w:b/>
                <w:bCs/>
              </w:rPr>
              <w:t xml:space="preserve"> </w:t>
            </w:r>
            <w:r w:rsidR="003E25DA" w:rsidRPr="003E25DA">
              <w:t>вагонов-цистерн,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вагонов-батарей,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вагонов со съемными цистернами,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контейнеров-цистерн,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МЭГК,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переносных цистерн,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вагонов для массовых грузов,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больших и малых контейнеров для массовых грузов,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3E25DA" w:rsidRDefault="00341CFB" w:rsidP="00F72678">
            <w:pPr>
              <w:pStyle w:val="SingleTxt"/>
              <w:ind w:left="0" w:right="0"/>
            </w:pPr>
            <w:r>
              <w:rPr>
                <w:b/>
                <w:bCs/>
              </w:rPr>
              <w:t>–</w:t>
            </w:r>
            <w:r w:rsidR="003E25DA" w:rsidRPr="003E25DA">
              <w:t xml:space="preserve"> вагонов и контейнеров, в которых перевозятся упакова</w:t>
            </w:r>
            <w:r w:rsidR="003E25DA" w:rsidRPr="003E25DA">
              <w:t>н</w:t>
            </w:r>
            <w:r w:rsidR="003E25DA" w:rsidRPr="003E25DA">
              <w:t xml:space="preserve">ные радиоактивные материалы с одним номером ООН, </w:t>
            </w:r>
            <w:r w:rsidR="003E25DA" w:rsidRPr="00F72678">
              <w:rPr>
                <w:strike/>
              </w:rPr>
              <w:t>к</w:t>
            </w:r>
            <w:r w:rsidR="003E25DA" w:rsidRPr="00F72678">
              <w:rPr>
                <w:strike/>
              </w:rPr>
              <w:t>о</w:t>
            </w:r>
            <w:r w:rsidR="003E25DA" w:rsidRPr="00F72678">
              <w:rPr>
                <w:strike/>
              </w:rPr>
              <w:t>торые должны перевозиться в условиях исключительного использования, и не перевозятся никакие другие опасные грузы,</w:t>
            </w:r>
            <w:r w:rsidR="003E25DA" w:rsidRPr="00F72678">
              <w:t xml:space="preserve"> </w:t>
            </w:r>
            <w:r w:rsidR="003E25DA" w:rsidRPr="003E25DA">
              <w:rPr>
                <w:u w:val="single"/>
              </w:rPr>
              <w:t>если в вагоне или контейнере в любой момент в ходе перевозки не содержится радиоактивный материал с другим номером ООН или другое опасное вещество</w:t>
            </w:r>
            <w:r w:rsidR="003E25DA" w:rsidRPr="003E25DA">
              <w:t>,</w:t>
            </w:r>
          </w:p>
        </w:tc>
      </w:tr>
      <w:tr w:rsidR="00F72678" w:rsidRPr="003E25DA" w:rsidTr="00341CFB">
        <w:tc>
          <w:tcPr>
            <w:tcW w:w="1890" w:type="dxa"/>
          </w:tcPr>
          <w:p w:rsidR="003E25DA" w:rsidRPr="003E25DA" w:rsidRDefault="003E25DA" w:rsidP="00F72678">
            <w:pPr>
              <w:pStyle w:val="SingleTxt"/>
              <w:ind w:left="0" w:right="0"/>
              <w:rPr>
                <w:b/>
                <w:bCs/>
              </w:rPr>
            </w:pPr>
          </w:p>
        </w:tc>
        <w:tc>
          <w:tcPr>
            <w:tcW w:w="5760" w:type="dxa"/>
          </w:tcPr>
          <w:p w:rsidR="003E25DA" w:rsidRPr="006B1AB5" w:rsidRDefault="003E25DA" w:rsidP="00802CC2">
            <w:pPr>
              <w:pStyle w:val="SingleTxt"/>
              <w:ind w:left="0" w:right="0"/>
            </w:pPr>
            <w:r w:rsidRPr="003E25DA">
              <w:t xml:space="preserve">должна иметься хорошо видимая прямоугольная табличка оранжевого цвета, предписанная в пункте 5.3.2.2.1. </w:t>
            </w:r>
          </w:p>
        </w:tc>
      </w:tr>
    </w:tbl>
    <w:p w:rsidR="003E25DA" w:rsidRPr="003E25DA" w:rsidRDefault="003E25DA" w:rsidP="003E25D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E25DA" w:rsidRPr="003E25DA" w:rsidSect="00CD791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9T16:24:00Z" w:initials="Start">
    <w:p w:rsidR="00CD791C" w:rsidRPr="00863545" w:rsidRDefault="00CD791C">
      <w:pPr>
        <w:pStyle w:val="CommentText"/>
        <w:rPr>
          <w:lang w:val="en-US"/>
        </w:rPr>
      </w:pPr>
      <w:r>
        <w:fldChar w:fldCharType="begin"/>
      </w:r>
      <w:r w:rsidRPr="00863545">
        <w:rPr>
          <w:rStyle w:val="CommentReference"/>
          <w:lang w:val="en-US"/>
        </w:rPr>
        <w:instrText xml:space="preserve"> </w:instrText>
      </w:r>
      <w:r w:rsidRPr="00863545">
        <w:rPr>
          <w:lang w:val="en-US"/>
        </w:rPr>
        <w:instrText>PAGE \# "'Page: '#'</w:instrText>
      </w:r>
      <w:r w:rsidRPr="00863545">
        <w:rPr>
          <w:lang w:val="en-US"/>
        </w:rPr>
        <w:br/>
        <w:instrText>'"</w:instrText>
      </w:r>
      <w:r w:rsidRPr="0086354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63545">
        <w:rPr>
          <w:lang w:val="en-US"/>
        </w:rPr>
        <w:t>&lt;&lt;ODS JOB NO&gt;&gt;N1529132R&lt;&lt;ODS JOB NO&gt;&gt;</w:t>
      </w:r>
    </w:p>
    <w:p w:rsidR="00CD791C" w:rsidRDefault="00CD791C">
      <w:pPr>
        <w:pStyle w:val="CommentText"/>
      </w:pPr>
      <w:r>
        <w:t>&lt;&lt;ODS DOC SYMBOL1&gt;&gt;ECE/TRANS/WP.15/AC.1/2016/14&lt;&lt;ODS DOC SYMBOL1&gt;&gt;</w:t>
      </w:r>
    </w:p>
    <w:p w:rsidR="00CD791C" w:rsidRDefault="00CD791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12" w:rsidRDefault="00437D12" w:rsidP="008A1A7A">
      <w:pPr>
        <w:spacing w:line="240" w:lineRule="auto"/>
      </w:pPr>
      <w:r>
        <w:separator/>
      </w:r>
    </w:p>
  </w:endnote>
  <w:endnote w:type="continuationSeparator" w:id="0">
    <w:p w:rsidR="00437D12" w:rsidRDefault="00437D1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D791C" w:rsidTr="00CD791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D791C" w:rsidRPr="00CD791C" w:rsidRDefault="00CD791C" w:rsidP="00CD791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B1AB5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6B1AB5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CD791C" w:rsidRPr="00CD791C" w:rsidRDefault="00CD791C" w:rsidP="00CD791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B1AB5">
            <w:rPr>
              <w:b w:val="0"/>
              <w:color w:val="000000"/>
              <w:sz w:val="14"/>
            </w:rPr>
            <w:t>GE.15-22786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D791C" w:rsidRPr="00CD791C" w:rsidRDefault="00CD791C" w:rsidP="00CD7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D791C" w:rsidTr="00CD791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D791C" w:rsidRPr="00CD791C" w:rsidRDefault="00CD791C" w:rsidP="00CD791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B1AB5">
            <w:rPr>
              <w:b w:val="0"/>
              <w:color w:val="000000"/>
              <w:sz w:val="14"/>
            </w:rPr>
            <w:t>GE.15-22786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D791C" w:rsidRPr="00CD791C" w:rsidRDefault="00CD791C" w:rsidP="00CD791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B1AB5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6B1AB5">
              <w:rPr>
                <w:noProof/>
              </w:rPr>
              <w:t>5</w:t>
            </w:r>
          </w:fldSimple>
        </w:p>
      </w:tc>
    </w:tr>
  </w:tbl>
  <w:p w:rsidR="00CD791C" w:rsidRPr="00CD791C" w:rsidRDefault="00CD791C" w:rsidP="00CD7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D791C" w:rsidTr="00CD791C">
      <w:tc>
        <w:tcPr>
          <w:tcW w:w="3873" w:type="dxa"/>
        </w:tcPr>
        <w:p w:rsidR="00CD791C" w:rsidRDefault="00CD791C" w:rsidP="00CD791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735B344" wp14:editId="222B1A5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GE.15-22786 (R)</w:t>
          </w:r>
          <w:r>
            <w:rPr>
              <w:color w:val="010000"/>
            </w:rPr>
            <w:t xml:space="preserve">    190116    190116</w:t>
          </w:r>
        </w:p>
        <w:p w:rsidR="00CD791C" w:rsidRPr="00CD791C" w:rsidRDefault="00CD791C" w:rsidP="00CD791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*1522786*</w:t>
          </w:r>
        </w:p>
      </w:tc>
      <w:tc>
        <w:tcPr>
          <w:tcW w:w="5127" w:type="dxa"/>
        </w:tcPr>
        <w:p w:rsidR="00CD791C" w:rsidRDefault="00CD791C" w:rsidP="00CD791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A9D2409" wp14:editId="297C573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791C" w:rsidRPr="00CD791C" w:rsidRDefault="00CD791C" w:rsidP="00CD791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12" w:rsidRPr="003E25DA" w:rsidRDefault="003E25DA" w:rsidP="003E25DA">
      <w:pPr>
        <w:pStyle w:val="Footer"/>
        <w:spacing w:after="80"/>
        <w:ind w:left="792"/>
        <w:rPr>
          <w:sz w:val="16"/>
        </w:rPr>
      </w:pPr>
      <w:r w:rsidRPr="003E25DA">
        <w:rPr>
          <w:sz w:val="16"/>
        </w:rPr>
        <w:t>__________________</w:t>
      </w:r>
    </w:p>
  </w:footnote>
  <w:footnote w:type="continuationSeparator" w:id="0">
    <w:p w:rsidR="00437D12" w:rsidRPr="003E25DA" w:rsidRDefault="003E25DA" w:rsidP="003E25DA">
      <w:pPr>
        <w:pStyle w:val="Footer"/>
        <w:spacing w:after="80"/>
        <w:ind w:left="792"/>
        <w:rPr>
          <w:sz w:val="16"/>
        </w:rPr>
      </w:pPr>
      <w:r w:rsidRPr="003E25DA">
        <w:rPr>
          <w:sz w:val="16"/>
        </w:rPr>
        <w:t>__________________</w:t>
      </w:r>
    </w:p>
  </w:footnote>
  <w:footnote w:type="continuationNotice" w:id="1">
    <w:p w:rsidR="003E25DA" w:rsidRPr="003E25DA" w:rsidRDefault="003E25DA" w:rsidP="003E25DA">
      <w:pPr>
        <w:pStyle w:val="Footer"/>
      </w:pPr>
    </w:p>
  </w:footnote>
  <w:footnote w:id="2">
    <w:p w:rsidR="003E25DA" w:rsidRDefault="003E25DA" w:rsidP="001013F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863545">
        <w:t>В соответствии с проектом программы работы Комитета по внутреннему транспорту</w:t>
      </w:r>
      <w:r>
        <w:t xml:space="preserve"> </w:t>
      </w:r>
      <w:r w:rsidRPr="00863545">
        <w:t>на</w:t>
      </w:r>
      <w:r w:rsidR="001013F2">
        <w:t> </w:t>
      </w:r>
      <w:r w:rsidRPr="00863545">
        <w:t>2016−2017 годы (ECE/TRANS/WP.15/2015/19 (9.2)).</w:t>
      </w:r>
    </w:p>
  </w:footnote>
  <w:footnote w:id="3">
    <w:p w:rsidR="003E25DA" w:rsidRDefault="003E25DA" w:rsidP="003E25D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863545">
        <w:t>Распространено Межправительственной организацией по международным</w:t>
      </w:r>
      <w:r>
        <w:t xml:space="preserve"> </w:t>
      </w:r>
      <w:r w:rsidRPr="00863545">
        <w:t>железнодорожным перевозкам (ОТИФ) под условным обозначением</w:t>
      </w:r>
      <w:r>
        <w:t xml:space="preserve"> </w:t>
      </w:r>
      <w:r w:rsidRPr="00863545">
        <w:rPr>
          <w:lang w:val="en-US"/>
        </w:rPr>
        <w:t>OTIF</w:t>
      </w:r>
      <w:r w:rsidRPr="003E25DA">
        <w:t>/</w:t>
      </w:r>
      <w:r w:rsidRPr="00863545">
        <w:rPr>
          <w:lang w:val="en-US"/>
        </w:rPr>
        <w:t>RID</w:t>
      </w:r>
      <w:r w:rsidRPr="003E25DA">
        <w:t>/</w:t>
      </w:r>
      <w:r w:rsidRPr="00863545">
        <w:rPr>
          <w:lang w:val="en-US"/>
        </w:rPr>
        <w:t>RC</w:t>
      </w:r>
      <w:r w:rsidRPr="003E25DA">
        <w:t>/2016/1</w:t>
      </w:r>
      <w:r w:rsidRPr="00863545">
        <w:t>4</w:t>
      </w:r>
      <w:r w:rsidRPr="003E25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D791C" w:rsidTr="00CD791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D791C" w:rsidRPr="00CD791C" w:rsidRDefault="00CD791C" w:rsidP="00CD791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B1AB5">
            <w:rPr>
              <w:b/>
            </w:rPr>
            <w:t>ECE/TRANS/WP.15/AC.1/2016/14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D791C" w:rsidRDefault="00CD791C" w:rsidP="00CD791C">
          <w:pPr>
            <w:pStyle w:val="Header"/>
          </w:pPr>
        </w:p>
      </w:tc>
    </w:tr>
  </w:tbl>
  <w:p w:rsidR="00CD791C" w:rsidRPr="00CD791C" w:rsidRDefault="00CD791C" w:rsidP="00CD7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D791C" w:rsidTr="00CD791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D791C" w:rsidRDefault="00CD791C" w:rsidP="00CD791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D791C" w:rsidRPr="00CD791C" w:rsidRDefault="00CD791C" w:rsidP="00CD791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B1AB5">
            <w:rPr>
              <w:b/>
            </w:rPr>
            <w:t>ECE/TRANS/WP.15/AC.1/2016/14</w:t>
          </w:r>
          <w:r>
            <w:rPr>
              <w:b/>
            </w:rPr>
            <w:fldChar w:fldCharType="end"/>
          </w:r>
        </w:p>
      </w:tc>
    </w:tr>
  </w:tbl>
  <w:p w:rsidR="00CD791C" w:rsidRPr="00CD791C" w:rsidRDefault="00CD791C" w:rsidP="00CD7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D791C" w:rsidTr="00CD791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D791C" w:rsidRPr="00CD791C" w:rsidRDefault="00CD791C" w:rsidP="00CD791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791C" w:rsidRDefault="00CD791C" w:rsidP="00CD791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D791C" w:rsidRPr="00CD791C" w:rsidRDefault="00CD791C" w:rsidP="00CD791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/TRANS/WP.15/AC.1/2016/14</w:t>
          </w:r>
        </w:p>
      </w:tc>
    </w:tr>
    <w:tr w:rsidR="00CD791C" w:rsidRPr="006B1AB5" w:rsidTr="00CD791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1C" w:rsidRPr="00CD791C" w:rsidRDefault="00CD791C" w:rsidP="00CD791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F13B1F4" wp14:editId="319EE14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1C" w:rsidRPr="00CD791C" w:rsidRDefault="00CD791C" w:rsidP="00CD791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1C" w:rsidRPr="00CD791C" w:rsidRDefault="00CD791C" w:rsidP="00CD791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791C" w:rsidRPr="00863545" w:rsidRDefault="00CD791C" w:rsidP="00CD791C">
          <w:pPr>
            <w:pStyle w:val="Distribution"/>
            <w:rPr>
              <w:color w:val="000000"/>
              <w:lang w:val="en-US"/>
            </w:rPr>
          </w:pPr>
          <w:r w:rsidRPr="00863545">
            <w:rPr>
              <w:color w:val="000000"/>
              <w:lang w:val="en-US"/>
            </w:rPr>
            <w:t>Distr.: General</w:t>
          </w:r>
        </w:p>
        <w:p w:rsidR="00CD791C" w:rsidRPr="00863545" w:rsidRDefault="00CD791C" w:rsidP="00863545">
          <w:pPr>
            <w:pStyle w:val="Publication"/>
            <w:rPr>
              <w:color w:val="000000"/>
              <w:lang w:val="en-US"/>
            </w:rPr>
          </w:pPr>
          <w:r w:rsidRPr="00863545">
            <w:rPr>
              <w:color w:val="000000"/>
              <w:lang w:val="en-US"/>
            </w:rPr>
            <w:t>23 December 2015</w:t>
          </w:r>
        </w:p>
        <w:p w:rsidR="00CD791C" w:rsidRPr="00863545" w:rsidRDefault="00CD791C" w:rsidP="00CD791C">
          <w:pPr>
            <w:rPr>
              <w:color w:val="000000"/>
              <w:lang w:val="en-US"/>
            </w:rPr>
          </w:pPr>
          <w:r w:rsidRPr="00863545">
            <w:rPr>
              <w:color w:val="000000"/>
              <w:lang w:val="en-US"/>
            </w:rPr>
            <w:t>Russian</w:t>
          </w:r>
        </w:p>
        <w:p w:rsidR="00CD791C" w:rsidRPr="00863545" w:rsidRDefault="00CD791C" w:rsidP="00CD791C">
          <w:pPr>
            <w:pStyle w:val="Original"/>
            <w:rPr>
              <w:color w:val="000000"/>
              <w:lang w:val="en-US"/>
            </w:rPr>
          </w:pPr>
          <w:r w:rsidRPr="00863545">
            <w:rPr>
              <w:color w:val="000000"/>
              <w:lang w:val="en-US"/>
            </w:rPr>
            <w:t>Original: French</w:t>
          </w:r>
        </w:p>
        <w:p w:rsidR="00CD791C" w:rsidRPr="00863545" w:rsidRDefault="00CD791C" w:rsidP="00CD791C">
          <w:pPr>
            <w:rPr>
              <w:lang w:val="en-US"/>
            </w:rPr>
          </w:pPr>
        </w:p>
      </w:tc>
    </w:tr>
  </w:tbl>
  <w:p w:rsidR="00CD791C" w:rsidRPr="00863545" w:rsidRDefault="00CD791C" w:rsidP="00CD791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86*"/>
    <w:docVar w:name="CreationDt" w:val="1/19/2016 4:24: PM"/>
    <w:docVar w:name="DocCategory" w:val="Doc"/>
    <w:docVar w:name="DocType" w:val="Final"/>
    <w:docVar w:name="DutyStation" w:val="Geneva"/>
    <w:docVar w:name="FooterJN" w:val="GE.15-22786"/>
    <w:docVar w:name="jobn" w:val="GE.15-22786 (R)"/>
    <w:docVar w:name="jobnDT" w:val="GE.15-22786 (R)   190116"/>
    <w:docVar w:name="jobnDTDT" w:val="GE.15-22786 (R)   190116   190116"/>
    <w:docVar w:name="JobNo" w:val="GE.1522786R"/>
    <w:docVar w:name="JobNo2" w:val="1529132R"/>
    <w:docVar w:name="LocalDrive" w:val="0"/>
    <w:docVar w:name="OandT" w:val=" "/>
    <w:docVar w:name="PaperSize" w:val="A4"/>
    <w:docVar w:name="sss1" w:val="ECE/TRANS/WP.15/AC.1/2016/14"/>
    <w:docVar w:name="sss2" w:val="-"/>
    <w:docVar w:name="Symbol1" w:val="ECE/TRANS/WP.15/AC.1/2016/14"/>
    <w:docVar w:name="Symbol2" w:val="-"/>
  </w:docVars>
  <w:rsids>
    <w:rsidRoot w:val="00437D1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13F2"/>
    <w:rsid w:val="00105B0E"/>
    <w:rsid w:val="00113678"/>
    <w:rsid w:val="001235FD"/>
    <w:rsid w:val="001325E3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17D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024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1CFB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25DA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D12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6B5E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1AB5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2CC2"/>
    <w:rsid w:val="00803EC5"/>
    <w:rsid w:val="008040BA"/>
    <w:rsid w:val="008042D6"/>
    <w:rsid w:val="00806380"/>
    <w:rsid w:val="00807C59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3545"/>
    <w:rsid w:val="00873020"/>
    <w:rsid w:val="008739EB"/>
    <w:rsid w:val="008776BB"/>
    <w:rsid w:val="00880540"/>
    <w:rsid w:val="0088396E"/>
    <w:rsid w:val="00884EB1"/>
    <w:rsid w:val="008862E4"/>
    <w:rsid w:val="008965A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AC0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5353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0F8A"/>
    <w:rsid w:val="00CC2E58"/>
    <w:rsid w:val="00CC3D89"/>
    <w:rsid w:val="00CC5B37"/>
    <w:rsid w:val="00CD2ED3"/>
    <w:rsid w:val="00CD3C62"/>
    <w:rsid w:val="00CD791C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677D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0814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678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D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1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1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86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D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1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1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86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44B5-2B54-4F9C-B9B6-A9927EE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barrio-champeau</cp:lastModifiedBy>
  <cp:revision>3</cp:revision>
  <cp:lastPrinted>2016-01-20T13:02:00Z</cp:lastPrinted>
  <dcterms:created xsi:type="dcterms:W3CDTF">2016-01-20T13:02:00Z</dcterms:created>
  <dcterms:modified xsi:type="dcterms:W3CDTF">2016-01-20T13:02:00Z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1522786R</vt:lpwstr>
  </property>
  <property fmtid="{D5CDD505-2E9C-101B-9397-08002B2CF9AE}" pid="3" name="ODSRefJobNo">
    <vt:lpwstr>1529132R</vt:lpwstr>
  </property>
  <property fmtid="{D5CDD505-2E9C-101B-9397-08002B2CF9AE}" pid="4" name="Symbol1">
    <vt:lpwstr>ECE/TRANS/WP.15/AC.1/2016/14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French</vt:lpwstr>
  </property>
  <property fmtid="{D5CDD505-2E9C-101B-9397-08002B2CF9AE}" pid="13" name="Release Date">
    <vt:lpwstr>190116</vt:lpwstr>
  </property>
</Properties>
</file>