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AD" w:rsidRPr="00FC3DB4" w:rsidRDefault="00BC72AD" w:rsidP="00BC72AD">
      <w:pPr>
        <w:spacing w:line="240" w:lineRule="auto"/>
        <w:rPr>
          <w:sz w:val="2"/>
        </w:rPr>
        <w:sectPr w:rsidR="00BC72AD" w:rsidRPr="00FC3DB4" w:rsidSect="00BC72A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FC3DB4">
        <w:rPr>
          <w:rStyle w:val="CommentReference"/>
        </w:rPr>
        <w:commentReference w:id="0"/>
      </w:r>
      <w:bookmarkStart w:id="1" w:name="_GoBack"/>
      <w:bookmarkEnd w:id="1"/>
    </w:p>
    <w:p w:rsidR="00BC72AD" w:rsidRPr="00FC3DB4" w:rsidRDefault="00BC72AD" w:rsidP="00D4061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C3DB4">
        <w:lastRenderedPageBreak/>
        <w:t>Commission économique pour l’Europe</w:t>
      </w:r>
    </w:p>
    <w:p w:rsidR="00D40610" w:rsidRPr="00FC3DB4" w:rsidRDefault="00D40610" w:rsidP="00D40610">
      <w:pPr>
        <w:spacing w:line="120" w:lineRule="exact"/>
        <w:rPr>
          <w:sz w:val="10"/>
        </w:rPr>
      </w:pPr>
    </w:p>
    <w:p w:rsidR="00BC72AD" w:rsidRPr="00FC3DB4" w:rsidRDefault="00BC72AD" w:rsidP="00D4061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FC3DB4">
        <w:rPr>
          <w:b w:val="0"/>
        </w:rPr>
        <w:t>Comité des transports intérieurs</w:t>
      </w:r>
    </w:p>
    <w:p w:rsidR="00D40610" w:rsidRPr="00FC3DB4" w:rsidRDefault="00D40610" w:rsidP="00D40610">
      <w:pPr>
        <w:spacing w:line="120" w:lineRule="exact"/>
        <w:rPr>
          <w:sz w:val="10"/>
        </w:rPr>
      </w:pPr>
    </w:p>
    <w:p w:rsidR="00D40610" w:rsidRPr="00FC3DB4" w:rsidRDefault="00D40610" w:rsidP="00D4061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C3DB4">
        <w:t xml:space="preserve">Groupe de travail des transports </w:t>
      </w:r>
      <w:r w:rsidRPr="00FC3DB4">
        <w:br/>
        <w:t>de marchandises dangereuses</w:t>
      </w:r>
    </w:p>
    <w:p w:rsidR="00D40610" w:rsidRPr="00FC3DB4" w:rsidRDefault="00D40610" w:rsidP="00D40610">
      <w:pPr>
        <w:spacing w:line="120" w:lineRule="exact"/>
        <w:rPr>
          <w:sz w:val="10"/>
        </w:rPr>
      </w:pPr>
    </w:p>
    <w:p w:rsidR="00D40610" w:rsidRPr="00FC3DB4" w:rsidRDefault="00D40610" w:rsidP="00D4061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b w:val="0"/>
          <w:szCs w:val="24"/>
        </w:rPr>
      </w:pPr>
      <w:r w:rsidRPr="00FC3DB4">
        <w:t xml:space="preserve">Réunion commune de la Commission d’experts du RID </w:t>
      </w:r>
      <w:r w:rsidR="003655DB" w:rsidRPr="00FC3DB4">
        <w:br/>
      </w:r>
      <w:r w:rsidRPr="00FC3DB4">
        <w:t xml:space="preserve">et du </w:t>
      </w:r>
      <w:r w:rsidRPr="00FC3DB4">
        <w:rPr>
          <w:rFonts w:eastAsia="Times New Roman"/>
          <w:szCs w:val="24"/>
        </w:rPr>
        <w:t xml:space="preserve">Groupe de travail des transports </w:t>
      </w:r>
      <w:r w:rsidR="003655DB" w:rsidRPr="00FC3DB4">
        <w:rPr>
          <w:rFonts w:eastAsia="Times New Roman"/>
          <w:szCs w:val="24"/>
        </w:rPr>
        <w:br/>
      </w:r>
      <w:r w:rsidRPr="00FC3DB4">
        <w:rPr>
          <w:rFonts w:eastAsia="Times New Roman"/>
          <w:szCs w:val="24"/>
        </w:rPr>
        <w:t>de marchandises dangereuses</w:t>
      </w:r>
    </w:p>
    <w:p w:rsidR="00D40610" w:rsidRPr="00FC3DB4" w:rsidRDefault="00D40610" w:rsidP="00D40610">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C3DB4">
        <w:t>Berne, 14-18 mars 2016</w:t>
      </w:r>
    </w:p>
    <w:p w:rsidR="00D40610" w:rsidRPr="00FC3DB4" w:rsidRDefault="00D40610" w:rsidP="00D40610">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C3DB4">
        <w:t>Point 9 de l’ordre du jour provisoire</w:t>
      </w:r>
    </w:p>
    <w:p w:rsidR="00D40610" w:rsidRPr="00FC3DB4" w:rsidRDefault="00D40610" w:rsidP="00D4061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C3DB4">
        <w:t>Questions diverses</w:t>
      </w:r>
    </w:p>
    <w:p w:rsidR="00D40610" w:rsidRPr="00FC3DB4" w:rsidRDefault="00D40610" w:rsidP="00D40610">
      <w:pPr>
        <w:spacing w:line="120" w:lineRule="exact"/>
        <w:rPr>
          <w:sz w:val="10"/>
        </w:rPr>
      </w:pPr>
    </w:p>
    <w:p w:rsidR="00D40610" w:rsidRPr="00FC3DB4" w:rsidRDefault="00D40610" w:rsidP="00D40610">
      <w:pPr>
        <w:spacing w:line="120" w:lineRule="exact"/>
        <w:rPr>
          <w:sz w:val="10"/>
        </w:rPr>
      </w:pPr>
    </w:p>
    <w:p w:rsidR="00D40610" w:rsidRPr="00FC3DB4" w:rsidRDefault="00D40610" w:rsidP="00D40610">
      <w:pPr>
        <w:spacing w:line="120" w:lineRule="exact"/>
        <w:rPr>
          <w:sz w:val="10"/>
        </w:rPr>
      </w:pPr>
    </w:p>
    <w:p w:rsidR="00D40610" w:rsidRPr="00FC3DB4" w:rsidRDefault="00D40610" w:rsidP="00D4061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C3DB4">
        <w:tab/>
      </w:r>
      <w:r w:rsidRPr="00FC3DB4">
        <w:tab/>
        <w:t>Définitions de l’acier de référence et de l’acier doux</w:t>
      </w:r>
    </w:p>
    <w:p w:rsidR="00D40610" w:rsidRPr="00FC3DB4" w:rsidRDefault="00D40610" w:rsidP="00D40610">
      <w:pPr>
        <w:spacing w:line="120" w:lineRule="exact"/>
        <w:rPr>
          <w:sz w:val="10"/>
        </w:rPr>
      </w:pPr>
    </w:p>
    <w:p w:rsidR="00D40610" w:rsidRPr="00FC3DB4" w:rsidRDefault="00D40610" w:rsidP="00D40610">
      <w:pPr>
        <w:spacing w:line="120" w:lineRule="exact"/>
        <w:rPr>
          <w:sz w:val="10"/>
        </w:rPr>
      </w:pPr>
    </w:p>
    <w:p w:rsidR="00BC72AD" w:rsidRPr="00FC3DB4" w:rsidRDefault="00D40610" w:rsidP="00D406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8"/>
          <w:szCs w:val="18"/>
        </w:rPr>
      </w:pPr>
      <w:r w:rsidRPr="00FC3DB4">
        <w:tab/>
      </w:r>
      <w:r w:rsidRPr="00FC3DB4">
        <w:tab/>
        <w:t xml:space="preserve">Communication du </w:t>
      </w:r>
      <w:r w:rsidR="007903DA">
        <w:t>G</w:t>
      </w:r>
      <w:r w:rsidRPr="00FC3DB4">
        <w:t>ouvernement de la Roumanie</w:t>
      </w:r>
      <w:r w:rsidRPr="00FC3DB4">
        <w:rPr>
          <w:rStyle w:val="FootnoteReference"/>
          <w:b w:val="0"/>
          <w:sz w:val="20"/>
          <w:szCs w:val="20"/>
        </w:rPr>
        <w:footnoteReference w:id="1"/>
      </w:r>
      <w:r w:rsidRPr="00FC3DB4">
        <w:rPr>
          <w:b w:val="0"/>
          <w:sz w:val="20"/>
          <w:szCs w:val="20"/>
          <w:vertAlign w:val="superscript"/>
        </w:rPr>
        <w:t>,</w:t>
      </w:r>
      <w:r w:rsidRPr="00FC3DB4">
        <w:rPr>
          <w:b w:val="0"/>
          <w:sz w:val="18"/>
          <w:szCs w:val="18"/>
        </w:rPr>
        <w:t xml:space="preserve"> </w:t>
      </w:r>
      <w:r w:rsidRPr="00FC3DB4">
        <w:rPr>
          <w:rStyle w:val="FootnoteReference"/>
          <w:b w:val="0"/>
          <w:sz w:val="20"/>
          <w:szCs w:val="20"/>
        </w:rPr>
        <w:footnoteReference w:id="2"/>
      </w:r>
    </w:p>
    <w:p w:rsidR="00D40610" w:rsidRPr="00FC3DB4" w:rsidRDefault="00D40610" w:rsidP="00D40610">
      <w:pPr>
        <w:pStyle w:val="SingleTxt"/>
        <w:spacing w:after="0" w:line="120" w:lineRule="exact"/>
        <w:rPr>
          <w:sz w:val="10"/>
        </w:rPr>
      </w:pPr>
    </w:p>
    <w:p w:rsidR="00D40610" w:rsidRPr="00FC3DB4" w:rsidRDefault="00D40610" w:rsidP="00D40610">
      <w:pPr>
        <w:pStyle w:val="SingleTxt"/>
        <w:spacing w:after="0" w:line="120" w:lineRule="exact"/>
        <w:rPr>
          <w:sz w:val="10"/>
        </w:rPr>
      </w:pPr>
    </w:p>
    <w:p w:rsidR="00D40610" w:rsidRPr="00FC3DB4" w:rsidRDefault="00D40610" w:rsidP="00D40610">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40610" w:rsidRPr="00FC3DB4" w:rsidTr="00D40610">
        <w:tc>
          <w:tcPr>
            <w:tcW w:w="10051" w:type="dxa"/>
            <w:tcBorders>
              <w:top w:val="single" w:sz="2" w:space="0" w:color="auto"/>
            </w:tcBorders>
            <w:shd w:val="clear" w:color="auto" w:fill="auto"/>
          </w:tcPr>
          <w:p w:rsidR="00D40610" w:rsidRPr="00FC3DB4" w:rsidRDefault="00D40610" w:rsidP="00D40610">
            <w:pPr>
              <w:tabs>
                <w:tab w:val="left" w:pos="240"/>
              </w:tabs>
              <w:spacing w:before="240" w:after="120"/>
              <w:rPr>
                <w:i/>
                <w:sz w:val="24"/>
              </w:rPr>
            </w:pPr>
            <w:r w:rsidRPr="00FC3DB4">
              <w:rPr>
                <w:i/>
                <w:sz w:val="24"/>
              </w:rPr>
              <w:tab/>
              <w:t>Résumé</w:t>
            </w:r>
          </w:p>
        </w:tc>
      </w:tr>
      <w:tr w:rsidR="00D40610" w:rsidRPr="00FC3DB4" w:rsidTr="00D40610">
        <w:tc>
          <w:tcPr>
            <w:tcW w:w="10051" w:type="dxa"/>
            <w:shd w:val="clear" w:color="auto" w:fill="auto"/>
          </w:tcPr>
          <w:p w:rsidR="00D40610" w:rsidRPr="00FC3DB4" w:rsidRDefault="00D40610" w:rsidP="00D40610">
            <w:pPr>
              <w:pStyle w:val="SingleTxt"/>
            </w:pPr>
            <w:r w:rsidRPr="00FC3DB4">
              <w:rPr>
                <w:b/>
              </w:rPr>
              <w:t>Résumé analytique </w:t>
            </w:r>
            <w:r w:rsidRPr="00FC3DB4">
              <w:t>:</w:t>
            </w:r>
            <w:r w:rsidRPr="00FC3DB4">
              <w:tab/>
            </w:r>
            <w:r w:rsidRPr="00FC3DB4">
              <w:tab/>
              <w:t>Le présent document a pour objet :</w:t>
            </w:r>
          </w:p>
          <w:p w:rsidR="00D40610" w:rsidRPr="00FC3DB4" w:rsidRDefault="00D40610" w:rsidP="00D40610">
            <w:pPr>
              <w:pStyle w:val="SingleTxt"/>
              <w:ind w:left="3658" w:hanging="2391"/>
            </w:pPr>
            <w:r w:rsidRPr="00FC3DB4">
              <w:tab/>
            </w:r>
            <w:r w:rsidRPr="00FC3DB4">
              <w:tab/>
            </w:r>
            <w:r w:rsidRPr="00FC3DB4">
              <w:tab/>
            </w:r>
            <w:r w:rsidRPr="00FC3DB4">
              <w:tab/>
            </w:r>
            <w:r w:rsidR="00EF05CF" w:rsidRPr="00FC3DB4">
              <w:tab/>
            </w:r>
            <w:r w:rsidRPr="00FC3DB4">
              <w:t>1)</w:t>
            </w:r>
            <w:r w:rsidRPr="00FC3DB4">
              <w:tab/>
              <w:t>D’élargir la définition du terme « acier de référence » pour qu’il couvre également les GRV métalliques; et</w:t>
            </w:r>
          </w:p>
          <w:p w:rsidR="00D40610" w:rsidRPr="00FC3DB4" w:rsidRDefault="00D40610" w:rsidP="00D40610">
            <w:pPr>
              <w:pStyle w:val="SingleTxt"/>
              <w:ind w:left="3658" w:hanging="2391"/>
            </w:pPr>
            <w:r w:rsidRPr="00FC3DB4">
              <w:tab/>
            </w:r>
            <w:r w:rsidRPr="00FC3DB4">
              <w:tab/>
            </w:r>
            <w:r w:rsidRPr="00FC3DB4">
              <w:tab/>
            </w:r>
            <w:r w:rsidRPr="00FC3DB4">
              <w:tab/>
            </w:r>
            <w:r w:rsidR="00EF05CF" w:rsidRPr="00FC3DB4">
              <w:tab/>
            </w:r>
            <w:r w:rsidRPr="00FC3DB4">
              <w:t>2)</w:t>
            </w:r>
            <w:r w:rsidRPr="00FC3DB4">
              <w:tab/>
              <w:t>De déterminer si les limites de la résistance à la traction de l’acier doux correspondent aux dispositions des chapitres 2.7, 6.4, 6.7 et 6.8 du RID/ADR.</w:t>
            </w:r>
          </w:p>
        </w:tc>
      </w:tr>
      <w:tr w:rsidR="00D40610" w:rsidRPr="00FC3DB4" w:rsidTr="00D40610">
        <w:tc>
          <w:tcPr>
            <w:tcW w:w="10051" w:type="dxa"/>
            <w:shd w:val="clear" w:color="auto" w:fill="auto"/>
          </w:tcPr>
          <w:p w:rsidR="00D40610" w:rsidRPr="00FC3DB4" w:rsidRDefault="00D40610" w:rsidP="00D40610">
            <w:pPr>
              <w:pStyle w:val="SingleTxt"/>
              <w:ind w:left="3658" w:hanging="2391"/>
            </w:pPr>
            <w:r w:rsidRPr="00FC3DB4">
              <w:rPr>
                <w:b/>
              </w:rPr>
              <w:t>Mesure à prendre </w:t>
            </w:r>
            <w:r w:rsidRPr="00FC3DB4">
              <w:t xml:space="preserve">: </w:t>
            </w:r>
            <w:r w:rsidRPr="00FC3DB4">
              <w:tab/>
            </w:r>
            <w:r w:rsidRPr="00FC3DB4">
              <w:tab/>
              <w:t>Modifier les définitions des termes « </w:t>
            </w:r>
            <w:r w:rsidRPr="00FC3DB4">
              <w:rPr>
                <w:i/>
              </w:rPr>
              <w:t>acier de référence</w:t>
            </w:r>
            <w:r w:rsidRPr="00FC3DB4">
              <w:t> » et « </w:t>
            </w:r>
            <w:r w:rsidRPr="00FC3DB4">
              <w:rPr>
                <w:i/>
              </w:rPr>
              <w:t>acier doux</w:t>
            </w:r>
            <w:r w:rsidRPr="00FC3DB4">
              <w:t> » qui se trouvent dans la section 1.2.1.</w:t>
            </w:r>
          </w:p>
        </w:tc>
      </w:tr>
      <w:tr w:rsidR="00D40610" w:rsidRPr="00FC3DB4" w:rsidTr="00D40610">
        <w:tc>
          <w:tcPr>
            <w:tcW w:w="10051" w:type="dxa"/>
            <w:tcBorders>
              <w:bottom w:val="nil"/>
            </w:tcBorders>
            <w:shd w:val="clear" w:color="auto" w:fill="auto"/>
          </w:tcPr>
          <w:p w:rsidR="00D40610" w:rsidRPr="00FC3DB4" w:rsidRDefault="00D40610" w:rsidP="006808E9">
            <w:pPr>
              <w:pStyle w:val="SingleTxt"/>
              <w:keepNext/>
              <w:ind w:left="3657" w:hanging="2390"/>
            </w:pPr>
            <w:r w:rsidRPr="00FC3DB4">
              <w:rPr>
                <w:b/>
              </w:rPr>
              <w:lastRenderedPageBreak/>
              <w:t>Documents connexes </w:t>
            </w:r>
            <w:r w:rsidRPr="00FC3DB4">
              <w:t>:</w:t>
            </w:r>
            <w:r w:rsidRPr="00FC3DB4">
              <w:rPr>
                <w:b/>
              </w:rPr>
              <w:tab/>
            </w:r>
            <w:r w:rsidRPr="00FC3DB4">
              <w:t xml:space="preserve">Document informel INF.35 (session de septembre 2014), point 8 du rapport de la session de septembre 2014 du Groupe de travail sur les citernes de la Réunion </w:t>
            </w:r>
            <w:r w:rsidRPr="008659CF">
              <w:t>commune</w:t>
            </w:r>
            <w:r w:rsidRPr="00FC3DB4">
              <w:t xml:space="preserve"> </w:t>
            </w:r>
            <w:r w:rsidRPr="00FC3DB4">
              <w:rPr>
                <w:spacing w:val="-2"/>
              </w:rPr>
              <w:t xml:space="preserve">(ECE/TRANS/WP.15/AC.1/136/Add.1), document informel </w:t>
            </w:r>
            <w:r w:rsidRPr="00FC3DB4">
              <w:rPr>
                <w:bCs/>
                <w:spacing w:val="-2"/>
              </w:rPr>
              <w:t>INF.30</w:t>
            </w:r>
            <w:r w:rsidRPr="00FC3DB4">
              <w:rPr>
                <w:bCs/>
              </w:rPr>
              <w:t xml:space="preserve"> de la quarante-septième session du Sous-Comité d’experts du transport de marchandises dangereuses (Sous-Comité TMD), </w:t>
            </w:r>
            <w:r w:rsidRPr="00FC3DB4">
              <w:t>ST/SG/AC.10/C.3/ 2015/44, ST/SG/AC.10/</w:t>
            </w:r>
            <w:r w:rsidR="00EF05CF" w:rsidRPr="00FC3DB4">
              <w:br/>
            </w:r>
            <w:r w:rsidRPr="00FC3DB4">
              <w:t>C.3/2015/55 et</w:t>
            </w:r>
            <w:r w:rsidR="00EF05CF" w:rsidRPr="00FC3DB4">
              <w:t xml:space="preserve"> par. </w:t>
            </w:r>
            <w:r w:rsidRPr="00FC3DB4">
              <w:t>99 et 100 du rapport de la quarante-</w:t>
            </w:r>
            <w:r w:rsidRPr="00FC3DB4">
              <w:rPr>
                <w:spacing w:val="-2"/>
              </w:rPr>
              <w:t>huitième session du Sous-Comité TDM (ST/SG/AC.10/</w:t>
            </w:r>
            <w:r w:rsidR="00EF05CF" w:rsidRPr="00FC3DB4">
              <w:rPr>
                <w:spacing w:val="-2"/>
              </w:rPr>
              <w:br/>
            </w:r>
            <w:r w:rsidRPr="00FC3DB4">
              <w:rPr>
                <w:spacing w:val="-2"/>
              </w:rPr>
              <w:t>C.3/96).</w:t>
            </w:r>
          </w:p>
        </w:tc>
      </w:tr>
      <w:tr w:rsidR="00D40610" w:rsidRPr="00FC3DB4" w:rsidTr="00D40610">
        <w:tc>
          <w:tcPr>
            <w:tcW w:w="10051" w:type="dxa"/>
            <w:tcBorders>
              <w:bottom w:val="single" w:sz="2" w:space="0" w:color="auto"/>
            </w:tcBorders>
            <w:shd w:val="clear" w:color="auto" w:fill="auto"/>
          </w:tcPr>
          <w:p w:rsidR="00D40610" w:rsidRPr="00FC3DB4" w:rsidRDefault="00D40610" w:rsidP="00D40610">
            <w:pPr>
              <w:pStyle w:val="SingleTxt"/>
            </w:pPr>
          </w:p>
        </w:tc>
      </w:tr>
    </w:tbl>
    <w:p w:rsidR="00D40610" w:rsidRPr="00FC3DB4" w:rsidRDefault="00D40610" w:rsidP="00EF05CF">
      <w:pPr>
        <w:pStyle w:val="SingleTxt"/>
        <w:spacing w:after="0" w:line="120" w:lineRule="exact"/>
        <w:rPr>
          <w:sz w:val="10"/>
        </w:rPr>
      </w:pPr>
    </w:p>
    <w:p w:rsidR="00EF05CF" w:rsidRPr="009E72A1" w:rsidRDefault="00EF05CF" w:rsidP="009E72A1">
      <w:pPr>
        <w:pStyle w:val="SingleTxt"/>
        <w:spacing w:after="0" w:line="120" w:lineRule="exact"/>
        <w:rPr>
          <w:sz w:val="10"/>
        </w:rPr>
      </w:pPr>
    </w:p>
    <w:p w:rsidR="009E72A1" w:rsidRPr="00FC3DB4" w:rsidRDefault="009E72A1" w:rsidP="00EF05CF">
      <w:pPr>
        <w:pStyle w:val="SingleTxt"/>
        <w:spacing w:after="0" w:line="120" w:lineRule="exact"/>
        <w:rPr>
          <w:sz w:val="10"/>
        </w:rPr>
      </w:pPr>
    </w:p>
    <w:p w:rsidR="009C2EB9" w:rsidRPr="00FC3DB4" w:rsidRDefault="009C2EB9" w:rsidP="009C2E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3DB4">
        <w:tab/>
      </w:r>
      <w:r w:rsidRPr="00FC3DB4">
        <w:tab/>
        <w:t>Introduction</w:t>
      </w:r>
    </w:p>
    <w:p w:rsidR="009C2EB9" w:rsidRPr="00FC3DB4" w:rsidRDefault="009C2EB9" w:rsidP="009C2EB9">
      <w:pPr>
        <w:pStyle w:val="SingleTxt"/>
        <w:spacing w:after="0" w:line="120" w:lineRule="exact"/>
        <w:rPr>
          <w:sz w:val="10"/>
        </w:rPr>
      </w:pPr>
    </w:p>
    <w:p w:rsidR="009C2EB9" w:rsidRPr="00FC3DB4" w:rsidRDefault="009C2EB9" w:rsidP="009C2EB9">
      <w:pPr>
        <w:pStyle w:val="SingleTxt"/>
        <w:spacing w:after="0" w:line="120" w:lineRule="exact"/>
        <w:rPr>
          <w:sz w:val="10"/>
        </w:rPr>
      </w:pPr>
    </w:p>
    <w:p w:rsidR="009C2EB9" w:rsidRPr="00FC3DB4" w:rsidRDefault="009C2EB9" w:rsidP="009C2EB9">
      <w:pPr>
        <w:pStyle w:val="SingleTxt"/>
        <w:numPr>
          <w:ilvl w:val="0"/>
          <w:numId w:val="10"/>
        </w:numPr>
        <w:tabs>
          <w:tab w:val="clear" w:pos="475"/>
          <w:tab w:val="num" w:pos="1742"/>
        </w:tabs>
        <w:ind w:left="1267"/>
      </w:pPr>
      <w:r w:rsidRPr="00FC3DB4">
        <w:t>Comme il est indiqué aux paragraphes 99 et 100 du rapport de la session de décembre 2015 du Sous-Comité d’experts du transport de marchandises dangereuses :</w:t>
      </w:r>
    </w:p>
    <w:p w:rsidR="009C2EB9" w:rsidRPr="00FC3DB4" w:rsidRDefault="009C2EB9" w:rsidP="009C2EB9">
      <w:pPr>
        <w:pStyle w:val="SingleTxt"/>
        <w:rPr>
          <w:i/>
        </w:rPr>
      </w:pPr>
      <w:r w:rsidRPr="00FC3DB4">
        <w:t>« </w:t>
      </w:r>
      <w:r w:rsidRPr="00FC3DB4">
        <w:rPr>
          <w:i/>
        </w:rPr>
        <w:t>99.</w:t>
      </w:r>
      <w:r w:rsidRPr="00FC3DB4">
        <w:rPr>
          <w:i/>
        </w:rPr>
        <w:tab/>
        <w:t>Le Sous-Comité a noté que dans le RID et l’ADR les définitions des termes “ acier doux ” et “ acier de référence ” se trouvaient dans la section 1.2.1 et au chapitre 6.7, alors que dans le Règlement type elles apparaissent au chapitre 6.7. Certaines délégations se sont montrées réticentes à l’idée de déplacer ces définitions vers la section 1.2.1 parce que la définition du terme “ acier de référence ” n’est pas la même lorsqu’elle s’applique aux GRV, que le terme “ acier doux ” est utilisé dans d’autres chapitres, comme par exemple au chapitre 6.4, et que les experts de la classe 7 devaient être consultés pour savoir si la définition donnée au chapitre 6.7 convient également dans le contexte du chapitre 6.4.</w:t>
      </w:r>
    </w:p>
    <w:p w:rsidR="009C2EB9" w:rsidRPr="00FC3DB4" w:rsidRDefault="009C2EB9" w:rsidP="009C2EB9">
      <w:pPr>
        <w:pStyle w:val="SingleTxt"/>
        <w:rPr>
          <w:i/>
        </w:rPr>
      </w:pPr>
      <w:r w:rsidRPr="00FC3DB4">
        <w:rPr>
          <w:i/>
        </w:rPr>
        <w:t>100.</w:t>
      </w:r>
      <w:r w:rsidRPr="00FC3DB4">
        <w:rPr>
          <w:i/>
        </w:rPr>
        <w:tab/>
        <w:t>Après discussion il a été décidé de ne pas procéder pour le moment aux changements proposés. </w:t>
      </w:r>
      <w:r w:rsidRPr="00FC3DB4">
        <w:t>».</w:t>
      </w:r>
    </w:p>
    <w:p w:rsidR="009C2EB9" w:rsidRPr="00FC3DB4" w:rsidRDefault="009C2EB9" w:rsidP="009C2EB9">
      <w:pPr>
        <w:pStyle w:val="SingleTxt"/>
        <w:numPr>
          <w:ilvl w:val="0"/>
          <w:numId w:val="10"/>
        </w:numPr>
        <w:tabs>
          <w:tab w:val="clear" w:pos="475"/>
          <w:tab w:val="num" w:pos="1742"/>
        </w:tabs>
        <w:ind w:left="1267"/>
      </w:pPr>
      <w:r w:rsidRPr="00FC3DB4">
        <w:t>Les définitions qui figurent actuellement dans la section 1.2.1 du RID/ADR sont les suivantes :</w:t>
      </w:r>
    </w:p>
    <w:p w:rsidR="009C2EB9" w:rsidRPr="00FC3DB4" w:rsidRDefault="009C2EB9" w:rsidP="009C2EB9">
      <w:pPr>
        <w:pStyle w:val="SingleTxt"/>
      </w:pPr>
      <w:r w:rsidRPr="00FC3DB4">
        <w:t>« </w:t>
      </w:r>
      <w:r w:rsidRPr="00FC3DB4">
        <w:rPr>
          <w:i/>
        </w:rPr>
        <w:t>Acier de référence </w:t>
      </w:r>
      <w:r w:rsidRPr="00FC3DB4">
        <w:t>»</w:t>
      </w:r>
      <w:r w:rsidRPr="00FC3DB4">
        <w:rPr>
          <w:i/>
        </w:rPr>
        <w:t xml:space="preserve"> </w:t>
      </w:r>
      <w:r w:rsidRPr="00FC3DB4">
        <w:t>un acier ayant une résistance à la traction de 370 N/mm</w:t>
      </w:r>
      <w:r w:rsidRPr="00FC3DB4">
        <w:rPr>
          <w:vertAlign w:val="superscript"/>
        </w:rPr>
        <w:t>2</w:t>
      </w:r>
      <w:r w:rsidRPr="00FC3DB4">
        <w:t xml:space="preserve"> et un allongement à la rupture de 27 %;</w:t>
      </w:r>
    </w:p>
    <w:p w:rsidR="009C2EB9" w:rsidRPr="00FC3DB4" w:rsidRDefault="009C2EB9" w:rsidP="009C2EB9">
      <w:pPr>
        <w:pStyle w:val="SingleTxt"/>
      </w:pPr>
      <w:r w:rsidRPr="00FC3DB4">
        <w:t>« </w:t>
      </w:r>
      <w:r w:rsidRPr="00FC3DB4">
        <w:rPr>
          <w:i/>
        </w:rPr>
        <w:t>Acier doux</w:t>
      </w:r>
      <w:r w:rsidRPr="00FC3DB4">
        <w:t> »</w:t>
      </w:r>
      <w:r w:rsidRPr="00FC3DB4">
        <w:rPr>
          <w:i/>
        </w:rPr>
        <w:t xml:space="preserve"> </w:t>
      </w:r>
      <w:r w:rsidRPr="00FC3DB4">
        <w:t xml:space="preserve">un acier dont la limite minimale de la résistance à la rupture par traction est </w:t>
      </w:r>
      <w:proofErr w:type="gramStart"/>
      <w:r w:rsidRPr="00FC3DB4">
        <w:rPr>
          <w:u w:val="single"/>
        </w:rPr>
        <w:t>comprise</w:t>
      </w:r>
      <w:proofErr w:type="gramEnd"/>
      <w:r w:rsidRPr="00FC3DB4">
        <w:rPr>
          <w:u w:val="single"/>
        </w:rPr>
        <w:t xml:space="preserve"> entre</w:t>
      </w:r>
      <w:r w:rsidRPr="00FC3DB4">
        <w:t xml:space="preserve"> 360 N/mm</w:t>
      </w:r>
      <w:r w:rsidRPr="00FC3DB4">
        <w:rPr>
          <w:vertAlign w:val="superscript"/>
        </w:rPr>
        <w:t>2</w:t>
      </w:r>
      <w:r w:rsidRPr="00FC3DB4">
        <w:t xml:space="preserve"> et 440 N/mm</w:t>
      </w:r>
      <w:r w:rsidRPr="00FC3DB4">
        <w:rPr>
          <w:vertAlign w:val="superscript"/>
        </w:rPr>
        <w:t>2</w:t>
      </w:r>
      <w:r w:rsidR="009E72A1" w:rsidRPr="009E72A1">
        <w:t>.</w:t>
      </w:r>
    </w:p>
    <w:p w:rsidR="009C2EB9" w:rsidRPr="00FC3DB4" w:rsidRDefault="009C2EB9" w:rsidP="009C2EB9">
      <w:pPr>
        <w:pStyle w:val="SingleTxt"/>
      </w:pPr>
      <w:r w:rsidRPr="00FC3DB4">
        <w:rPr>
          <w:b/>
          <w:i/>
        </w:rPr>
        <w:t>NOTA </w:t>
      </w:r>
      <w:r w:rsidRPr="00FC3DB4">
        <w:t xml:space="preserve">: </w:t>
      </w:r>
      <w:r w:rsidRPr="00FC3DB4">
        <w:rPr>
          <w:i/>
        </w:rPr>
        <w:t>Pour les citernes mobiles, voir chapitre 6.7.</w:t>
      </w:r>
    </w:p>
    <w:p w:rsidR="009C2EB9" w:rsidRPr="00FC3DB4" w:rsidRDefault="009C2EB9" w:rsidP="009C2EB9">
      <w:pPr>
        <w:pStyle w:val="SingleTxt"/>
        <w:numPr>
          <w:ilvl w:val="0"/>
          <w:numId w:val="10"/>
        </w:numPr>
        <w:tabs>
          <w:tab w:val="clear" w:pos="475"/>
          <w:tab w:val="num" w:pos="1742"/>
        </w:tabs>
        <w:ind w:left="1267"/>
      </w:pPr>
      <w:r w:rsidRPr="00FC3DB4">
        <w:t>Les définitions qui figurent actuellement au chapitre 6.7 du RID/ADR sont les suivantes</w:t>
      </w:r>
      <w:r w:rsidR="00CC7E60" w:rsidRPr="00FC3DB4">
        <w:t> </w:t>
      </w:r>
      <w:r w:rsidRPr="00FC3DB4">
        <w:t>:</w:t>
      </w:r>
    </w:p>
    <w:p w:rsidR="009C2EB9" w:rsidRPr="00FC3DB4" w:rsidRDefault="009C2EB9" w:rsidP="009C2EB9">
      <w:pPr>
        <w:pStyle w:val="SingleTxt"/>
      </w:pPr>
      <w:r w:rsidRPr="00FC3DB4">
        <w:rPr>
          <w:i/>
        </w:rPr>
        <w:t>Acier de référence</w:t>
      </w:r>
      <w:r w:rsidRPr="00FC3DB4">
        <w:t xml:space="preserve"> un acier ayant une résistance à la traction de 370</w:t>
      </w:r>
      <w:r w:rsidR="00CC7E60" w:rsidRPr="00FC3DB4">
        <w:t> </w:t>
      </w:r>
      <w:r w:rsidRPr="00FC3DB4">
        <w:t>N/mm</w:t>
      </w:r>
      <w:r w:rsidRPr="00FC3DB4">
        <w:rPr>
          <w:vertAlign w:val="superscript"/>
        </w:rPr>
        <w:t>2</w:t>
      </w:r>
      <w:r w:rsidRPr="00FC3DB4">
        <w:t xml:space="preserve"> et un allongement à la rupture de 27</w:t>
      </w:r>
      <w:r w:rsidR="00CC7E60" w:rsidRPr="00FC3DB4">
        <w:t> </w:t>
      </w:r>
      <w:r w:rsidRPr="00FC3DB4">
        <w:t>%;</w:t>
      </w:r>
    </w:p>
    <w:p w:rsidR="009C2EB9" w:rsidRPr="00FC3DB4" w:rsidRDefault="009C2EB9" w:rsidP="009C2EB9">
      <w:pPr>
        <w:pStyle w:val="SingleTxt"/>
      </w:pPr>
      <w:r w:rsidRPr="00FC3DB4">
        <w:rPr>
          <w:i/>
        </w:rPr>
        <w:t>Acier doux</w:t>
      </w:r>
      <w:r w:rsidRPr="00FC3DB4">
        <w:t xml:space="preserve"> un acier ayant une résistance à la traction </w:t>
      </w:r>
      <w:r w:rsidRPr="00FC3DB4">
        <w:rPr>
          <w:u w:val="single"/>
        </w:rPr>
        <w:t>minimale garantie de</w:t>
      </w:r>
      <w:r w:rsidRPr="00FC3DB4">
        <w:t xml:space="preserve"> 360 N/mm</w:t>
      </w:r>
      <w:r w:rsidRPr="00FC3DB4">
        <w:rPr>
          <w:vertAlign w:val="superscript"/>
        </w:rPr>
        <w:t>2</w:t>
      </w:r>
      <w:r w:rsidRPr="00FC3DB4">
        <w:t xml:space="preserve"> à</w:t>
      </w:r>
      <w:r w:rsidR="00CC7E60" w:rsidRPr="00FC3DB4">
        <w:t xml:space="preserve"> </w:t>
      </w:r>
      <w:r w:rsidRPr="00FC3DB4">
        <w:rPr>
          <w:u w:val="single"/>
        </w:rPr>
        <w:t>440</w:t>
      </w:r>
      <w:r w:rsidRPr="00FC3DB4">
        <w:t> N/mm</w:t>
      </w:r>
      <w:r w:rsidRPr="00FC3DB4">
        <w:rPr>
          <w:vertAlign w:val="superscript"/>
        </w:rPr>
        <w:t>2</w:t>
      </w:r>
      <w:r w:rsidRPr="00FC3DB4">
        <w:t xml:space="preserve"> et un allongement à la rupture </w:t>
      </w:r>
      <w:r w:rsidRPr="00FC3DB4">
        <w:rPr>
          <w:u w:val="single"/>
        </w:rPr>
        <w:t>minimal garanti</w:t>
      </w:r>
      <w:r w:rsidRPr="00FC3DB4">
        <w:t xml:space="preserve"> conforme au 6.7.</w:t>
      </w:r>
      <w:r w:rsidRPr="00FC3DB4">
        <w:rPr>
          <w:u w:val="single"/>
        </w:rPr>
        <w:t>2</w:t>
      </w:r>
      <w:r w:rsidRPr="00FC3DB4">
        <w:t>.3.3.3;</w:t>
      </w:r>
    </w:p>
    <w:p w:rsidR="009C2EB9" w:rsidRPr="00FC3DB4" w:rsidRDefault="009C2EB9" w:rsidP="009C2EB9">
      <w:pPr>
        <w:pStyle w:val="SingleTxt"/>
      </w:pPr>
      <w:r w:rsidRPr="00FC3DB4">
        <w:rPr>
          <w:i/>
        </w:rPr>
        <w:t>Acier doux</w:t>
      </w:r>
      <w:r w:rsidR="00CC7E60" w:rsidRPr="00FC3DB4">
        <w:rPr>
          <w:i/>
        </w:rPr>
        <w:t xml:space="preserve"> </w:t>
      </w:r>
      <w:r w:rsidRPr="00FC3DB4">
        <w:t xml:space="preserve">un acier ayant une résistance à la traction </w:t>
      </w:r>
      <w:r w:rsidRPr="00FC3DB4">
        <w:rPr>
          <w:u w:val="single"/>
        </w:rPr>
        <w:t>minimale garantie de</w:t>
      </w:r>
      <w:r w:rsidRPr="00FC3DB4">
        <w:t xml:space="preserve"> 360</w:t>
      </w:r>
      <w:r w:rsidR="00CC7E60" w:rsidRPr="00FC3DB4">
        <w:t> </w:t>
      </w:r>
      <w:r w:rsidRPr="00FC3DB4">
        <w:t>N/mm</w:t>
      </w:r>
      <w:r w:rsidRPr="009E72A1">
        <w:rPr>
          <w:vertAlign w:val="superscript"/>
        </w:rPr>
        <w:t>2</w:t>
      </w:r>
      <w:r w:rsidRPr="00FC3DB4">
        <w:t xml:space="preserve"> à </w:t>
      </w:r>
      <w:r w:rsidRPr="009E72A1">
        <w:rPr>
          <w:u w:val="single"/>
        </w:rPr>
        <w:t>440</w:t>
      </w:r>
      <w:r w:rsidR="00CC7E60" w:rsidRPr="00FC3DB4">
        <w:t> </w:t>
      </w:r>
      <w:r w:rsidRPr="00FC3DB4">
        <w:t>N/mm</w:t>
      </w:r>
      <w:r w:rsidRPr="009E72A1">
        <w:rPr>
          <w:vertAlign w:val="superscript"/>
        </w:rPr>
        <w:t>2</w:t>
      </w:r>
      <w:r w:rsidRPr="00FC3DB4">
        <w:t xml:space="preserve"> et un allongement à la rupture </w:t>
      </w:r>
      <w:r w:rsidRPr="00FC3DB4">
        <w:rPr>
          <w:u w:val="single"/>
        </w:rPr>
        <w:t>minimal garanti</w:t>
      </w:r>
      <w:r w:rsidRPr="00FC3DB4">
        <w:t xml:space="preserve"> conforme au</w:t>
      </w:r>
      <w:r w:rsidRPr="00FC3DB4">
        <w:rPr>
          <w:i/>
        </w:rPr>
        <w:t xml:space="preserve"> </w:t>
      </w:r>
      <w:r w:rsidRPr="00FC3DB4">
        <w:t>6.7.</w:t>
      </w:r>
      <w:r w:rsidRPr="00FC3DB4">
        <w:rPr>
          <w:u w:val="single"/>
        </w:rPr>
        <w:t>3</w:t>
      </w:r>
      <w:r w:rsidRPr="00FC3DB4">
        <w:t>.3.3.3</w:t>
      </w:r>
      <w:r w:rsidR="009E72A1">
        <w:t>.</w:t>
      </w:r>
    </w:p>
    <w:p w:rsidR="009C2EB9" w:rsidRPr="00FC3DB4" w:rsidRDefault="009C2EB9" w:rsidP="009C2EB9">
      <w:pPr>
        <w:pStyle w:val="SingleTxt"/>
      </w:pPr>
      <w:r w:rsidRPr="00FC3DB4">
        <w:t>Les paragraphes 6.7.</w:t>
      </w:r>
      <w:r w:rsidRPr="00FC3DB4">
        <w:rPr>
          <w:u w:val="single"/>
        </w:rPr>
        <w:t>2</w:t>
      </w:r>
      <w:r w:rsidRPr="00FC3DB4">
        <w:t>.3.3.3 et 6.7.</w:t>
      </w:r>
      <w:r w:rsidRPr="00FC3DB4">
        <w:rPr>
          <w:u w:val="single"/>
        </w:rPr>
        <w:t>3</w:t>
      </w:r>
      <w:r w:rsidRPr="00FC3DB4">
        <w:t>.3.3.3 sont identiques et disent ceci</w:t>
      </w:r>
      <w:r w:rsidR="00CC7E60" w:rsidRPr="00FC3DB4">
        <w:t> </w:t>
      </w:r>
      <w:r w:rsidRPr="00FC3DB4">
        <w:t>:</w:t>
      </w:r>
    </w:p>
    <w:p w:rsidR="009C2EB9" w:rsidRPr="00FC3DB4" w:rsidRDefault="00CC7E60" w:rsidP="009C2EB9">
      <w:pPr>
        <w:pStyle w:val="SingleTxt"/>
      </w:pPr>
      <w:r w:rsidRPr="00FC3DB4">
        <w:t>« </w:t>
      </w:r>
      <w:r w:rsidR="009C2EB9" w:rsidRPr="00FC3DB4">
        <w:t>Les aciers utilisés pour la construction des réservoirs doivent avoir un allongement à la rupture, en pourcentage, d’au</w:t>
      </w:r>
      <w:r w:rsidR="009E72A1">
        <w:t xml:space="preserve"> moins</w:t>
      </w:r>
      <w:r w:rsidR="009C2EB9" w:rsidRPr="00FC3DB4">
        <w:t xml:space="preserve"> 10 000/</w:t>
      </w:r>
      <w:proofErr w:type="spellStart"/>
      <w:r w:rsidR="009C2EB9" w:rsidRPr="00FC3DB4">
        <w:t>Rm</w:t>
      </w:r>
      <w:proofErr w:type="spellEnd"/>
      <w:r w:rsidR="009C2EB9" w:rsidRPr="00FC3DB4">
        <w:t xml:space="preserve"> avec un minimum absolu de 16</w:t>
      </w:r>
      <w:r w:rsidRPr="00FC3DB4">
        <w:t> </w:t>
      </w:r>
      <w:r w:rsidR="009C2EB9" w:rsidRPr="00FC3DB4">
        <w:t>% pour les aciers à grain fin et de 20</w:t>
      </w:r>
      <w:r w:rsidRPr="00FC3DB4">
        <w:t> </w:t>
      </w:r>
      <w:r w:rsidR="009C2EB9" w:rsidRPr="00FC3DB4">
        <w:t>% pour les autres aciers.</w:t>
      </w:r>
      <w:r w:rsidRPr="00FC3DB4">
        <w:t> »</w:t>
      </w:r>
      <w:r w:rsidR="009C2EB9" w:rsidRPr="00FC3DB4">
        <w:t>.</w:t>
      </w:r>
    </w:p>
    <w:p w:rsidR="009C2EB9" w:rsidRPr="00FC3DB4" w:rsidRDefault="009C2EB9" w:rsidP="000E3E1B">
      <w:pPr>
        <w:pStyle w:val="SingleTxt"/>
        <w:numPr>
          <w:ilvl w:val="0"/>
          <w:numId w:val="10"/>
        </w:numPr>
        <w:tabs>
          <w:tab w:val="clear" w:pos="475"/>
          <w:tab w:val="num" w:pos="1742"/>
        </w:tabs>
        <w:ind w:left="1267"/>
      </w:pPr>
      <w:r w:rsidRPr="00FC3DB4">
        <w:lastRenderedPageBreak/>
        <w:t>La même condition apparaît aux paragraphes 6.5.5.1.5 et 6.5.5.1</w:t>
      </w:r>
      <w:r w:rsidR="000E3E1B" w:rsidRPr="00FC3DB4">
        <w:t>.</w:t>
      </w:r>
      <w:r w:rsidRPr="00FC3DB4">
        <w:t>6 en ce qui concerne les GRV métalliques, comme suit</w:t>
      </w:r>
      <w:r w:rsidR="000E3E1B" w:rsidRPr="00FC3DB4">
        <w:t> </w:t>
      </w:r>
      <w:r w:rsidRPr="00FC3DB4">
        <w:t>:</w:t>
      </w:r>
    </w:p>
    <w:p w:rsidR="009C2EB9" w:rsidRPr="00FC3DB4" w:rsidRDefault="009C2EB9" w:rsidP="009C2EB9">
      <w:pPr>
        <w:pStyle w:val="SingleTxt"/>
      </w:pPr>
      <w:r w:rsidRPr="00FC3DB4">
        <w:t>6.5.5.1.5</w:t>
      </w:r>
      <w:r w:rsidR="000E3E1B" w:rsidRPr="00FC3DB4">
        <w:tab/>
      </w:r>
      <w:r w:rsidRPr="00FC3DB4">
        <w:t>Les GRV métalliques doivent être construits en un métal répondant aux conditions ci-après</w:t>
      </w:r>
      <w:r w:rsidR="000E3E1B" w:rsidRPr="00FC3DB4">
        <w:t> </w:t>
      </w:r>
      <w:r w:rsidRPr="00FC3DB4">
        <w:t>:</w:t>
      </w:r>
    </w:p>
    <w:p w:rsidR="009C2EB9" w:rsidRPr="00FC3DB4" w:rsidRDefault="000E3E1B" w:rsidP="009C2EB9">
      <w:pPr>
        <w:pStyle w:val="SingleTxt"/>
      </w:pPr>
      <w:r w:rsidRPr="00FC3DB4">
        <w:tab/>
      </w:r>
      <w:r w:rsidR="009C2EB9" w:rsidRPr="00FC3DB4">
        <w:t>a)</w:t>
      </w:r>
      <w:r w:rsidR="009C2EB9" w:rsidRPr="00FC3DB4">
        <w:tab/>
      </w:r>
      <w:r w:rsidRPr="00FC3DB4">
        <w:rPr>
          <w:u w:val="single"/>
        </w:rPr>
        <w:t>D</w:t>
      </w:r>
      <w:r w:rsidR="009C2EB9" w:rsidRPr="00FC3DB4">
        <w:rPr>
          <w:u w:val="single"/>
        </w:rPr>
        <w:t>ans le cas de l’acier</w:t>
      </w:r>
      <w:r w:rsidR="009C2EB9" w:rsidRPr="00FC3DB4">
        <w:t>, le pourcentage d’allongement à la rupture ne doit pas être inférieur à 10</w:t>
      </w:r>
      <w:r w:rsidR="00A637CE" w:rsidRPr="00FC3DB4">
        <w:t> </w:t>
      </w:r>
      <w:r w:rsidR="009C2EB9" w:rsidRPr="00FC3DB4">
        <w:t>000/</w:t>
      </w:r>
      <w:proofErr w:type="spellStart"/>
      <w:r w:rsidR="009C2EB9" w:rsidRPr="00FC3DB4">
        <w:t>Rm</w:t>
      </w:r>
      <w:proofErr w:type="spellEnd"/>
      <w:r w:rsidR="009C2EB9" w:rsidRPr="00FC3DB4">
        <w:t>, avec un minimum absolu de 20</w:t>
      </w:r>
      <w:r w:rsidR="00A637CE" w:rsidRPr="00FC3DB4">
        <w:t> </w:t>
      </w:r>
      <w:r w:rsidR="009C2EB9" w:rsidRPr="00FC3DB4">
        <w:t xml:space="preserve">%; où </w:t>
      </w:r>
      <w:proofErr w:type="spellStart"/>
      <w:r w:rsidR="009C2EB9" w:rsidRPr="00FC3DB4">
        <w:t>Rm</w:t>
      </w:r>
      <w:proofErr w:type="spellEnd"/>
      <w:r w:rsidR="009C2EB9" w:rsidRPr="00FC3DB4">
        <w:t xml:space="preserve"> = valeur minimale garantie de la résistance à la traction de l’acier utilisé, en</w:t>
      </w:r>
      <w:r w:rsidR="00A637CE" w:rsidRPr="00FC3DB4">
        <w:t xml:space="preserve"> </w:t>
      </w:r>
      <w:r w:rsidR="009C2EB9" w:rsidRPr="00FC3DB4">
        <w:t>N/mm</w:t>
      </w:r>
      <w:r w:rsidR="009C2EB9" w:rsidRPr="00FC3DB4">
        <w:rPr>
          <w:vertAlign w:val="superscript"/>
        </w:rPr>
        <w:t>2</w:t>
      </w:r>
      <w:r w:rsidR="009C2EB9" w:rsidRPr="00FC3DB4">
        <w:t>, et</w:t>
      </w:r>
    </w:p>
    <w:p w:rsidR="009C2EB9" w:rsidRPr="00FC3DB4" w:rsidRDefault="009C2EB9" w:rsidP="009C2EB9">
      <w:pPr>
        <w:pStyle w:val="SingleTxt"/>
      </w:pPr>
      <w:r w:rsidRPr="00FC3DB4">
        <w:t>6.5.5.1.6</w:t>
      </w:r>
      <w:r w:rsidR="00A637CE" w:rsidRPr="00FC3DB4">
        <w:tab/>
      </w:r>
      <w:r w:rsidRPr="00FC3DB4">
        <w:rPr>
          <w:i/>
        </w:rPr>
        <w:t>Épaisseur minimale de la paroi</w:t>
      </w:r>
      <w:r w:rsidR="00A637CE" w:rsidRPr="00FC3DB4">
        <w:rPr>
          <w:i/>
        </w:rPr>
        <w:t> </w:t>
      </w:r>
      <w:r w:rsidRPr="00FC3DB4">
        <w:t>:</w:t>
      </w:r>
    </w:p>
    <w:p w:rsidR="009C2EB9" w:rsidRPr="00FC3DB4" w:rsidRDefault="00A637CE" w:rsidP="009C2EB9">
      <w:pPr>
        <w:pStyle w:val="SingleTxt"/>
      </w:pPr>
      <w:r w:rsidRPr="00FC3DB4">
        <w:tab/>
      </w:r>
      <w:r w:rsidR="009C2EB9" w:rsidRPr="00FC3DB4">
        <w:t>a)</w:t>
      </w:r>
      <w:r w:rsidR="009C2EB9" w:rsidRPr="00FC3DB4">
        <w:tab/>
      </w:r>
      <w:r w:rsidRPr="00FC3DB4">
        <w:t>D</w:t>
      </w:r>
      <w:r w:rsidR="009C2EB9" w:rsidRPr="00FC3DB4">
        <w:t>ans le cas d’</w:t>
      </w:r>
      <w:r w:rsidR="009C2EB9" w:rsidRPr="009E72A1">
        <w:rPr>
          <w:b/>
          <w:u w:val="single"/>
        </w:rPr>
        <w:t>un</w:t>
      </w:r>
      <w:r w:rsidR="009C2EB9" w:rsidRPr="009E72A1">
        <w:rPr>
          <w:u w:val="single"/>
        </w:rPr>
        <w:t xml:space="preserve"> </w:t>
      </w:r>
      <w:r w:rsidR="009C2EB9" w:rsidRPr="00FC3DB4">
        <w:rPr>
          <w:u w:val="single"/>
        </w:rPr>
        <w:t>acier de référence dont le produit</w:t>
      </w:r>
      <w:r w:rsidR="009C2EB9" w:rsidRPr="00FC3DB4">
        <w:t xml:space="preserve"> </w:t>
      </w:r>
      <w:proofErr w:type="spellStart"/>
      <w:r w:rsidR="009C2EB9" w:rsidRPr="00FC3DB4">
        <w:t>Rm</w:t>
      </w:r>
      <w:proofErr w:type="spellEnd"/>
      <w:r w:rsidR="009C2EB9" w:rsidRPr="00FC3DB4">
        <w:t> </w:t>
      </w:r>
      <w:r w:rsidR="009C2EB9" w:rsidRPr="00FC3DB4">
        <w:sym w:font="Symbol" w:char="00B4"/>
      </w:r>
      <w:r w:rsidR="009C2EB9" w:rsidRPr="00FC3DB4">
        <w:t> </w:t>
      </w:r>
      <w:proofErr w:type="spellStart"/>
      <w:r w:rsidR="009C2EB9" w:rsidRPr="00FC3DB4">
        <w:t>A</w:t>
      </w:r>
      <w:r w:rsidR="009C2EB9" w:rsidRPr="00FC3DB4">
        <w:rPr>
          <w:vertAlign w:val="subscript"/>
        </w:rPr>
        <w:t>o</w:t>
      </w:r>
      <w:proofErr w:type="spellEnd"/>
      <w:r w:rsidR="009C2EB9" w:rsidRPr="00FC3DB4">
        <w:t xml:space="preserve"> = 10 000, l’épaisseur de la paroi ne doit pas être inférieure aux valeurs suivantes (...); où </w:t>
      </w:r>
      <w:proofErr w:type="spellStart"/>
      <w:r w:rsidR="009C2EB9" w:rsidRPr="00FC3DB4">
        <w:t>A</w:t>
      </w:r>
      <w:r w:rsidR="009C2EB9" w:rsidRPr="00FC3DB4">
        <w:rPr>
          <w:vertAlign w:val="subscript"/>
        </w:rPr>
        <w:t>o</w:t>
      </w:r>
      <w:proofErr w:type="spellEnd"/>
      <w:r w:rsidR="009C2EB9" w:rsidRPr="00FC3DB4">
        <w:rPr>
          <w:vertAlign w:val="subscript"/>
        </w:rPr>
        <w:t xml:space="preserve">  </w:t>
      </w:r>
      <w:r w:rsidR="009C2EB9" w:rsidRPr="00FC3DB4">
        <w:t>= pourcentage minimal d’allongement à la rupture par traction de l’acier de référence utilisé (voir 6.5.5.1.5);</w:t>
      </w:r>
    </w:p>
    <w:p w:rsidR="009C2EB9" w:rsidRPr="00FC3DB4" w:rsidRDefault="009C2EB9" w:rsidP="000E3E1B">
      <w:pPr>
        <w:pStyle w:val="SingleTxt"/>
        <w:numPr>
          <w:ilvl w:val="0"/>
          <w:numId w:val="10"/>
        </w:numPr>
        <w:tabs>
          <w:tab w:val="clear" w:pos="475"/>
          <w:tab w:val="num" w:pos="1742"/>
        </w:tabs>
        <w:ind w:left="1267"/>
      </w:pPr>
      <w:r w:rsidRPr="00FC3DB4">
        <w:t>Il est à relever également que l’acier de référence tel qu’il est défini ici est un cas particulier d’acier doux.</w:t>
      </w:r>
    </w:p>
    <w:p w:rsidR="009C2EB9" w:rsidRPr="00FC3DB4" w:rsidRDefault="009C2EB9" w:rsidP="000E3E1B">
      <w:pPr>
        <w:pStyle w:val="SingleTxt"/>
        <w:numPr>
          <w:ilvl w:val="0"/>
          <w:numId w:val="10"/>
        </w:numPr>
        <w:tabs>
          <w:tab w:val="clear" w:pos="475"/>
          <w:tab w:val="num" w:pos="1742"/>
        </w:tabs>
        <w:ind w:left="1267"/>
      </w:pPr>
      <w:r w:rsidRPr="00FC3DB4">
        <w:t>Les propositions contenues dans les documents que nous avons présentés à la quarante-huitième session du Sous-Comité d’experts du transport des marchandises dangereuses étaient les suivantes</w:t>
      </w:r>
      <w:r w:rsidR="00A637CE" w:rsidRPr="00FC3DB4">
        <w:t> </w:t>
      </w:r>
      <w:r w:rsidRPr="00FC3DB4">
        <w:t>:</w:t>
      </w:r>
    </w:p>
    <w:p w:rsidR="009C2EB9" w:rsidRPr="00FC3DB4" w:rsidRDefault="009C2EB9" w:rsidP="009C2EB9">
      <w:pPr>
        <w:pStyle w:val="SingleTxt"/>
      </w:pPr>
      <w:r w:rsidRPr="00FC3DB4">
        <w:t>ST/SG/AC.10/C.3/2015/44</w:t>
      </w:r>
      <w:r w:rsidR="00A637CE" w:rsidRPr="00FC3DB4">
        <w:t> </w:t>
      </w:r>
      <w:r w:rsidRPr="00FC3DB4">
        <w:t>:</w:t>
      </w:r>
    </w:p>
    <w:p w:rsidR="009C2EB9" w:rsidRPr="00FC3DB4" w:rsidRDefault="00A637CE" w:rsidP="00A637CE">
      <w:pPr>
        <w:pStyle w:val="SingleTxt"/>
        <w:ind w:left="1742" w:hanging="475"/>
      </w:pPr>
      <w:r w:rsidRPr="00FC3DB4">
        <w:tab/>
      </w:r>
      <w:r w:rsidR="009C2EB9" w:rsidRPr="00FC3DB4">
        <w:t>À la section 1.2.1, ajouter une définition de l’acier de référence, libellée comme suit</w:t>
      </w:r>
      <w:r w:rsidRPr="00FC3DB4">
        <w:t> </w:t>
      </w:r>
      <w:r w:rsidR="009C2EB9" w:rsidRPr="00FC3DB4">
        <w:t>:</w:t>
      </w:r>
    </w:p>
    <w:p w:rsidR="009C2EB9" w:rsidRPr="00FC3DB4" w:rsidRDefault="00A637CE" w:rsidP="00A637CE">
      <w:pPr>
        <w:pStyle w:val="SingleTxt"/>
        <w:ind w:left="1742" w:hanging="475"/>
      </w:pPr>
      <w:r w:rsidRPr="00FC3DB4">
        <w:tab/>
        <w:t>« </w:t>
      </w:r>
      <w:r w:rsidR="009C2EB9" w:rsidRPr="00FC3DB4">
        <w:t>Acier de référence, un acier ayant une résistance à la traction de 370</w:t>
      </w:r>
      <w:r w:rsidRPr="00FC3DB4">
        <w:t> </w:t>
      </w:r>
      <w:r w:rsidR="009C2EB9" w:rsidRPr="00FC3DB4">
        <w:t>N/mm</w:t>
      </w:r>
      <w:r w:rsidR="009C2EB9" w:rsidRPr="00FC3DB4">
        <w:rPr>
          <w:vertAlign w:val="superscript"/>
        </w:rPr>
        <w:t>2</w:t>
      </w:r>
      <w:r w:rsidR="009C2EB9" w:rsidRPr="00FC3DB4">
        <w:t xml:space="preserve"> et un all</w:t>
      </w:r>
      <w:r w:rsidRPr="00FC3DB4">
        <w:t>ongement à la rupture de 27 %</w:t>
      </w:r>
      <w:r w:rsidR="009E72A1">
        <w:t> »</w:t>
      </w:r>
      <w:r w:rsidRPr="00FC3DB4">
        <w:t>;</w:t>
      </w:r>
    </w:p>
    <w:p w:rsidR="009C2EB9" w:rsidRPr="00FC3DB4" w:rsidRDefault="00A637CE" w:rsidP="009C2EB9">
      <w:pPr>
        <w:pStyle w:val="SingleTxt"/>
      </w:pPr>
      <w:r w:rsidRPr="00FC3DB4">
        <w:tab/>
      </w:r>
      <w:r w:rsidR="009C2EB9" w:rsidRPr="00FC3DB4">
        <w:t>Nota</w:t>
      </w:r>
      <w:r w:rsidRPr="00FC3DB4">
        <w:t> </w:t>
      </w:r>
      <w:r w:rsidR="009C2EB9" w:rsidRPr="00FC3DB4">
        <w:t>: Pour les GRV métalliques, voir la sous-section 6.5.5.1.</w:t>
      </w:r>
    </w:p>
    <w:p w:rsidR="009C2EB9" w:rsidRPr="00FC3DB4" w:rsidRDefault="00A637CE" w:rsidP="00A637CE">
      <w:pPr>
        <w:pStyle w:val="SingleTxt"/>
        <w:ind w:left="1742" w:hanging="475"/>
      </w:pPr>
      <w:r w:rsidRPr="00FC3DB4">
        <w:tab/>
      </w:r>
      <w:r w:rsidR="009C2EB9" w:rsidRPr="00FC3DB4">
        <w:rPr>
          <w:spacing w:val="-2"/>
        </w:rPr>
        <w:t>Supprimer les définitions de l’acier de référence qui figurent aux sous-sections 6.7.2.1,</w:t>
      </w:r>
      <w:r w:rsidR="009C2EB9" w:rsidRPr="00FC3DB4">
        <w:t xml:space="preserve"> 6.7.3.1 et 6.7.4.1.</w:t>
      </w:r>
    </w:p>
    <w:p w:rsidR="009C2EB9" w:rsidRPr="00FC3DB4" w:rsidRDefault="009C2EB9" w:rsidP="009C2EB9">
      <w:pPr>
        <w:pStyle w:val="SingleTxt"/>
      </w:pPr>
      <w:r w:rsidRPr="00FC3DB4">
        <w:t>ST/SG/AC.10/C.3/2015/55</w:t>
      </w:r>
      <w:r w:rsidR="00A23BFB" w:rsidRPr="00FC3DB4">
        <w:t> </w:t>
      </w:r>
      <w:r w:rsidRPr="00FC3DB4">
        <w:t>:</w:t>
      </w:r>
    </w:p>
    <w:p w:rsidR="009C2EB9" w:rsidRPr="00FC3DB4" w:rsidRDefault="00A637CE" w:rsidP="009C2EB9">
      <w:pPr>
        <w:pStyle w:val="SingleTxt"/>
      </w:pPr>
      <w:r w:rsidRPr="00FC3DB4">
        <w:tab/>
      </w:r>
      <w:r w:rsidR="009C2EB9" w:rsidRPr="00FC3DB4">
        <w:t>Ajouter, dans la section 1.2.1, une définition de l’acier doux ainsi conçue</w:t>
      </w:r>
      <w:r w:rsidRPr="00FC3DB4">
        <w:t> </w:t>
      </w:r>
      <w:r w:rsidR="009C2EB9" w:rsidRPr="00FC3DB4">
        <w:t>:</w:t>
      </w:r>
    </w:p>
    <w:p w:rsidR="009C2EB9" w:rsidRPr="00FC3DB4" w:rsidRDefault="00A637CE" w:rsidP="00A637CE">
      <w:pPr>
        <w:pStyle w:val="SingleTxt"/>
        <w:ind w:left="1742" w:hanging="475"/>
      </w:pPr>
      <w:r w:rsidRPr="00FC3DB4">
        <w:tab/>
        <w:t>« </w:t>
      </w:r>
      <w:r w:rsidR="009C2EB9" w:rsidRPr="00FC3DB4">
        <w:t>Acier doux</w:t>
      </w:r>
      <w:r w:rsidRPr="00FC3DB4">
        <w:t> »</w:t>
      </w:r>
      <w:r w:rsidR="009C2EB9" w:rsidRPr="00FC3DB4">
        <w:t>, un acier dont la résistance minimale à la rupture par traction est c</w:t>
      </w:r>
      <w:r w:rsidRPr="00FC3DB4">
        <w:t>omprise entre 360</w:t>
      </w:r>
      <w:r w:rsidR="009E72A1">
        <w:t> </w:t>
      </w:r>
      <w:r w:rsidR="009E72A1" w:rsidRPr="00FC3DB4">
        <w:t>N/mm²</w:t>
      </w:r>
      <w:r w:rsidR="009E72A1">
        <w:t xml:space="preserve"> </w:t>
      </w:r>
      <w:r w:rsidRPr="00FC3DB4">
        <w:t>et 440</w:t>
      </w:r>
      <w:r w:rsidR="009E72A1">
        <w:t> </w:t>
      </w:r>
      <w:r w:rsidRPr="00FC3DB4">
        <w:t>N/mm²;</w:t>
      </w:r>
    </w:p>
    <w:p w:rsidR="009C2EB9" w:rsidRPr="00FC3DB4" w:rsidRDefault="00A637CE" w:rsidP="00A637CE">
      <w:pPr>
        <w:pStyle w:val="SingleTxt"/>
        <w:ind w:left="1742" w:hanging="475"/>
      </w:pPr>
      <w:r w:rsidRPr="00FC3DB4">
        <w:tab/>
      </w:r>
      <w:r w:rsidR="009C2EB9" w:rsidRPr="00FC3DB4">
        <w:t>Supprimer les définitions de l’acier doux qui figurent aux paragraphes 6.7.2.1 et 6.7.3.1.</w:t>
      </w:r>
    </w:p>
    <w:p w:rsidR="00A637CE" w:rsidRPr="00FC3DB4" w:rsidRDefault="00A637CE" w:rsidP="00A637CE">
      <w:pPr>
        <w:pStyle w:val="SingleTxt"/>
        <w:spacing w:after="0" w:line="120" w:lineRule="exact"/>
        <w:ind w:left="1742" w:hanging="475"/>
        <w:rPr>
          <w:sz w:val="10"/>
        </w:rPr>
      </w:pPr>
    </w:p>
    <w:p w:rsidR="00A637CE" w:rsidRPr="00FC3DB4" w:rsidRDefault="00A637CE" w:rsidP="00A637CE">
      <w:pPr>
        <w:pStyle w:val="SingleTxt"/>
        <w:spacing w:after="0" w:line="120" w:lineRule="exact"/>
        <w:ind w:left="1742" w:hanging="475"/>
        <w:rPr>
          <w:sz w:val="10"/>
        </w:rPr>
      </w:pPr>
    </w:p>
    <w:p w:rsidR="009C2EB9" w:rsidRPr="00FC3DB4" w:rsidRDefault="009C2EB9" w:rsidP="00A637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3DB4">
        <w:tab/>
      </w:r>
      <w:r w:rsidRPr="00FC3DB4">
        <w:tab/>
        <w:t>Acier de référence</w:t>
      </w:r>
    </w:p>
    <w:p w:rsidR="00A637CE" w:rsidRPr="00FC3DB4" w:rsidRDefault="00A637CE" w:rsidP="00EC70DB">
      <w:pPr>
        <w:pStyle w:val="SingleTxt"/>
        <w:spacing w:after="0" w:line="120" w:lineRule="exact"/>
        <w:rPr>
          <w:sz w:val="10"/>
        </w:rPr>
      </w:pPr>
    </w:p>
    <w:p w:rsidR="00EC70DB" w:rsidRPr="00FC3DB4" w:rsidRDefault="00EC70DB" w:rsidP="00A637CE">
      <w:pPr>
        <w:pStyle w:val="SingleTxt"/>
        <w:spacing w:after="0" w:line="120" w:lineRule="exact"/>
        <w:rPr>
          <w:sz w:val="10"/>
        </w:rPr>
      </w:pPr>
    </w:p>
    <w:p w:rsidR="009C2EB9" w:rsidRPr="00FC3DB4" w:rsidRDefault="009C2EB9" w:rsidP="00A637CE">
      <w:pPr>
        <w:pStyle w:val="SingleTxt"/>
        <w:numPr>
          <w:ilvl w:val="0"/>
          <w:numId w:val="10"/>
        </w:numPr>
        <w:tabs>
          <w:tab w:val="clear" w:pos="475"/>
          <w:tab w:val="num" w:pos="1742"/>
        </w:tabs>
        <w:ind w:left="1267"/>
      </w:pPr>
      <w:r w:rsidRPr="00FC3DB4">
        <w:t>Pour l’acier de référence défini, le produit de la résistance à la traction (370 N/mm</w:t>
      </w:r>
      <w:r w:rsidRPr="00FC3DB4">
        <w:rPr>
          <w:vertAlign w:val="superscript"/>
        </w:rPr>
        <w:t>2</w:t>
      </w:r>
      <w:r w:rsidRPr="00FC3DB4">
        <w:t>) et de l’allongement à la rupture (27</w:t>
      </w:r>
      <w:r w:rsidR="00A637CE" w:rsidRPr="00FC3DB4">
        <w:t> </w:t>
      </w:r>
      <w:r w:rsidRPr="00FC3DB4">
        <w:t>%) est égal à 9</w:t>
      </w:r>
      <w:r w:rsidR="00EB29A0">
        <w:t> </w:t>
      </w:r>
      <w:r w:rsidRPr="00FC3DB4">
        <w:t>990 (370 x 27 = 9</w:t>
      </w:r>
      <w:r w:rsidR="00A637CE" w:rsidRPr="00FC3DB4">
        <w:t> </w:t>
      </w:r>
      <w:r w:rsidRPr="00FC3DB4">
        <w:t>990) et ne diffère de 10</w:t>
      </w:r>
      <w:r w:rsidR="00A637CE" w:rsidRPr="00FC3DB4">
        <w:t> </w:t>
      </w:r>
      <w:r w:rsidRPr="00FC3DB4">
        <w:t>000 que de 0,1</w:t>
      </w:r>
      <w:r w:rsidR="00A637CE" w:rsidRPr="00FC3DB4">
        <w:t> </w:t>
      </w:r>
      <w:r w:rsidRPr="00FC3DB4">
        <w:t>%, ce qui se situe dans la marge de tolérance (limite d’écart) des caractéristiques de tous les aciers.</w:t>
      </w:r>
    </w:p>
    <w:p w:rsidR="009C2EB9" w:rsidRPr="00FC3DB4" w:rsidRDefault="009C2EB9" w:rsidP="00A637CE">
      <w:pPr>
        <w:pStyle w:val="SingleTxt"/>
        <w:numPr>
          <w:ilvl w:val="0"/>
          <w:numId w:val="10"/>
        </w:numPr>
        <w:tabs>
          <w:tab w:val="clear" w:pos="475"/>
          <w:tab w:val="num" w:pos="1742"/>
        </w:tabs>
        <w:ind w:left="1267"/>
      </w:pPr>
      <w:r w:rsidRPr="00FC3DB4">
        <w:t>Au cours des discussions, la question s’est posée de savoir si la définition de l’acier de référence pourrait s’</w:t>
      </w:r>
      <w:r w:rsidR="00A637CE" w:rsidRPr="00FC3DB4">
        <w:t>appliquer aux GRV métalliques.</w:t>
      </w:r>
    </w:p>
    <w:p w:rsidR="009C2EB9" w:rsidRPr="00FC3DB4" w:rsidRDefault="009C2EB9" w:rsidP="00A637CE">
      <w:pPr>
        <w:pStyle w:val="SingleTxt"/>
        <w:numPr>
          <w:ilvl w:val="0"/>
          <w:numId w:val="10"/>
        </w:numPr>
        <w:tabs>
          <w:tab w:val="clear" w:pos="475"/>
          <w:tab w:val="num" w:pos="1742"/>
        </w:tabs>
        <w:ind w:left="1267"/>
      </w:pPr>
      <w:r w:rsidRPr="00FC3DB4">
        <w:t xml:space="preserve">Il existe en l’occurrence une différence dans la mesure où l’acier de référence est défini à la section 1.2.1 et au chapitre 6.7 comme étant un acier unique, alors que le paragraphe 6.5.5.1.6 propose une formule permettant de choisir </w:t>
      </w:r>
      <w:r w:rsidRPr="00FC3DB4">
        <w:rPr>
          <w:u w:val="single"/>
        </w:rPr>
        <w:t>un</w:t>
      </w:r>
      <w:r w:rsidRPr="00FC3DB4">
        <w:t xml:space="preserve"> acier de référence</w:t>
      </w:r>
      <w:r w:rsidR="00A637CE" w:rsidRPr="00FC3DB4">
        <w:t xml:space="preserve"> (pour les GRV métalliques).</w:t>
      </w:r>
    </w:p>
    <w:p w:rsidR="00A637CE" w:rsidRPr="00FC3DB4" w:rsidRDefault="00A637CE" w:rsidP="00A637CE">
      <w:pPr>
        <w:pStyle w:val="SingleTxt"/>
        <w:spacing w:after="0" w:line="120" w:lineRule="exact"/>
        <w:rPr>
          <w:sz w:val="10"/>
        </w:rPr>
      </w:pPr>
    </w:p>
    <w:p w:rsidR="00A637CE" w:rsidRPr="00FC3DB4" w:rsidRDefault="00A637CE" w:rsidP="00A637CE">
      <w:pPr>
        <w:pStyle w:val="SingleTxt"/>
        <w:spacing w:after="0" w:line="120" w:lineRule="exact"/>
        <w:rPr>
          <w:sz w:val="10"/>
        </w:rPr>
      </w:pPr>
    </w:p>
    <w:p w:rsidR="009C2EB9" w:rsidRPr="00FC3DB4" w:rsidRDefault="009C2EB9" w:rsidP="00EB29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3DB4">
        <w:lastRenderedPageBreak/>
        <w:tab/>
      </w:r>
      <w:r w:rsidRPr="00FC3DB4">
        <w:tab/>
        <w:t>Proposition 1</w:t>
      </w:r>
    </w:p>
    <w:p w:rsidR="00EC70DB" w:rsidRPr="00FC3DB4" w:rsidRDefault="00EC70DB" w:rsidP="00EC70DB">
      <w:pPr>
        <w:pStyle w:val="SingleTxt"/>
        <w:spacing w:after="0" w:line="120" w:lineRule="exact"/>
        <w:rPr>
          <w:sz w:val="10"/>
        </w:rPr>
      </w:pPr>
    </w:p>
    <w:p w:rsidR="00EC70DB" w:rsidRPr="00FC3DB4" w:rsidRDefault="00EC70DB" w:rsidP="00EC70DB">
      <w:pPr>
        <w:pStyle w:val="SingleTxt"/>
        <w:spacing w:after="0" w:line="120" w:lineRule="exact"/>
        <w:rPr>
          <w:sz w:val="10"/>
        </w:rPr>
      </w:pPr>
    </w:p>
    <w:p w:rsidR="009C2EB9" w:rsidRPr="00FC3DB4" w:rsidRDefault="00EC70DB" w:rsidP="00EC70DB">
      <w:pPr>
        <w:pStyle w:val="SingleTxt"/>
        <w:numPr>
          <w:ilvl w:val="0"/>
          <w:numId w:val="10"/>
        </w:numPr>
        <w:tabs>
          <w:tab w:val="clear" w:pos="475"/>
          <w:tab w:val="num" w:pos="1742"/>
        </w:tabs>
        <w:ind w:left="1267"/>
      </w:pPr>
      <w:r w:rsidRPr="00FC3DB4">
        <w:t>À</w:t>
      </w:r>
      <w:r w:rsidR="009C2EB9" w:rsidRPr="00FC3DB4">
        <w:t xml:space="preserve"> la lumière de ce qui précède, nous proposons d’examiner comment étendre la définition de l’acier de référence pour que les</w:t>
      </w:r>
      <w:r w:rsidRPr="00FC3DB4">
        <w:t xml:space="preserve"> GRV métalliques soient inclus.</w:t>
      </w:r>
    </w:p>
    <w:p w:rsidR="009C2EB9" w:rsidRPr="00FC3DB4" w:rsidRDefault="009C2EB9" w:rsidP="00EC70DB">
      <w:pPr>
        <w:pStyle w:val="SingleTxt"/>
        <w:numPr>
          <w:ilvl w:val="0"/>
          <w:numId w:val="10"/>
        </w:numPr>
        <w:tabs>
          <w:tab w:val="clear" w:pos="475"/>
          <w:tab w:val="num" w:pos="1742"/>
        </w:tabs>
        <w:ind w:left="1267"/>
      </w:pPr>
      <w:r w:rsidRPr="00FC3DB4">
        <w:t>Une solution pourrait consister à définir l’acier de référence à l’aide de la formule du paragraphe 6.5.5.1.6 en prenant le cas particulier des citernes mobiles. Dans ce cas, la définition pourrait être la suivante</w:t>
      </w:r>
      <w:r w:rsidR="00EB29A0">
        <w:t> </w:t>
      </w:r>
      <w:r w:rsidRPr="00FC3DB4">
        <w:t>:</w:t>
      </w:r>
    </w:p>
    <w:p w:rsidR="009C2EB9" w:rsidRPr="00FC3DB4" w:rsidRDefault="00EC70DB" w:rsidP="009C2EB9">
      <w:pPr>
        <w:pStyle w:val="SingleTxt"/>
      </w:pPr>
      <w:r w:rsidRPr="00FC3DB4">
        <w:t>« </w:t>
      </w:r>
      <w:r w:rsidR="009C2EB9" w:rsidRPr="00FC3DB4">
        <w:rPr>
          <w:i/>
          <w:iCs/>
        </w:rPr>
        <w:t>Acier de référence</w:t>
      </w:r>
      <w:r w:rsidRPr="00FC3DB4">
        <w:t> »</w:t>
      </w:r>
      <w:r w:rsidR="009C2EB9" w:rsidRPr="00FC3DB4">
        <w:t xml:space="preserve">, un acier pour lequel le </w:t>
      </w:r>
      <w:r w:rsidR="009C2EB9" w:rsidRPr="00FC3DB4">
        <w:rPr>
          <w:iCs/>
        </w:rPr>
        <w:t>produit de la résistance à la traction (en N/mm</w:t>
      </w:r>
      <w:r w:rsidR="009C2EB9" w:rsidRPr="00FC3DB4">
        <w:rPr>
          <w:iCs/>
          <w:vertAlign w:val="superscript"/>
        </w:rPr>
        <w:t>2</w:t>
      </w:r>
      <w:r w:rsidR="009C2EB9" w:rsidRPr="00FC3DB4">
        <w:rPr>
          <w:iCs/>
        </w:rPr>
        <w:t>) et de l’allongement à la rupture (en %) est égal à 10</w:t>
      </w:r>
      <w:r w:rsidRPr="00FC3DB4">
        <w:rPr>
          <w:iCs/>
        </w:rPr>
        <w:t> </w:t>
      </w:r>
      <w:r w:rsidR="009C2EB9" w:rsidRPr="00FC3DB4">
        <w:rPr>
          <w:iCs/>
        </w:rPr>
        <w:t>000. Dans le cas des citernes portables, l’</w:t>
      </w:r>
      <w:r w:rsidR="009C2EB9" w:rsidRPr="00FC3DB4">
        <w:rPr>
          <w:i/>
          <w:iCs/>
        </w:rPr>
        <w:t xml:space="preserve">acier de référence </w:t>
      </w:r>
      <w:r w:rsidR="009C2EB9" w:rsidRPr="00FC3DB4">
        <w:rPr>
          <w:iCs/>
        </w:rPr>
        <w:t xml:space="preserve">est un acier dont la résistance à la traction est de </w:t>
      </w:r>
      <w:r w:rsidR="009C2EB9" w:rsidRPr="00FC3DB4">
        <w:t>370</w:t>
      </w:r>
      <w:r w:rsidRPr="00FC3DB4">
        <w:t> </w:t>
      </w:r>
      <w:r w:rsidR="009C2EB9" w:rsidRPr="00FC3DB4">
        <w:t>N/mm</w:t>
      </w:r>
      <w:r w:rsidR="009C2EB9" w:rsidRPr="00FC3DB4">
        <w:rPr>
          <w:vertAlign w:val="superscript"/>
        </w:rPr>
        <w:t>2</w:t>
      </w:r>
      <w:r w:rsidR="009C2EB9" w:rsidRPr="00FC3DB4">
        <w:t xml:space="preserve"> et l’allongement à la rupture de 27</w:t>
      </w:r>
      <w:r w:rsidRPr="00FC3DB4">
        <w:t> %.</w:t>
      </w:r>
    </w:p>
    <w:p w:rsidR="00EC70DB" w:rsidRPr="00FC3DB4" w:rsidRDefault="00EC70DB" w:rsidP="00EC70DB">
      <w:pPr>
        <w:pStyle w:val="SingleTxt"/>
        <w:spacing w:after="0" w:line="120" w:lineRule="exact"/>
        <w:rPr>
          <w:sz w:val="10"/>
        </w:rPr>
      </w:pPr>
    </w:p>
    <w:p w:rsidR="00EC70DB" w:rsidRPr="00FC3DB4" w:rsidRDefault="00EC70DB" w:rsidP="00EC70DB">
      <w:pPr>
        <w:pStyle w:val="SingleTxt"/>
        <w:spacing w:after="0" w:line="120" w:lineRule="exact"/>
        <w:rPr>
          <w:sz w:val="10"/>
        </w:rPr>
      </w:pPr>
    </w:p>
    <w:p w:rsidR="009C2EB9" w:rsidRPr="00FC3DB4" w:rsidRDefault="009C2EB9" w:rsidP="00EC70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3DB4">
        <w:tab/>
      </w:r>
      <w:r w:rsidRPr="00FC3DB4">
        <w:tab/>
        <w:t>Acier doux</w:t>
      </w:r>
    </w:p>
    <w:p w:rsidR="00EC70DB" w:rsidRPr="00FC3DB4" w:rsidRDefault="00EC70DB" w:rsidP="00EC70DB">
      <w:pPr>
        <w:pStyle w:val="SingleTxt"/>
        <w:spacing w:after="0" w:line="120" w:lineRule="exact"/>
        <w:rPr>
          <w:sz w:val="10"/>
        </w:rPr>
      </w:pPr>
    </w:p>
    <w:p w:rsidR="00EC70DB" w:rsidRPr="00FC3DB4" w:rsidRDefault="00EC70DB" w:rsidP="00EC70DB">
      <w:pPr>
        <w:pStyle w:val="SingleTxt"/>
        <w:spacing w:after="0" w:line="120" w:lineRule="exact"/>
        <w:rPr>
          <w:sz w:val="10"/>
        </w:rPr>
      </w:pPr>
    </w:p>
    <w:p w:rsidR="009C2EB9" w:rsidRPr="00FC3DB4" w:rsidRDefault="009C2EB9" w:rsidP="00EC70DB">
      <w:pPr>
        <w:pStyle w:val="SingleTxt"/>
        <w:numPr>
          <w:ilvl w:val="0"/>
          <w:numId w:val="10"/>
        </w:numPr>
        <w:tabs>
          <w:tab w:val="clear" w:pos="475"/>
          <w:tab w:val="num" w:pos="1742"/>
        </w:tabs>
        <w:ind w:left="1267"/>
      </w:pPr>
      <w:r w:rsidRPr="00FC3DB4">
        <w:t>Un expert participant à la quarante-huitième session du Sous-Comité d’experts du transport des marchandises dangereuses a préconisé de conserver les termes utilisés pour définir l’</w:t>
      </w:r>
      <w:r w:rsidRPr="00FC3DB4">
        <w:rPr>
          <w:i/>
        </w:rPr>
        <w:t xml:space="preserve">acier doux </w:t>
      </w:r>
      <w:r w:rsidRPr="00FC3DB4">
        <w:t>au chapitre 6.7</w:t>
      </w:r>
      <w:r w:rsidR="00EC70DB" w:rsidRPr="00FC3DB4">
        <w:t> </w:t>
      </w:r>
      <w:r w:rsidRPr="00FC3DB4">
        <w:t xml:space="preserve">: </w:t>
      </w:r>
      <w:r w:rsidR="00EC70DB" w:rsidRPr="00FC3DB4">
        <w:t>« </w:t>
      </w:r>
      <w:r w:rsidRPr="00FC3DB4">
        <w:rPr>
          <w:i/>
        </w:rPr>
        <w:t xml:space="preserve">une résistance à la traction </w:t>
      </w:r>
      <w:r w:rsidRPr="00FC3DB4">
        <w:rPr>
          <w:i/>
          <w:u w:val="single"/>
        </w:rPr>
        <w:t>minimale garantie</w:t>
      </w:r>
      <w:r w:rsidR="00EC70DB" w:rsidRPr="00FC3DB4">
        <w:t> »</w:t>
      </w:r>
      <w:r w:rsidRPr="00FC3DB4">
        <w:t xml:space="preserve"> et </w:t>
      </w:r>
      <w:r w:rsidR="00EC70DB" w:rsidRPr="00FC3DB4">
        <w:t>« </w:t>
      </w:r>
      <w:r w:rsidRPr="00FC3DB4">
        <w:rPr>
          <w:i/>
        </w:rPr>
        <w:t xml:space="preserve">un allongement à la rupture </w:t>
      </w:r>
      <w:r w:rsidRPr="00FC3DB4">
        <w:rPr>
          <w:i/>
          <w:u w:val="single"/>
        </w:rPr>
        <w:t>minimal garanti</w:t>
      </w:r>
      <w:r w:rsidR="00EC70DB" w:rsidRPr="00FC3DB4">
        <w:t> »</w:t>
      </w:r>
      <w:r w:rsidRPr="00FC3DB4">
        <w:t>.</w:t>
      </w:r>
    </w:p>
    <w:p w:rsidR="009C2EB9" w:rsidRPr="00FC3DB4" w:rsidRDefault="009C2EB9" w:rsidP="00EC70DB">
      <w:pPr>
        <w:pStyle w:val="SingleTxt"/>
        <w:numPr>
          <w:ilvl w:val="0"/>
          <w:numId w:val="10"/>
        </w:numPr>
        <w:tabs>
          <w:tab w:val="clear" w:pos="475"/>
          <w:tab w:val="num" w:pos="1742"/>
        </w:tabs>
        <w:ind w:left="1267"/>
      </w:pPr>
      <w:r w:rsidRPr="00FC3DB4">
        <w:t>Pour analyser la définition de l’</w:t>
      </w:r>
      <w:r w:rsidRPr="00FC3DB4">
        <w:rPr>
          <w:i/>
        </w:rPr>
        <w:t>acier doux</w:t>
      </w:r>
      <w:r w:rsidRPr="00FC3DB4">
        <w:t xml:space="preserve"> il faudrait aussi tenir compte des différences de limites de la résistance à la traction utilisées dans les diverses définitions (sect</w:t>
      </w:r>
      <w:r w:rsidR="001E65DD" w:rsidRPr="00FC3DB4">
        <w:t>.</w:t>
      </w:r>
      <w:r w:rsidR="00EB40A8">
        <w:t> </w:t>
      </w:r>
      <w:r w:rsidRPr="00FC3DB4">
        <w:t>1.2.1, chap</w:t>
      </w:r>
      <w:r w:rsidR="001E65DD" w:rsidRPr="00FC3DB4">
        <w:t>.</w:t>
      </w:r>
      <w:r w:rsidR="00EB40A8">
        <w:t> </w:t>
      </w:r>
      <w:r w:rsidRPr="00FC3DB4">
        <w:t>6.7 et chap</w:t>
      </w:r>
      <w:r w:rsidR="001E65DD" w:rsidRPr="00FC3DB4">
        <w:t>.</w:t>
      </w:r>
      <w:r w:rsidR="00EB40A8">
        <w:t> </w:t>
      </w:r>
      <w:r w:rsidR="001E65DD" w:rsidRPr="00FC3DB4">
        <w:t>6.8).</w:t>
      </w:r>
    </w:p>
    <w:p w:rsidR="009C2EB9" w:rsidRPr="00FC3DB4" w:rsidRDefault="009C2EB9" w:rsidP="00EC70DB">
      <w:pPr>
        <w:pStyle w:val="SingleTxt"/>
        <w:numPr>
          <w:ilvl w:val="0"/>
          <w:numId w:val="10"/>
        </w:numPr>
        <w:tabs>
          <w:tab w:val="clear" w:pos="475"/>
          <w:tab w:val="num" w:pos="1742"/>
        </w:tabs>
        <w:ind w:left="1267"/>
      </w:pPr>
      <w:r w:rsidRPr="00FC3DB4">
        <w:t>Le renvoi à un paragraphe dans une définition, comme c’est le cas dans la définition de l’</w:t>
      </w:r>
      <w:r w:rsidRPr="00FC3DB4">
        <w:rPr>
          <w:i/>
        </w:rPr>
        <w:t xml:space="preserve">acier doux </w:t>
      </w:r>
      <w:r w:rsidRPr="00FC3DB4">
        <w:t>aux chapitres</w:t>
      </w:r>
      <w:r w:rsidRPr="00FC3DB4">
        <w:rPr>
          <w:i/>
        </w:rPr>
        <w:t xml:space="preserve"> </w:t>
      </w:r>
      <w:r w:rsidRPr="00FC3DB4">
        <w:t>6.7 et 6.8, n’est pas tout à fait correct (voir par exemple 6.7.</w:t>
      </w:r>
      <w:r w:rsidRPr="00FC3DB4">
        <w:rPr>
          <w:u w:val="single"/>
        </w:rPr>
        <w:t>2</w:t>
      </w:r>
      <w:r w:rsidRPr="00FC3DB4">
        <w:t>.3.3.3, 6.7.</w:t>
      </w:r>
      <w:r w:rsidRPr="00FC3DB4">
        <w:rPr>
          <w:u w:val="single"/>
        </w:rPr>
        <w:t>3</w:t>
      </w:r>
      <w:r w:rsidRPr="00FC3DB4">
        <w:t>.3.3.3 ou 6.8.2.1.12).</w:t>
      </w:r>
    </w:p>
    <w:p w:rsidR="001E65DD" w:rsidRPr="00FC3DB4" w:rsidRDefault="001E65DD" w:rsidP="001E65DD">
      <w:pPr>
        <w:pStyle w:val="SingleTxt"/>
        <w:spacing w:after="0" w:line="120" w:lineRule="exact"/>
        <w:rPr>
          <w:sz w:val="10"/>
        </w:rPr>
      </w:pPr>
    </w:p>
    <w:p w:rsidR="001E65DD" w:rsidRPr="00FC3DB4" w:rsidRDefault="001E65DD" w:rsidP="001E65DD">
      <w:pPr>
        <w:pStyle w:val="SingleTxt"/>
        <w:spacing w:after="0" w:line="120" w:lineRule="exact"/>
        <w:rPr>
          <w:sz w:val="10"/>
        </w:rPr>
      </w:pPr>
    </w:p>
    <w:p w:rsidR="009C2EB9" w:rsidRPr="00FC3DB4" w:rsidRDefault="009C2EB9" w:rsidP="001E65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3DB4">
        <w:tab/>
      </w:r>
      <w:r w:rsidRPr="00FC3DB4">
        <w:tab/>
        <w:t xml:space="preserve">Conséquences de la définition de l’acier doux </w:t>
      </w:r>
      <w:r w:rsidR="001E65DD" w:rsidRPr="00FC3DB4">
        <w:br/>
      </w:r>
      <w:r w:rsidRPr="00FC3DB4">
        <w:t>pour les épreuves de la classe 7</w:t>
      </w:r>
    </w:p>
    <w:p w:rsidR="001E65DD" w:rsidRPr="00FC3DB4" w:rsidRDefault="001E65DD" w:rsidP="001E65DD">
      <w:pPr>
        <w:pStyle w:val="SingleTxt"/>
        <w:spacing w:after="0" w:line="120" w:lineRule="exact"/>
        <w:rPr>
          <w:sz w:val="10"/>
        </w:rPr>
      </w:pPr>
    </w:p>
    <w:p w:rsidR="001E65DD" w:rsidRPr="00FC3DB4" w:rsidRDefault="001E65DD" w:rsidP="001E65DD">
      <w:pPr>
        <w:pStyle w:val="SingleTxt"/>
        <w:spacing w:after="0" w:line="120" w:lineRule="exact"/>
        <w:rPr>
          <w:sz w:val="10"/>
        </w:rPr>
      </w:pPr>
    </w:p>
    <w:p w:rsidR="009C2EB9" w:rsidRPr="00FC3DB4" w:rsidRDefault="009C2EB9" w:rsidP="00EC70DB">
      <w:pPr>
        <w:pStyle w:val="SingleTxt"/>
        <w:numPr>
          <w:ilvl w:val="0"/>
          <w:numId w:val="10"/>
        </w:numPr>
        <w:tabs>
          <w:tab w:val="clear" w:pos="475"/>
          <w:tab w:val="num" w:pos="1742"/>
        </w:tabs>
        <w:ind w:left="1267"/>
      </w:pPr>
      <w:r w:rsidRPr="00FC3DB4">
        <w:t>Les experts ont également examiné les conséquences de l’application de la définition de l’acier doux pour les épreuves de la classe 7 (2.2.7.2.3.3.5, 6.4.17.2 et 6.4.20.2) dans lesquelles</w:t>
      </w:r>
      <w:r w:rsidR="00EB29A0">
        <w:t> </w:t>
      </w:r>
      <w:r w:rsidRPr="00FC3DB4">
        <w:t>: la plaque d’acier qui chute d’une hauteur de 9</w:t>
      </w:r>
      <w:r w:rsidR="001E65DD" w:rsidRPr="00FC3DB4">
        <w:t> </w:t>
      </w:r>
      <w:r w:rsidRPr="00FC3DB4">
        <w:t>m ou la barre qui tombe d’une hauteur de 3</w:t>
      </w:r>
      <w:r w:rsidR="001E65DD" w:rsidRPr="00FC3DB4">
        <w:t> </w:t>
      </w:r>
      <w:r w:rsidRPr="00FC3DB4">
        <w:t xml:space="preserve">m sur le spécimen et le cylindre qui frappe ce spécimen ou tombe sur lui sont en </w:t>
      </w:r>
      <w:r w:rsidR="00EB29A0">
        <w:t>acier doux.</w:t>
      </w:r>
    </w:p>
    <w:p w:rsidR="009C2EB9" w:rsidRPr="00FC3DB4" w:rsidRDefault="009C2EB9" w:rsidP="00EC70DB">
      <w:pPr>
        <w:pStyle w:val="SingleTxt"/>
        <w:numPr>
          <w:ilvl w:val="0"/>
          <w:numId w:val="10"/>
        </w:numPr>
        <w:tabs>
          <w:tab w:val="clear" w:pos="475"/>
          <w:tab w:val="num" w:pos="1742"/>
        </w:tabs>
        <w:ind w:left="1267"/>
      </w:pPr>
      <w:r w:rsidRPr="00FC3DB4">
        <w:t>Nous pensons que les outils en acier doux (plaques et barres) utilisés pour les épreuves décrites au paragraphe 2.2.7.2.3.3.5 et aux sections 6.4.17 et 6.4.20 doivent être avant tout solides. Ce point de vue sera communiqué Sous-Comité d’experts du transport des marchandises dangereuses.</w:t>
      </w:r>
    </w:p>
    <w:p w:rsidR="009C2EB9" w:rsidRPr="00FC3DB4" w:rsidRDefault="009C2EB9" w:rsidP="009C2EB9">
      <w:pPr>
        <w:pStyle w:val="SingleTxt"/>
      </w:pPr>
      <w:r w:rsidRPr="00FC3DB4">
        <w:t>Nous avons inclus dans la présente analyse les dispositions du Règlement de transport des matières radioactives (</w:t>
      </w:r>
      <w:r w:rsidR="00EB29A0">
        <w:t>éd.</w:t>
      </w:r>
      <w:r w:rsidRPr="00FC3DB4">
        <w:t xml:space="preserve"> de 2012), n</w:t>
      </w:r>
      <w:r w:rsidR="001E65DD" w:rsidRPr="00FC3DB4">
        <w:rPr>
          <w:vertAlign w:val="superscript"/>
        </w:rPr>
        <w:t>o</w:t>
      </w:r>
      <w:r w:rsidR="001E65DD" w:rsidRPr="00FC3DB4">
        <w:t> </w:t>
      </w:r>
      <w:r w:rsidRPr="00FC3DB4">
        <w:t>SSR-6, ainsi qu’un certain nombre de gui</w:t>
      </w:r>
      <w:r w:rsidR="001E65DD" w:rsidRPr="00FC3DB4">
        <w:t>des de sûreté, parmi lesquels :</w:t>
      </w:r>
    </w:p>
    <w:p w:rsidR="009C2EB9" w:rsidRPr="00656A9E" w:rsidRDefault="009C2EB9" w:rsidP="00B9072C">
      <w:pPr>
        <w:pStyle w:val="Bullet1"/>
        <w:ind w:left="1743" w:hanging="130"/>
        <w:rPr>
          <w:lang w:val="en-GB"/>
        </w:rPr>
      </w:pPr>
      <w:r w:rsidRPr="00656A9E">
        <w:rPr>
          <w:lang w:val="en-GB"/>
        </w:rPr>
        <w:t>Advisory Material for the IAEA Regulations for the Safe Transport of Radioactive Material, collection Normes de sûreté de l’AIEA n</w:t>
      </w:r>
      <w:r w:rsidR="001E65DD" w:rsidRPr="00656A9E">
        <w:rPr>
          <w:vertAlign w:val="superscript"/>
          <w:lang w:val="en-GB"/>
        </w:rPr>
        <w:t>o</w:t>
      </w:r>
      <w:r w:rsidR="001E65DD" w:rsidRPr="00656A9E">
        <w:rPr>
          <w:lang w:val="en-GB"/>
        </w:rPr>
        <w:t> </w:t>
      </w:r>
      <w:r w:rsidRPr="00656A9E">
        <w:rPr>
          <w:lang w:val="en-GB"/>
        </w:rPr>
        <w:t>TS-G-1.1 (Rev.1);</w:t>
      </w:r>
    </w:p>
    <w:p w:rsidR="009C2EB9" w:rsidRPr="00656A9E" w:rsidRDefault="009C2EB9" w:rsidP="00B9072C">
      <w:pPr>
        <w:pStyle w:val="Bullet1"/>
        <w:ind w:left="1743" w:hanging="130"/>
        <w:rPr>
          <w:lang w:val="en-GB"/>
        </w:rPr>
      </w:pPr>
      <w:r w:rsidRPr="00656A9E">
        <w:rPr>
          <w:lang w:val="en-GB"/>
        </w:rPr>
        <w:t xml:space="preserve">Planning and Preparing for Emergency Response to Transport Accidents </w:t>
      </w:r>
      <w:r w:rsidRPr="00656A9E">
        <w:rPr>
          <w:spacing w:val="-2"/>
          <w:lang w:val="en-GB"/>
        </w:rPr>
        <w:t xml:space="preserve">Involving Radioactive Material, Normes de sûreté de l’AIEA </w:t>
      </w:r>
      <w:r w:rsidR="001E65DD" w:rsidRPr="00656A9E">
        <w:rPr>
          <w:spacing w:val="-2"/>
          <w:lang w:val="en-GB"/>
        </w:rPr>
        <w:t>n</w:t>
      </w:r>
      <w:r w:rsidR="001E65DD" w:rsidRPr="00656A9E">
        <w:rPr>
          <w:spacing w:val="-2"/>
          <w:vertAlign w:val="superscript"/>
          <w:lang w:val="en-GB"/>
        </w:rPr>
        <w:t>o</w:t>
      </w:r>
      <w:r w:rsidR="001E65DD" w:rsidRPr="00656A9E">
        <w:rPr>
          <w:spacing w:val="-2"/>
          <w:lang w:val="en-GB"/>
        </w:rPr>
        <w:t> </w:t>
      </w:r>
      <w:r w:rsidRPr="00656A9E">
        <w:rPr>
          <w:spacing w:val="-2"/>
          <w:lang w:val="en-GB"/>
        </w:rPr>
        <w:t>TS-G-1.2 (ST-3);</w:t>
      </w:r>
    </w:p>
    <w:p w:rsidR="009C2EB9" w:rsidRPr="00FC3DB4" w:rsidRDefault="009C2EB9" w:rsidP="00B9072C">
      <w:pPr>
        <w:pStyle w:val="Bullet1"/>
        <w:ind w:left="1743" w:hanging="130"/>
      </w:pPr>
      <w:r w:rsidRPr="00FC3DB4">
        <w:t xml:space="preserve">Compliance Assurance for the </w:t>
      </w:r>
      <w:proofErr w:type="spellStart"/>
      <w:r w:rsidRPr="00FC3DB4">
        <w:t>Safe</w:t>
      </w:r>
      <w:proofErr w:type="spellEnd"/>
      <w:r w:rsidRPr="00FC3DB4">
        <w:t xml:space="preserve"> Transport of Radioactive </w:t>
      </w:r>
      <w:proofErr w:type="spellStart"/>
      <w:r w:rsidRPr="00FC3DB4">
        <w:t>Material</w:t>
      </w:r>
      <w:proofErr w:type="spellEnd"/>
      <w:r w:rsidRPr="00FC3DB4">
        <w:t xml:space="preserve">, Normes de sûreté de l’AIEA </w:t>
      </w:r>
      <w:r w:rsidR="001E65DD" w:rsidRPr="00FC3DB4">
        <w:t>n</w:t>
      </w:r>
      <w:r w:rsidR="001E65DD" w:rsidRPr="00FC3DB4">
        <w:rPr>
          <w:vertAlign w:val="superscript"/>
        </w:rPr>
        <w:t>o</w:t>
      </w:r>
      <w:r w:rsidR="001E65DD" w:rsidRPr="00FC3DB4">
        <w:t> </w:t>
      </w:r>
      <w:r w:rsidRPr="00FC3DB4">
        <w:t>TS-G-1.5;</w:t>
      </w:r>
    </w:p>
    <w:p w:rsidR="009C2EB9" w:rsidRPr="00656A9E" w:rsidRDefault="009C2EB9" w:rsidP="001E65DD">
      <w:pPr>
        <w:pStyle w:val="Bullet1"/>
        <w:ind w:left="1743" w:hanging="130"/>
        <w:rPr>
          <w:lang w:val="en-GB"/>
        </w:rPr>
      </w:pPr>
      <w:r w:rsidRPr="00656A9E">
        <w:rPr>
          <w:lang w:val="en-GB"/>
        </w:rPr>
        <w:lastRenderedPageBreak/>
        <w:t xml:space="preserve">The Management System for the Safe Transport of Radioactive Material, Normes de sûreté de l’AIEA </w:t>
      </w:r>
      <w:r w:rsidR="001E65DD" w:rsidRPr="00656A9E">
        <w:rPr>
          <w:lang w:val="en-GB"/>
        </w:rPr>
        <w:t>n</w:t>
      </w:r>
      <w:r w:rsidR="001E65DD" w:rsidRPr="00656A9E">
        <w:rPr>
          <w:vertAlign w:val="superscript"/>
          <w:lang w:val="en-GB"/>
        </w:rPr>
        <w:t>o</w:t>
      </w:r>
      <w:r w:rsidR="001E65DD" w:rsidRPr="00656A9E">
        <w:rPr>
          <w:lang w:val="en-GB"/>
        </w:rPr>
        <w:t> </w:t>
      </w:r>
      <w:r w:rsidRPr="00656A9E">
        <w:rPr>
          <w:lang w:val="en-GB"/>
        </w:rPr>
        <w:t>TS-G-1.4; et</w:t>
      </w:r>
    </w:p>
    <w:p w:rsidR="009C2EB9" w:rsidRPr="00FC3DB4" w:rsidRDefault="009C2EB9" w:rsidP="00AE18B8">
      <w:pPr>
        <w:pStyle w:val="Bullet1"/>
        <w:ind w:left="1743" w:hanging="130"/>
      </w:pPr>
      <w:r w:rsidRPr="00FC3DB4">
        <w:t xml:space="preserve">Radiation Protection Programmes for the Transport of Radioactive </w:t>
      </w:r>
      <w:proofErr w:type="spellStart"/>
      <w:r w:rsidRPr="00FC3DB4">
        <w:t>Material</w:t>
      </w:r>
      <w:proofErr w:type="spellEnd"/>
      <w:r w:rsidRPr="00FC3DB4">
        <w:t xml:space="preserve">, Normes de sûreté de l’AIEA </w:t>
      </w:r>
      <w:r w:rsidR="001E65DD" w:rsidRPr="00FC3DB4">
        <w:t>n</w:t>
      </w:r>
      <w:r w:rsidR="001E65DD" w:rsidRPr="00FC3DB4">
        <w:rPr>
          <w:vertAlign w:val="superscript"/>
        </w:rPr>
        <w:t>o</w:t>
      </w:r>
      <w:r w:rsidR="001E65DD" w:rsidRPr="00FC3DB4">
        <w:t> </w:t>
      </w:r>
      <w:r w:rsidRPr="00FC3DB4">
        <w:t>TS-G-1.3.</w:t>
      </w:r>
    </w:p>
    <w:p w:rsidR="001E65DD" w:rsidRPr="00FC3DB4" w:rsidRDefault="001E65DD" w:rsidP="001E65DD">
      <w:pPr>
        <w:pStyle w:val="SingleTxt"/>
        <w:spacing w:after="0" w:line="120" w:lineRule="exact"/>
        <w:rPr>
          <w:sz w:val="10"/>
        </w:rPr>
      </w:pPr>
    </w:p>
    <w:p w:rsidR="001E65DD" w:rsidRPr="00FC3DB4" w:rsidRDefault="001E65DD" w:rsidP="001E65DD">
      <w:pPr>
        <w:pStyle w:val="SingleTxt"/>
        <w:spacing w:after="0" w:line="120" w:lineRule="exact"/>
        <w:rPr>
          <w:b/>
          <w:sz w:val="10"/>
        </w:rPr>
      </w:pPr>
    </w:p>
    <w:p w:rsidR="009C2EB9" w:rsidRPr="00FC3DB4" w:rsidRDefault="009C2EB9" w:rsidP="00AE18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3DB4">
        <w:tab/>
      </w:r>
      <w:r w:rsidRPr="00FC3DB4">
        <w:tab/>
        <w:t>Proposition 2</w:t>
      </w:r>
    </w:p>
    <w:p w:rsidR="001E65DD" w:rsidRPr="00FC3DB4" w:rsidRDefault="001E65DD" w:rsidP="001E65DD">
      <w:pPr>
        <w:pStyle w:val="SingleTxt"/>
        <w:spacing w:after="0" w:line="120" w:lineRule="exact"/>
        <w:rPr>
          <w:sz w:val="10"/>
        </w:rPr>
      </w:pPr>
    </w:p>
    <w:p w:rsidR="001E65DD" w:rsidRPr="00FC3DB4" w:rsidRDefault="001E65DD" w:rsidP="001E65DD">
      <w:pPr>
        <w:pStyle w:val="SingleTxt"/>
        <w:spacing w:after="0" w:line="120" w:lineRule="exact"/>
        <w:rPr>
          <w:sz w:val="10"/>
        </w:rPr>
      </w:pPr>
    </w:p>
    <w:p w:rsidR="009C2EB9" w:rsidRPr="00FC3DB4" w:rsidRDefault="009C2EB9" w:rsidP="00EC70DB">
      <w:pPr>
        <w:pStyle w:val="SingleTxt"/>
        <w:numPr>
          <w:ilvl w:val="0"/>
          <w:numId w:val="10"/>
        </w:numPr>
        <w:tabs>
          <w:tab w:val="clear" w:pos="475"/>
          <w:tab w:val="num" w:pos="1742"/>
        </w:tabs>
        <w:ind w:left="1267"/>
      </w:pPr>
      <w:r w:rsidRPr="00FC3DB4">
        <w:t>Afin d’améliorer la définition de l’acier doux, nous proposons d’analyser</w:t>
      </w:r>
      <w:r w:rsidR="001E65DD" w:rsidRPr="00FC3DB4">
        <w:t> </w:t>
      </w:r>
      <w:r w:rsidRPr="00FC3DB4">
        <w:t>:</w:t>
      </w:r>
    </w:p>
    <w:p w:rsidR="009C2EB9" w:rsidRPr="00FC3DB4" w:rsidRDefault="001E65DD" w:rsidP="001E65DD">
      <w:pPr>
        <w:pStyle w:val="Bullet1"/>
        <w:ind w:left="1743" w:hanging="130"/>
      </w:pPr>
      <w:r w:rsidRPr="00FC3DB4">
        <w:t>S</w:t>
      </w:r>
      <w:r w:rsidR="009C2EB9" w:rsidRPr="00FC3DB4">
        <w:t>i les limites de la résistance à la traction de l’acier doux correspondent aux dispositions des chapitres 2.7, 6.4, 6.7 et 6.8 du RID/ADR;</w:t>
      </w:r>
    </w:p>
    <w:p w:rsidR="009C2EB9" w:rsidRPr="00FC3DB4" w:rsidRDefault="001E65DD" w:rsidP="001E65DD">
      <w:pPr>
        <w:pStyle w:val="Bullet1"/>
        <w:ind w:left="1743" w:hanging="130"/>
      </w:pPr>
      <w:r w:rsidRPr="00FC3DB4">
        <w:t>S</w:t>
      </w:r>
      <w:r w:rsidR="009C2EB9" w:rsidRPr="00FC3DB4">
        <w:t>’il est important d’inclure la deuxième partie de la définition du chapitre 6.7 ou si elle peut rester sous forme de disposition indépendante en cas de besoin</w:t>
      </w:r>
      <w:r w:rsidRPr="00FC3DB4">
        <w:t>;</w:t>
      </w:r>
    </w:p>
    <w:p w:rsidR="00EF05CF" w:rsidRPr="00FC3DB4" w:rsidRDefault="001E65DD" w:rsidP="001E65DD">
      <w:pPr>
        <w:pStyle w:val="Bullet1"/>
        <w:ind w:left="1743" w:hanging="130"/>
      </w:pPr>
      <w:r w:rsidRPr="00FC3DB4">
        <w:t>S</w:t>
      </w:r>
      <w:r w:rsidR="009C2EB9" w:rsidRPr="00FC3DB4">
        <w:t xml:space="preserve">i les diverses </w:t>
      </w:r>
      <w:r w:rsidR="009C2EB9" w:rsidRPr="00FC3DB4">
        <w:rPr>
          <w:i/>
        </w:rPr>
        <w:t>résistances à la traction</w:t>
      </w:r>
      <w:r w:rsidR="009C2EB9" w:rsidRPr="00FC3DB4">
        <w:t xml:space="preserve"> et </w:t>
      </w:r>
      <w:r w:rsidR="009C2EB9" w:rsidRPr="00FC3DB4">
        <w:rPr>
          <w:i/>
        </w:rPr>
        <w:t>allongements à la rupture</w:t>
      </w:r>
      <w:r w:rsidR="009C2EB9" w:rsidRPr="00FC3DB4">
        <w:t xml:space="preserve"> peuvent être couverts par des termes génériques (on utilise par exemple dans la version anglaise du paragraphe 6.8.2.1.12 le terme </w:t>
      </w:r>
      <w:proofErr w:type="spellStart"/>
      <w:r w:rsidR="009C2EB9" w:rsidRPr="00FC3DB4">
        <w:rPr>
          <w:i/>
        </w:rPr>
        <w:t>determined</w:t>
      </w:r>
      <w:proofErr w:type="spellEnd"/>
      <w:r w:rsidR="009C2EB9" w:rsidRPr="00FC3DB4">
        <w:rPr>
          <w:i/>
        </w:rPr>
        <w:t xml:space="preserve"> </w:t>
      </w:r>
      <w:proofErr w:type="spellStart"/>
      <w:r w:rsidR="009C2EB9" w:rsidRPr="00FC3DB4">
        <w:rPr>
          <w:i/>
        </w:rPr>
        <w:t>tensile</w:t>
      </w:r>
      <w:proofErr w:type="spellEnd"/>
      <w:r w:rsidR="009C2EB9" w:rsidRPr="00FC3DB4">
        <w:rPr>
          <w:i/>
        </w:rPr>
        <w:t xml:space="preserve"> </w:t>
      </w:r>
      <w:proofErr w:type="spellStart"/>
      <w:r w:rsidR="009C2EB9" w:rsidRPr="00FC3DB4">
        <w:rPr>
          <w:i/>
        </w:rPr>
        <w:t>strength</w:t>
      </w:r>
      <w:proofErr w:type="spellEnd"/>
      <w:r w:rsidR="009C2EB9" w:rsidRPr="00FC3DB4">
        <w:t>). (Note du traducteur</w:t>
      </w:r>
      <w:r w:rsidR="00A23BFB" w:rsidRPr="00FC3DB4">
        <w:t> </w:t>
      </w:r>
      <w:r w:rsidR="009C2EB9" w:rsidRPr="00FC3DB4">
        <w:t>: cette remarque est sans objet en français).</w:t>
      </w:r>
    </w:p>
    <w:p w:rsidR="001E65DD" w:rsidRPr="00FC3DB4" w:rsidRDefault="001E65DD" w:rsidP="001E65DD">
      <w:pPr>
        <w:pStyle w:val="SingleTxt"/>
        <w:spacing w:after="0" w:line="240" w:lineRule="auto"/>
      </w:pPr>
      <w:r w:rsidRPr="00FC3DB4">
        <w:rPr>
          <w:noProof/>
          <w:w w:val="100"/>
          <w:lang w:val="en-GB" w:eastAsia="en-GB"/>
        </w:rPr>
        <mc:AlternateContent>
          <mc:Choice Requires="wps">
            <w:drawing>
              <wp:anchor distT="0" distB="0" distL="114300" distR="114300" simplePos="0" relativeHeight="251659264" behindDoc="0" locked="0" layoutInCell="1" allowOverlap="1" wp14:anchorId="7FFE84CE" wp14:editId="6239D2F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E65DD" w:rsidRPr="00FC3DB4" w:rsidSect="00BC72AD">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5T08:42:00Z" w:initials="Start">
    <w:p w:rsidR="00BC72AD" w:rsidRPr="00656A9E" w:rsidRDefault="00BC72AD">
      <w:pPr>
        <w:pStyle w:val="CommentText"/>
        <w:rPr>
          <w:lang w:val="en-GB"/>
        </w:rPr>
      </w:pPr>
      <w:r>
        <w:fldChar w:fldCharType="begin"/>
      </w:r>
      <w:r w:rsidRPr="00656A9E">
        <w:rPr>
          <w:rStyle w:val="CommentReference"/>
          <w:lang w:val="en-GB"/>
        </w:rPr>
        <w:instrText xml:space="preserve"> </w:instrText>
      </w:r>
      <w:r w:rsidRPr="00656A9E">
        <w:rPr>
          <w:lang w:val="en-GB"/>
        </w:rPr>
        <w:instrText>PAGE \# "'Page: '#'</w:instrText>
      </w:r>
      <w:r w:rsidRPr="00656A9E">
        <w:rPr>
          <w:lang w:val="en-GB"/>
        </w:rPr>
        <w:br/>
        <w:instrText>'"</w:instrText>
      </w:r>
      <w:r w:rsidRPr="00656A9E">
        <w:rPr>
          <w:rStyle w:val="CommentReference"/>
          <w:lang w:val="en-GB"/>
        </w:rPr>
        <w:instrText xml:space="preserve"> </w:instrText>
      </w:r>
      <w:r>
        <w:fldChar w:fldCharType="end"/>
      </w:r>
      <w:r>
        <w:rPr>
          <w:rStyle w:val="CommentReference"/>
        </w:rPr>
        <w:annotationRef/>
      </w:r>
      <w:r w:rsidRPr="00656A9E">
        <w:rPr>
          <w:lang w:val="en-GB"/>
        </w:rPr>
        <w:t>&lt;&lt;ODS JOB NO&gt;&gt;N1529074F&lt;&lt;ODS JOB NO&gt;&gt;</w:t>
      </w:r>
    </w:p>
    <w:p w:rsidR="00BC72AD" w:rsidRDefault="00BC72AD">
      <w:pPr>
        <w:pStyle w:val="CommentText"/>
      </w:pPr>
      <w:r>
        <w:t>&lt;&lt;ODS DOC SYMBOL1&gt;&gt;ECE/TRANS/WP.15/AC.1/2016/10&lt;&lt;ODS DOC SYMBOL1&gt;&gt;</w:t>
      </w:r>
    </w:p>
    <w:p w:rsidR="00BC72AD" w:rsidRDefault="00BC72A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21" w:rsidRDefault="002F3F21" w:rsidP="00F3330B">
      <w:pPr>
        <w:spacing w:line="240" w:lineRule="auto"/>
      </w:pPr>
      <w:r>
        <w:separator/>
      </w:r>
    </w:p>
  </w:endnote>
  <w:endnote w:type="continuationSeparator" w:id="0">
    <w:p w:rsidR="002F3F21" w:rsidRDefault="002F3F2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C72AD" w:rsidTr="00BC72AD">
      <w:trPr>
        <w:jc w:val="center"/>
      </w:trPr>
      <w:tc>
        <w:tcPr>
          <w:tcW w:w="5126" w:type="dxa"/>
          <w:shd w:val="clear" w:color="auto" w:fill="auto"/>
        </w:tcPr>
        <w:p w:rsidR="00BC72AD" w:rsidRPr="00BC72AD" w:rsidRDefault="00BC72AD" w:rsidP="00BC72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5D81">
            <w:rPr>
              <w:b w:val="0"/>
              <w:w w:val="103"/>
              <w:sz w:val="14"/>
            </w:rPr>
            <w:t>GE.15-22774</w:t>
          </w:r>
          <w:r>
            <w:rPr>
              <w:b w:val="0"/>
              <w:w w:val="103"/>
              <w:sz w:val="14"/>
            </w:rPr>
            <w:fldChar w:fldCharType="end"/>
          </w:r>
        </w:p>
      </w:tc>
      <w:tc>
        <w:tcPr>
          <w:tcW w:w="5127" w:type="dxa"/>
          <w:shd w:val="clear" w:color="auto" w:fill="auto"/>
        </w:tcPr>
        <w:p w:rsidR="00BC72AD" w:rsidRPr="00BC72AD" w:rsidRDefault="00BC72AD" w:rsidP="00BC72AD">
          <w:pPr>
            <w:pStyle w:val="Footer"/>
            <w:rPr>
              <w:w w:val="103"/>
            </w:rPr>
          </w:pPr>
          <w:r>
            <w:rPr>
              <w:w w:val="103"/>
            </w:rPr>
            <w:fldChar w:fldCharType="begin"/>
          </w:r>
          <w:r>
            <w:rPr>
              <w:w w:val="103"/>
            </w:rPr>
            <w:instrText xml:space="preserve"> PAGE  \* Arabic  \* MERGEFORMAT </w:instrText>
          </w:r>
          <w:r>
            <w:rPr>
              <w:w w:val="103"/>
            </w:rPr>
            <w:fldChar w:fldCharType="separate"/>
          </w:r>
          <w:r w:rsidR="00DC5D81">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D81">
            <w:rPr>
              <w:noProof/>
              <w:w w:val="103"/>
            </w:rPr>
            <w:t>5</w:t>
          </w:r>
          <w:r>
            <w:rPr>
              <w:w w:val="103"/>
            </w:rPr>
            <w:fldChar w:fldCharType="end"/>
          </w:r>
        </w:p>
      </w:tc>
    </w:tr>
  </w:tbl>
  <w:p w:rsidR="00BC72AD" w:rsidRPr="00BC72AD" w:rsidRDefault="00BC72AD" w:rsidP="00BC7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C72AD" w:rsidTr="00BC72AD">
      <w:trPr>
        <w:jc w:val="center"/>
      </w:trPr>
      <w:tc>
        <w:tcPr>
          <w:tcW w:w="5126" w:type="dxa"/>
          <w:shd w:val="clear" w:color="auto" w:fill="auto"/>
        </w:tcPr>
        <w:p w:rsidR="00BC72AD" w:rsidRPr="00BC72AD" w:rsidRDefault="00BC72AD" w:rsidP="00BC72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5D81">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D81">
            <w:rPr>
              <w:noProof/>
              <w:w w:val="103"/>
            </w:rPr>
            <w:t>5</w:t>
          </w:r>
          <w:r>
            <w:rPr>
              <w:w w:val="103"/>
            </w:rPr>
            <w:fldChar w:fldCharType="end"/>
          </w:r>
        </w:p>
      </w:tc>
      <w:tc>
        <w:tcPr>
          <w:tcW w:w="5127" w:type="dxa"/>
          <w:shd w:val="clear" w:color="auto" w:fill="auto"/>
        </w:tcPr>
        <w:p w:rsidR="00BC72AD" w:rsidRPr="00BC72AD" w:rsidRDefault="00BC72AD" w:rsidP="00BC72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5D81">
            <w:rPr>
              <w:b w:val="0"/>
              <w:w w:val="103"/>
              <w:sz w:val="14"/>
            </w:rPr>
            <w:t>GE.15-22774</w:t>
          </w:r>
          <w:r>
            <w:rPr>
              <w:b w:val="0"/>
              <w:w w:val="103"/>
              <w:sz w:val="14"/>
            </w:rPr>
            <w:fldChar w:fldCharType="end"/>
          </w:r>
        </w:p>
      </w:tc>
    </w:tr>
  </w:tbl>
  <w:p w:rsidR="00BC72AD" w:rsidRPr="00BC72AD" w:rsidRDefault="00BC72AD" w:rsidP="00BC7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D" w:rsidRDefault="00BC72AD">
    <w:pPr>
      <w:pStyle w:val="Footer"/>
    </w:pPr>
    <w:r>
      <w:rPr>
        <w:noProof/>
        <w:lang w:val="en-GB" w:eastAsia="en-GB"/>
      </w:rPr>
      <w:drawing>
        <wp:anchor distT="0" distB="0" distL="114300" distR="114300" simplePos="0" relativeHeight="251658240" behindDoc="0" locked="0" layoutInCell="1" allowOverlap="1" wp14:anchorId="14F8E441" wp14:editId="2B5950E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C72AD" w:rsidTr="00BC72AD">
      <w:tc>
        <w:tcPr>
          <w:tcW w:w="3859" w:type="dxa"/>
        </w:tcPr>
        <w:p w:rsidR="00BC72AD" w:rsidRDefault="00BC72AD" w:rsidP="00BC72A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C5D81">
            <w:rPr>
              <w:b w:val="0"/>
              <w:sz w:val="20"/>
            </w:rPr>
            <w:t>GE.15-22774 (F)</w:t>
          </w:r>
          <w:r>
            <w:rPr>
              <w:b w:val="0"/>
              <w:sz w:val="20"/>
            </w:rPr>
            <w:fldChar w:fldCharType="end"/>
          </w:r>
          <w:r>
            <w:rPr>
              <w:b w:val="0"/>
              <w:sz w:val="20"/>
            </w:rPr>
            <w:t xml:space="preserve">    1</w:t>
          </w:r>
          <w:r w:rsidR="00D40610">
            <w:rPr>
              <w:b w:val="0"/>
              <w:sz w:val="20"/>
            </w:rPr>
            <w:t>0</w:t>
          </w:r>
          <w:r>
            <w:rPr>
              <w:b w:val="0"/>
              <w:sz w:val="20"/>
            </w:rPr>
            <w:t>0216    150216</w:t>
          </w:r>
        </w:p>
        <w:p w:rsidR="00BC72AD" w:rsidRPr="00BC72AD" w:rsidRDefault="00BC72AD" w:rsidP="00BC72A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C5D81">
            <w:rPr>
              <w:rFonts w:ascii="Barcode 3 of 9 by request" w:hAnsi="Barcode 3 of 9 by request"/>
              <w:b w:val="0"/>
              <w:spacing w:val="0"/>
              <w:w w:val="100"/>
              <w:sz w:val="24"/>
            </w:rPr>
            <w:t>*1522774*</w:t>
          </w:r>
          <w:r>
            <w:rPr>
              <w:rFonts w:ascii="Barcode 3 of 9 by request" w:hAnsi="Barcode 3 of 9 by request"/>
              <w:b w:val="0"/>
              <w:spacing w:val="0"/>
              <w:w w:val="100"/>
              <w:sz w:val="24"/>
            </w:rPr>
            <w:fldChar w:fldCharType="end"/>
          </w:r>
        </w:p>
      </w:tc>
      <w:tc>
        <w:tcPr>
          <w:tcW w:w="5127" w:type="dxa"/>
        </w:tcPr>
        <w:p w:rsidR="00BC72AD" w:rsidRDefault="00BC72AD" w:rsidP="00BC72AD">
          <w:pPr>
            <w:pStyle w:val="Footer"/>
            <w:spacing w:line="240" w:lineRule="atLeast"/>
            <w:jc w:val="right"/>
            <w:rPr>
              <w:b w:val="0"/>
              <w:sz w:val="20"/>
            </w:rPr>
          </w:pPr>
          <w:r>
            <w:rPr>
              <w:b w:val="0"/>
              <w:noProof/>
              <w:sz w:val="20"/>
              <w:lang w:val="en-GB" w:eastAsia="en-GB"/>
            </w:rPr>
            <w:drawing>
              <wp:inline distT="0" distB="0" distL="0" distR="0" wp14:anchorId="1C828099" wp14:editId="558C21A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C72AD" w:rsidRPr="00BC72AD" w:rsidRDefault="00BC72AD" w:rsidP="00BC72A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21" w:rsidRPr="00D40610" w:rsidRDefault="00D40610" w:rsidP="00D40610">
      <w:pPr>
        <w:pStyle w:val="Footer"/>
        <w:spacing w:after="80"/>
        <w:ind w:left="792"/>
        <w:rPr>
          <w:sz w:val="16"/>
        </w:rPr>
      </w:pPr>
      <w:r w:rsidRPr="00D40610">
        <w:rPr>
          <w:sz w:val="16"/>
        </w:rPr>
        <w:t>__________________</w:t>
      </w:r>
    </w:p>
  </w:footnote>
  <w:footnote w:type="continuationSeparator" w:id="0">
    <w:p w:rsidR="002F3F21" w:rsidRPr="00D40610" w:rsidRDefault="00D40610" w:rsidP="00D40610">
      <w:pPr>
        <w:pStyle w:val="Footer"/>
        <w:spacing w:after="80"/>
        <w:ind w:left="792"/>
        <w:rPr>
          <w:sz w:val="16"/>
        </w:rPr>
      </w:pPr>
      <w:r w:rsidRPr="00D40610">
        <w:rPr>
          <w:sz w:val="16"/>
        </w:rPr>
        <w:t>__________________</w:t>
      </w:r>
    </w:p>
  </w:footnote>
  <w:footnote w:id="1">
    <w:p w:rsidR="00D40610" w:rsidRPr="009336F0" w:rsidRDefault="00D40610" w:rsidP="00D40610">
      <w:pPr>
        <w:pStyle w:val="FootnoteText"/>
        <w:tabs>
          <w:tab w:val="right" w:pos="1195"/>
          <w:tab w:val="left" w:pos="1267"/>
          <w:tab w:val="left" w:pos="1742"/>
          <w:tab w:val="left" w:pos="2218"/>
          <w:tab w:val="left" w:pos="2693"/>
        </w:tabs>
        <w:ind w:left="1267" w:right="1260" w:hanging="432"/>
        <w:jc w:val="both"/>
      </w:pPr>
      <w:r>
        <w:tab/>
      </w:r>
      <w:r w:rsidRPr="00D40610">
        <w:rPr>
          <w:rStyle w:val="FootnoteReference"/>
        </w:rPr>
        <w:footnoteRef/>
      </w:r>
      <w:r w:rsidRPr="009336F0">
        <w:tab/>
        <w:t>Conformément au projet de programme de travail du Comité des transports intérieurs pour la période 2016-2017 (ECE/TRANS/WP.15/2015/19 (9.2)).</w:t>
      </w:r>
    </w:p>
  </w:footnote>
  <w:footnote w:id="2">
    <w:p w:rsidR="00D40610" w:rsidRPr="009336F0" w:rsidRDefault="00D40610" w:rsidP="00D40610">
      <w:pPr>
        <w:pStyle w:val="FootnoteText"/>
        <w:tabs>
          <w:tab w:val="right" w:pos="1195"/>
          <w:tab w:val="left" w:pos="1267"/>
          <w:tab w:val="left" w:pos="1742"/>
          <w:tab w:val="left" w:pos="2218"/>
          <w:tab w:val="left" w:pos="2693"/>
        </w:tabs>
        <w:ind w:left="1267" w:right="1260" w:hanging="432"/>
        <w:jc w:val="both"/>
      </w:pPr>
      <w:r>
        <w:tab/>
      </w:r>
      <w:r>
        <w:rPr>
          <w:rStyle w:val="FootnoteReference"/>
        </w:rPr>
        <w:footnoteRef/>
      </w:r>
      <w:r w:rsidRPr="009336F0">
        <w:tab/>
        <w:t>Diffusée par l’Organisation intergouvernementale pour les transports internationaux ferroviaires (OTIF) sous la cote OTIF/RID/RC/2016/10.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C72AD" w:rsidTr="00BC72AD">
      <w:trPr>
        <w:trHeight w:hRule="exact" w:val="864"/>
        <w:jc w:val="center"/>
      </w:trPr>
      <w:tc>
        <w:tcPr>
          <w:tcW w:w="4882" w:type="dxa"/>
          <w:shd w:val="clear" w:color="auto" w:fill="auto"/>
          <w:vAlign w:val="bottom"/>
        </w:tcPr>
        <w:p w:rsidR="00BC72AD" w:rsidRPr="00BC72AD" w:rsidRDefault="00BC72AD" w:rsidP="00BC72A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C5D81">
            <w:rPr>
              <w:b/>
              <w:color w:val="000000"/>
            </w:rPr>
            <w:t>ECE/TRANS/WP.15/AC.1/2016/10</w:t>
          </w:r>
          <w:r>
            <w:rPr>
              <w:b/>
              <w:color w:val="000000"/>
            </w:rPr>
            <w:fldChar w:fldCharType="end"/>
          </w:r>
        </w:p>
      </w:tc>
      <w:tc>
        <w:tcPr>
          <w:tcW w:w="5127" w:type="dxa"/>
          <w:shd w:val="clear" w:color="auto" w:fill="auto"/>
          <w:vAlign w:val="bottom"/>
        </w:tcPr>
        <w:p w:rsidR="00BC72AD" w:rsidRDefault="00BC72AD" w:rsidP="00BC72AD">
          <w:pPr>
            <w:pStyle w:val="Header"/>
          </w:pPr>
        </w:p>
      </w:tc>
    </w:tr>
  </w:tbl>
  <w:p w:rsidR="00BC72AD" w:rsidRPr="00BC72AD" w:rsidRDefault="00BC72AD" w:rsidP="00BC72A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C72AD" w:rsidTr="00BC72AD">
      <w:trPr>
        <w:trHeight w:hRule="exact" w:val="864"/>
        <w:jc w:val="center"/>
      </w:trPr>
      <w:tc>
        <w:tcPr>
          <w:tcW w:w="4882" w:type="dxa"/>
          <w:shd w:val="clear" w:color="auto" w:fill="auto"/>
          <w:vAlign w:val="bottom"/>
        </w:tcPr>
        <w:p w:rsidR="00BC72AD" w:rsidRDefault="00BC72AD" w:rsidP="00BC72AD">
          <w:pPr>
            <w:pStyle w:val="Header"/>
          </w:pPr>
        </w:p>
      </w:tc>
      <w:tc>
        <w:tcPr>
          <w:tcW w:w="5127" w:type="dxa"/>
          <w:shd w:val="clear" w:color="auto" w:fill="auto"/>
          <w:vAlign w:val="bottom"/>
        </w:tcPr>
        <w:p w:rsidR="00BC72AD" w:rsidRPr="00BC72AD" w:rsidRDefault="00BC72AD" w:rsidP="00BC72A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C5D81">
            <w:rPr>
              <w:b/>
              <w:color w:val="000000"/>
            </w:rPr>
            <w:t>ECE/TRANS/WP.15/AC.1/2016/10</w:t>
          </w:r>
          <w:r>
            <w:rPr>
              <w:b/>
              <w:color w:val="000000"/>
            </w:rPr>
            <w:fldChar w:fldCharType="end"/>
          </w:r>
        </w:p>
      </w:tc>
    </w:tr>
  </w:tbl>
  <w:p w:rsidR="00BC72AD" w:rsidRPr="00BC72AD" w:rsidRDefault="00BC72AD" w:rsidP="00BC72A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C72AD" w:rsidTr="00BC72AD">
      <w:trPr>
        <w:trHeight w:hRule="exact" w:val="864"/>
      </w:trPr>
      <w:tc>
        <w:tcPr>
          <w:tcW w:w="1267" w:type="dxa"/>
          <w:tcBorders>
            <w:bottom w:val="single" w:sz="4" w:space="0" w:color="auto"/>
          </w:tcBorders>
          <w:shd w:val="clear" w:color="auto" w:fill="auto"/>
          <w:vAlign w:val="bottom"/>
        </w:tcPr>
        <w:p w:rsidR="00BC72AD" w:rsidRDefault="00BC72AD" w:rsidP="00BC72AD">
          <w:pPr>
            <w:pStyle w:val="Header"/>
            <w:spacing w:after="120"/>
          </w:pPr>
        </w:p>
      </w:tc>
      <w:tc>
        <w:tcPr>
          <w:tcW w:w="2059" w:type="dxa"/>
          <w:tcBorders>
            <w:bottom w:val="single" w:sz="4" w:space="0" w:color="auto"/>
          </w:tcBorders>
          <w:shd w:val="clear" w:color="auto" w:fill="auto"/>
          <w:vAlign w:val="bottom"/>
        </w:tcPr>
        <w:p w:rsidR="00BC72AD" w:rsidRPr="00BC72AD" w:rsidRDefault="00BC72AD" w:rsidP="00BC72A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C72AD" w:rsidRDefault="00BC72AD" w:rsidP="00BC72AD">
          <w:pPr>
            <w:pStyle w:val="Header"/>
            <w:spacing w:after="120"/>
          </w:pPr>
        </w:p>
      </w:tc>
      <w:tc>
        <w:tcPr>
          <w:tcW w:w="6653" w:type="dxa"/>
          <w:gridSpan w:val="4"/>
          <w:tcBorders>
            <w:bottom w:val="single" w:sz="4" w:space="0" w:color="auto"/>
          </w:tcBorders>
          <w:shd w:val="clear" w:color="auto" w:fill="auto"/>
          <w:vAlign w:val="bottom"/>
        </w:tcPr>
        <w:p w:rsidR="00BC72AD" w:rsidRPr="00BC72AD" w:rsidRDefault="00BC72AD" w:rsidP="00BC72AD">
          <w:pPr>
            <w:spacing w:after="80" w:line="240" w:lineRule="auto"/>
            <w:jc w:val="right"/>
            <w:rPr>
              <w:position w:val="-4"/>
            </w:rPr>
          </w:pPr>
          <w:r>
            <w:rPr>
              <w:position w:val="-4"/>
              <w:sz w:val="40"/>
            </w:rPr>
            <w:t>ECE</w:t>
          </w:r>
          <w:r>
            <w:rPr>
              <w:position w:val="-4"/>
            </w:rPr>
            <w:t>/TRANS/WP.15/AC.1/2016/10</w:t>
          </w:r>
        </w:p>
      </w:tc>
    </w:tr>
    <w:tr w:rsidR="00BC72AD" w:rsidRPr="00BC72AD" w:rsidTr="00BC72AD">
      <w:trPr>
        <w:gridAfter w:val="1"/>
        <w:wAfter w:w="18" w:type="dxa"/>
        <w:trHeight w:hRule="exact" w:val="2880"/>
      </w:trPr>
      <w:tc>
        <w:tcPr>
          <w:tcW w:w="1267" w:type="dxa"/>
          <w:tcBorders>
            <w:top w:val="single" w:sz="4" w:space="0" w:color="auto"/>
            <w:bottom w:val="single" w:sz="12" w:space="0" w:color="auto"/>
          </w:tcBorders>
          <w:shd w:val="clear" w:color="auto" w:fill="auto"/>
        </w:tcPr>
        <w:p w:rsidR="00BC72AD" w:rsidRPr="00BC72AD" w:rsidRDefault="00BC72AD" w:rsidP="00BC72AD">
          <w:pPr>
            <w:pStyle w:val="Header"/>
            <w:spacing w:before="120" w:line="240" w:lineRule="auto"/>
            <w:ind w:left="-72"/>
            <w:jc w:val="center"/>
          </w:pPr>
          <w:r>
            <w:t xml:space="preserve">  </w:t>
          </w:r>
          <w:r>
            <w:rPr>
              <w:noProof/>
              <w:lang w:val="en-GB" w:eastAsia="en-GB"/>
            </w:rPr>
            <w:drawing>
              <wp:inline distT="0" distB="0" distL="0" distR="0" wp14:anchorId="2A31C1F0" wp14:editId="51E9E4B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C72AD" w:rsidRPr="00BC72AD" w:rsidRDefault="00BC72AD" w:rsidP="00BC72A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C72AD" w:rsidRPr="00BC72AD" w:rsidRDefault="00BC72AD" w:rsidP="00BC72AD">
          <w:pPr>
            <w:pStyle w:val="Header"/>
            <w:spacing w:before="109"/>
          </w:pPr>
        </w:p>
      </w:tc>
      <w:tc>
        <w:tcPr>
          <w:tcW w:w="3280" w:type="dxa"/>
          <w:tcBorders>
            <w:top w:val="single" w:sz="4" w:space="0" w:color="auto"/>
            <w:bottom w:val="single" w:sz="12" w:space="0" w:color="auto"/>
          </w:tcBorders>
          <w:shd w:val="clear" w:color="auto" w:fill="auto"/>
        </w:tcPr>
        <w:p w:rsidR="00BC72AD" w:rsidRPr="00656A9E" w:rsidRDefault="00BC72AD" w:rsidP="00D40610">
          <w:pPr>
            <w:pStyle w:val="Distribution"/>
            <w:spacing w:line="240" w:lineRule="exact"/>
            <w:rPr>
              <w:color w:val="000000"/>
              <w:lang w:val="fr-CH"/>
            </w:rPr>
          </w:pPr>
          <w:proofErr w:type="spellStart"/>
          <w:r w:rsidRPr="00656A9E">
            <w:rPr>
              <w:color w:val="000000"/>
              <w:lang w:val="fr-CH"/>
            </w:rPr>
            <w:t>Distr</w:t>
          </w:r>
          <w:proofErr w:type="spellEnd"/>
          <w:r w:rsidRPr="00656A9E">
            <w:rPr>
              <w:color w:val="000000"/>
              <w:lang w:val="fr-CH"/>
            </w:rPr>
            <w:t>. générale</w:t>
          </w:r>
        </w:p>
        <w:p w:rsidR="00BC72AD" w:rsidRPr="00656A9E" w:rsidRDefault="00D40610" w:rsidP="00D40610">
          <w:pPr>
            <w:pStyle w:val="Publication"/>
            <w:spacing w:line="240" w:lineRule="exact"/>
            <w:rPr>
              <w:color w:val="000000"/>
              <w:lang w:val="fr-CH"/>
            </w:rPr>
          </w:pPr>
          <w:r w:rsidRPr="00656A9E">
            <w:rPr>
              <w:color w:val="000000"/>
              <w:lang w:val="fr-CH"/>
            </w:rPr>
            <w:t>23 décembre</w:t>
          </w:r>
          <w:r w:rsidR="00BC72AD" w:rsidRPr="00656A9E">
            <w:rPr>
              <w:color w:val="000000"/>
              <w:lang w:val="fr-CH"/>
            </w:rPr>
            <w:t xml:space="preserve"> 201</w:t>
          </w:r>
          <w:r w:rsidRPr="00656A9E">
            <w:rPr>
              <w:color w:val="000000"/>
              <w:lang w:val="fr-CH"/>
            </w:rPr>
            <w:t>5</w:t>
          </w:r>
        </w:p>
        <w:p w:rsidR="00BC72AD" w:rsidRPr="00656A9E" w:rsidRDefault="00BC72AD" w:rsidP="00D40610">
          <w:r w:rsidRPr="00656A9E">
            <w:t>Français</w:t>
          </w:r>
        </w:p>
        <w:p w:rsidR="00BC72AD" w:rsidRPr="00656A9E" w:rsidRDefault="00BC72AD" w:rsidP="00D40610">
          <w:pPr>
            <w:pStyle w:val="Original"/>
            <w:spacing w:line="240" w:lineRule="exact"/>
            <w:rPr>
              <w:color w:val="000000"/>
              <w:lang w:val="fr-CH"/>
            </w:rPr>
          </w:pPr>
          <w:r w:rsidRPr="00656A9E">
            <w:rPr>
              <w:color w:val="000000"/>
              <w:lang w:val="fr-CH"/>
            </w:rPr>
            <w:t>Original : anglais</w:t>
          </w:r>
        </w:p>
      </w:tc>
    </w:tr>
  </w:tbl>
  <w:p w:rsidR="00BC72AD" w:rsidRPr="00656A9E" w:rsidRDefault="00BC72AD" w:rsidP="00BC72A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A3B2307"/>
    <w:multiLevelType w:val="hybridMultilevel"/>
    <w:tmpl w:val="093E140C"/>
    <w:lvl w:ilvl="0" w:tplc="D51878A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D3C4E"/>
    <w:multiLevelType w:val="singleLevel"/>
    <w:tmpl w:val="1FB606B4"/>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6B4E5B29"/>
    <w:multiLevelType w:val="singleLevel"/>
    <w:tmpl w:val="1FB606B4"/>
    <w:lvl w:ilvl="0">
      <w:start w:val="1"/>
      <w:numFmt w:val="decimal"/>
      <w:lvlRestart w:val="0"/>
      <w:lvlText w:val="%1."/>
      <w:lvlJc w:val="left"/>
      <w:pPr>
        <w:tabs>
          <w:tab w:val="num" w:pos="475"/>
        </w:tabs>
        <w:ind w:left="0" w:firstLine="0"/>
      </w:pPr>
      <w:rPr>
        <w:w w:val="100"/>
      </w:rPr>
    </w:lvl>
  </w:abstractNum>
  <w:abstractNum w:abstractNumId="9">
    <w:nsid w:val="71E66751"/>
    <w:multiLevelType w:val="hybridMultilevel"/>
    <w:tmpl w:val="CB923C00"/>
    <w:lvl w:ilvl="0" w:tplc="6A3AAC24">
      <w:start w:val="1"/>
      <w:numFmt w:val="bullet"/>
      <w:lvlText w:val="−"/>
      <w:lvlJc w:val="left"/>
      <w:pPr>
        <w:ind w:left="1854" w:hanging="360"/>
      </w:pPr>
      <w:rPr>
        <w:rFonts w:ascii="Times New Roman" w:hAnsi="Times New Roman" w:cs="Times New Roman"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9"/>
  </w:num>
  <w:num w:numId="8">
    <w:abstractNumId w:val="5"/>
  </w:num>
  <w:num w:numId="9">
    <w:abstractNumId w:val="1"/>
  </w:num>
  <w:num w:numId="10">
    <w:abstractNumId w:val="8"/>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74*"/>
    <w:docVar w:name="CreationDt" w:val="2/15/2016 8:41: AM"/>
    <w:docVar w:name="DocCategory" w:val="Doc"/>
    <w:docVar w:name="DocType" w:val="Final"/>
    <w:docVar w:name="DutyStation" w:val="Geneva"/>
    <w:docVar w:name="FooterJN" w:val="GE.15-22774"/>
    <w:docVar w:name="jobn" w:val="GE.15-22774 (F)"/>
    <w:docVar w:name="jobnDT" w:val="GE.15-22774 (F)   150216"/>
    <w:docVar w:name="jobnDTDT" w:val="GE.15-22774 (F)   150216   150216"/>
    <w:docVar w:name="JobNo" w:val="GE.1522774F"/>
    <w:docVar w:name="JobNo2" w:val="GE.1529074F"/>
    <w:docVar w:name="LocalDrive" w:val="0"/>
    <w:docVar w:name="OandT" w:val="C. ROBERT"/>
    <w:docVar w:name="PaperSize" w:val="A4"/>
    <w:docVar w:name="sss1" w:val="ECE/TRANS/WP.15/AC.1/2016/10"/>
    <w:docVar w:name="sss2" w:val="-"/>
    <w:docVar w:name="Symbol1" w:val="ECE/TRANS/WP.15/AC.1/2016/10"/>
    <w:docVar w:name="Symbol2" w:val="-"/>
  </w:docVars>
  <w:rsids>
    <w:rsidRoot w:val="002F3F2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752"/>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E1B"/>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E65DD"/>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3F21"/>
    <w:rsid w:val="002F5482"/>
    <w:rsid w:val="002F5972"/>
    <w:rsid w:val="00303A3C"/>
    <w:rsid w:val="00303D82"/>
    <w:rsid w:val="00303E4E"/>
    <w:rsid w:val="003047D2"/>
    <w:rsid w:val="00306DE1"/>
    <w:rsid w:val="0030788D"/>
    <w:rsid w:val="00316628"/>
    <w:rsid w:val="00316B58"/>
    <w:rsid w:val="003206B1"/>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5DB"/>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7EE5"/>
    <w:rsid w:val="004F1F9F"/>
    <w:rsid w:val="004F2765"/>
    <w:rsid w:val="004F5238"/>
    <w:rsid w:val="004F53F0"/>
    <w:rsid w:val="004F69D3"/>
    <w:rsid w:val="004F6B7C"/>
    <w:rsid w:val="005049A9"/>
    <w:rsid w:val="00505F1C"/>
    <w:rsid w:val="0050603C"/>
    <w:rsid w:val="00506B44"/>
    <w:rsid w:val="005100BC"/>
    <w:rsid w:val="005103A2"/>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206D"/>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A9E"/>
    <w:rsid w:val="00656E62"/>
    <w:rsid w:val="006573FC"/>
    <w:rsid w:val="00660D00"/>
    <w:rsid w:val="00662686"/>
    <w:rsid w:val="00665605"/>
    <w:rsid w:val="00665692"/>
    <w:rsid w:val="006660B5"/>
    <w:rsid w:val="00671687"/>
    <w:rsid w:val="00673F2C"/>
    <w:rsid w:val="00675A53"/>
    <w:rsid w:val="006770E8"/>
    <w:rsid w:val="006803F5"/>
    <w:rsid w:val="006808E9"/>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3DA"/>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9C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2EB9"/>
    <w:rsid w:val="009C5249"/>
    <w:rsid w:val="009C70D0"/>
    <w:rsid w:val="009C7F1B"/>
    <w:rsid w:val="009D5A2E"/>
    <w:rsid w:val="009D702B"/>
    <w:rsid w:val="009E0573"/>
    <w:rsid w:val="009E06DE"/>
    <w:rsid w:val="009E09FA"/>
    <w:rsid w:val="009E246F"/>
    <w:rsid w:val="009E72A1"/>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3BFB"/>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37CE"/>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18B8"/>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82B"/>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072C"/>
    <w:rsid w:val="00B913B0"/>
    <w:rsid w:val="00B932C8"/>
    <w:rsid w:val="00B93B31"/>
    <w:rsid w:val="00B9457F"/>
    <w:rsid w:val="00B965BF"/>
    <w:rsid w:val="00BA06B1"/>
    <w:rsid w:val="00BA3125"/>
    <w:rsid w:val="00BA3654"/>
    <w:rsid w:val="00BA600B"/>
    <w:rsid w:val="00BC05C8"/>
    <w:rsid w:val="00BC0F9A"/>
    <w:rsid w:val="00BC3D5F"/>
    <w:rsid w:val="00BC43E2"/>
    <w:rsid w:val="00BC72AD"/>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0BA"/>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7E60"/>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5FFA"/>
    <w:rsid w:val="00D16823"/>
    <w:rsid w:val="00D16F48"/>
    <w:rsid w:val="00D17215"/>
    <w:rsid w:val="00D250AB"/>
    <w:rsid w:val="00D265B2"/>
    <w:rsid w:val="00D26BA6"/>
    <w:rsid w:val="00D27D4B"/>
    <w:rsid w:val="00D301BE"/>
    <w:rsid w:val="00D320C3"/>
    <w:rsid w:val="00D33B40"/>
    <w:rsid w:val="00D35146"/>
    <w:rsid w:val="00D3596F"/>
    <w:rsid w:val="00D40610"/>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81"/>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29A0"/>
    <w:rsid w:val="00EB377B"/>
    <w:rsid w:val="00EB4086"/>
    <w:rsid w:val="00EB40A8"/>
    <w:rsid w:val="00EB4EB6"/>
    <w:rsid w:val="00EB535D"/>
    <w:rsid w:val="00EB5CD2"/>
    <w:rsid w:val="00EC34E0"/>
    <w:rsid w:val="00EC5385"/>
    <w:rsid w:val="00EC5430"/>
    <w:rsid w:val="00EC60B6"/>
    <w:rsid w:val="00EC6373"/>
    <w:rsid w:val="00EC70DB"/>
    <w:rsid w:val="00EC7853"/>
    <w:rsid w:val="00ED047D"/>
    <w:rsid w:val="00ED0A59"/>
    <w:rsid w:val="00ED297E"/>
    <w:rsid w:val="00ED4626"/>
    <w:rsid w:val="00ED5B3C"/>
    <w:rsid w:val="00ED732D"/>
    <w:rsid w:val="00ED7BC4"/>
    <w:rsid w:val="00EE104D"/>
    <w:rsid w:val="00EE5F6D"/>
    <w:rsid w:val="00EF05CF"/>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881"/>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3DB4"/>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H"/>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C72AD"/>
    <w:rPr>
      <w:sz w:val="16"/>
      <w:szCs w:val="16"/>
    </w:rPr>
  </w:style>
  <w:style w:type="paragraph" w:styleId="CommentText">
    <w:name w:val="annotation text"/>
    <w:basedOn w:val="Normal"/>
    <w:link w:val="CommentTextChar"/>
    <w:uiPriority w:val="99"/>
    <w:semiHidden/>
    <w:unhideWhenUsed/>
    <w:rsid w:val="00BC72AD"/>
    <w:pPr>
      <w:spacing w:line="240" w:lineRule="auto"/>
    </w:pPr>
    <w:rPr>
      <w:szCs w:val="20"/>
    </w:rPr>
  </w:style>
  <w:style w:type="character" w:customStyle="1" w:styleId="CommentTextChar">
    <w:name w:val="Comment Text Char"/>
    <w:basedOn w:val="DefaultParagraphFont"/>
    <w:link w:val="CommentText"/>
    <w:uiPriority w:val="99"/>
    <w:semiHidden/>
    <w:rsid w:val="00BC72A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C72AD"/>
    <w:rPr>
      <w:b/>
      <w:bCs/>
    </w:rPr>
  </w:style>
  <w:style w:type="character" w:customStyle="1" w:styleId="CommentSubjectChar">
    <w:name w:val="Comment Subject Char"/>
    <w:basedOn w:val="CommentTextChar"/>
    <w:link w:val="CommentSubject"/>
    <w:uiPriority w:val="99"/>
    <w:semiHidden/>
    <w:rsid w:val="00BC72AD"/>
    <w:rPr>
      <w:rFonts w:ascii="Times New Roman" w:hAnsi="Times New Roman"/>
      <w:b/>
      <w:bCs/>
      <w:spacing w:val="4"/>
      <w:w w:val="103"/>
      <w:kern w:val="14"/>
      <w:lang w:val="fr-CA"/>
    </w:rPr>
  </w:style>
  <w:style w:type="paragraph" w:customStyle="1" w:styleId="Bullet1G">
    <w:name w:val="_Bullet 1_G"/>
    <w:basedOn w:val="Normal"/>
    <w:qFormat/>
    <w:rsid w:val="00D4061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H"/>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C72AD"/>
    <w:rPr>
      <w:sz w:val="16"/>
      <w:szCs w:val="16"/>
    </w:rPr>
  </w:style>
  <w:style w:type="paragraph" w:styleId="CommentText">
    <w:name w:val="annotation text"/>
    <w:basedOn w:val="Normal"/>
    <w:link w:val="CommentTextChar"/>
    <w:uiPriority w:val="99"/>
    <w:semiHidden/>
    <w:unhideWhenUsed/>
    <w:rsid w:val="00BC72AD"/>
    <w:pPr>
      <w:spacing w:line="240" w:lineRule="auto"/>
    </w:pPr>
    <w:rPr>
      <w:szCs w:val="20"/>
    </w:rPr>
  </w:style>
  <w:style w:type="character" w:customStyle="1" w:styleId="CommentTextChar">
    <w:name w:val="Comment Text Char"/>
    <w:basedOn w:val="DefaultParagraphFont"/>
    <w:link w:val="CommentText"/>
    <w:uiPriority w:val="99"/>
    <w:semiHidden/>
    <w:rsid w:val="00BC72A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C72AD"/>
    <w:rPr>
      <w:b/>
      <w:bCs/>
    </w:rPr>
  </w:style>
  <w:style w:type="character" w:customStyle="1" w:styleId="CommentSubjectChar">
    <w:name w:val="Comment Subject Char"/>
    <w:basedOn w:val="CommentTextChar"/>
    <w:link w:val="CommentSubject"/>
    <w:uiPriority w:val="99"/>
    <w:semiHidden/>
    <w:rsid w:val="00BC72AD"/>
    <w:rPr>
      <w:rFonts w:ascii="Times New Roman" w:hAnsi="Times New Roman"/>
      <w:b/>
      <w:bCs/>
      <w:spacing w:val="4"/>
      <w:w w:val="103"/>
      <w:kern w:val="14"/>
      <w:lang w:val="fr-CA"/>
    </w:rPr>
  </w:style>
  <w:style w:type="paragraph" w:customStyle="1" w:styleId="Bullet1G">
    <w:name w:val="_Bullet 1_G"/>
    <w:basedOn w:val="Normal"/>
    <w:qFormat/>
    <w:rsid w:val="00D4061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951A-AA58-4893-840F-D1F7ABCC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barrio-champeau</cp:lastModifiedBy>
  <cp:revision>3</cp:revision>
  <cp:lastPrinted>2016-02-15T10:39:00Z</cp:lastPrinted>
  <dcterms:created xsi:type="dcterms:W3CDTF">2016-02-15T10:39:00Z</dcterms:created>
  <dcterms:modified xsi:type="dcterms:W3CDTF">2016-02-15T10:39:00Z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1522774F</vt:lpwstr>
  </property>
  <property fmtid="{D5CDD505-2E9C-101B-9397-08002B2CF9AE}" pid="3" name="ODSRefJobNo">
    <vt:lpwstr>1529074F</vt:lpwstr>
  </property>
  <property fmtid="{D5CDD505-2E9C-101B-9397-08002B2CF9AE}" pid="4" name="Symbol1">
    <vt:lpwstr>ECE/TRANS/WP.15/AC.1/2016/10</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février 2016</vt:lpwstr>
  </property>
  <property fmtid="{D5CDD505-2E9C-101B-9397-08002B2CF9AE}" pid="12" name="Original">
    <vt:lpwstr>anglais</vt:lpwstr>
  </property>
  <property fmtid="{D5CDD505-2E9C-101B-9397-08002B2CF9AE}" pid="13" name="Release Date">
    <vt:lpwstr>150216</vt:lpwstr>
  </property>
</Properties>
</file>