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C6983" w:rsidP="00547B88">
            <w:pPr>
              <w:jc w:val="right"/>
            </w:pPr>
            <w:r w:rsidRPr="002C6983">
              <w:rPr>
                <w:sz w:val="40"/>
              </w:rPr>
              <w:t>ECE</w:t>
            </w:r>
            <w:r>
              <w:t>/TRANS/WP.15/AC.1/142/Add.2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14:anchorId="639A2A52" wp14:editId="2C567F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2C6983" w:rsidP="002C6983">
            <w:pPr>
              <w:spacing w:before="240" w:line="240" w:lineRule="exact"/>
            </w:pPr>
            <w:r>
              <w:t>Distr.: General</w:t>
            </w:r>
          </w:p>
          <w:p w:rsidR="002C6983" w:rsidRDefault="002C6983" w:rsidP="002C6983">
            <w:pPr>
              <w:spacing w:line="240" w:lineRule="exact"/>
            </w:pPr>
            <w:r>
              <w:t>1</w:t>
            </w:r>
            <w:r w:rsidR="00A25C54">
              <w:t>3</w:t>
            </w:r>
            <w:r>
              <w:t xml:space="preserve"> April 2016</w:t>
            </w:r>
          </w:p>
          <w:p w:rsidR="002C6983" w:rsidRDefault="00B77B54" w:rsidP="002C6983">
            <w:pPr>
              <w:spacing w:line="240" w:lineRule="exact"/>
            </w:pPr>
            <w:r>
              <w:t>English</w:t>
            </w:r>
          </w:p>
          <w:p w:rsidR="002C6983" w:rsidRDefault="002C6983" w:rsidP="002C6983">
            <w:pPr>
              <w:spacing w:line="240" w:lineRule="exact"/>
            </w:pPr>
            <w:r>
              <w:t>Original: English</w:t>
            </w:r>
            <w:r w:rsidR="00B77B54">
              <w:t xml:space="preserve"> and French</w:t>
            </w:r>
          </w:p>
        </w:tc>
      </w:tr>
    </w:tbl>
    <w:p w:rsidR="00B77B54" w:rsidRDefault="00B77B54" w:rsidP="00B77B54">
      <w:pPr>
        <w:spacing w:before="120"/>
        <w:rPr>
          <w:b/>
          <w:sz w:val="28"/>
          <w:szCs w:val="28"/>
        </w:rPr>
      </w:pPr>
      <w:r>
        <w:rPr>
          <w:b/>
          <w:sz w:val="28"/>
          <w:szCs w:val="28"/>
        </w:rPr>
        <w:t>Economic Commission for Europe</w:t>
      </w:r>
    </w:p>
    <w:p w:rsidR="00B77B54" w:rsidRDefault="00B77B54" w:rsidP="00B77B54">
      <w:pPr>
        <w:spacing w:before="120"/>
        <w:outlineLvl w:val="0"/>
        <w:rPr>
          <w:sz w:val="28"/>
          <w:szCs w:val="28"/>
        </w:rPr>
      </w:pPr>
      <w:r>
        <w:rPr>
          <w:sz w:val="28"/>
          <w:szCs w:val="28"/>
        </w:rPr>
        <w:t>Inland Transport Committee</w:t>
      </w:r>
    </w:p>
    <w:p w:rsidR="00B77B54" w:rsidRDefault="00B77B54" w:rsidP="00B77B54">
      <w:pPr>
        <w:spacing w:before="120"/>
        <w:outlineLvl w:val="0"/>
        <w:rPr>
          <w:b/>
          <w:sz w:val="24"/>
          <w:szCs w:val="24"/>
        </w:rPr>
      </w:pPr>
      <w:r>
        <w:rPr>
          <w:b/>
          <w:sz w:val="24"/>
          <w:szCs w:val="24"/>
        </w:rPr>
        <w:t>Working Party on the Transport of Dangerous Goods</w:t>
      </w:r>
    </w:p>
    <w:p w:rsidR="00B77B54" w:rsidRDefault="00B77B54" w:rsidP="00B77B54">
      <w:pPr>
        <w:spacing w:before="120"/>
        <w:rPr>
          <w:b/>
        </w:rPr>
      </w:pPr>
      <w:r>
        <w:rPr>
          <w:b/>
        </w:rPr>
        <w:t>Joint Meeting of the RID Committee of Experts and the</w:t>
      </w:r>
      <w:r>
        <w:rPr>
          <w:b/>
        </w:rPr>
        <w:br/>
        <w:t>Working Party on the Transport of Dangerous Goods</w:t>
      </w:r>
    </w:p>
    <w:p w:rsidR="00B77B54" w:rsidRDefault="00B77B54" w:rsidP="00B77B54">
      <w:pPr>
        <w:pStyle w:val="HChG"/>
      </w:pPr>
      <w:r>
        <w:tab/>
      </w:r>
      <w:r>
        <w:tab/>
        <w:t>Report of the Joint Meeting of the RID Committee of Experts and the Working Party on the Transport of Dangerous Goods on its spring 2016 session</w:t>
      </w:r>
      <w:r>
        <w:rPr>
          <w:rStyle w:val="FootnoteReference"/>
        </w:rPr>
        <w:footnoteReference w:id="2"/>
      </w:r>
    </w:p>
    <w:p w:rsidR="00B77B54" w:rsidRDefault="00B77B54" w:rsidP="00B77B54">
      <w:pPr>
        <w:pStyle w:val="H56G"/>
      </w:pPr>
      <w:r>
        <w:tab/>
      </w:r>
      <w:r>
        <w:tab/>
      </w:r>
      <w:proofErr w:type="gramStart"/>
      <w:r>
        <w:t>held</w:t>
      </w:r>
      <w:proofErr w:type="gramEnd"/>
      <w:r>
        <w:t xml:space="preserve"> in Bern from 14–18 March 2016</w:t>
      </w:r>
    </w:p>
    <w:p w:rsidR="00B77B54" w:rsidRPr="00A25C54" w:rsidRDefault="00B77B54" w:rsidP="00B77B54">
      <w:pPr>
        <w:pStyle w:val="H23G"/>
        <w:rPr>
          <w:lang w:val="fr-CH"/>
        </w:rPr>
      </w:pPr>
      <w:r>
        <w:tab/>
      </w:r>
      <w:r>
        <w:tab/>
      </w:r>
      <w:r w:rsidRPr="00A25C54">
        <w:rPr>
          <w:lang w:val="fr-CH"/>
        </w:rPr>
        <w:t>Addendum</w:t>
      </w:r>
      <w:r>
        <w:rPr>
          <w:rStyle w:val="FootnoteReference"/>
        </w:rPr>
        <w:footnoteReference w:id="3"/>
      </w:r>
    </w:p>
    <w:p w:rsidR="00A37BED" w:rsidRPr="00D3604F" w:rsidRDefault="00A37BED" w:rsidP="00A37BED">
      <w:pPr>
        <w:spacing w:after="60"/>
        <w:outlineLvl w:val="0"/>
        <w:rPr>
          <w:sz w:val="28"/>
          <w:lang w:val="fr-CH"/>
        </w:rPr>
      </w:pPr>
      <w:r w:rsidRPr="00A25C54">
        <w:rPr>
          <w:lang w:val="fr-CH"/>
        </w:rPr>
        <w:tab/>
      </w:r>
      <w:r w:rsidRPr="00D3604F">
        <w:rPr>
          <w:sz w:val="28"/>
          <w:lang w:val="fr-CH"/>
        </w:rPr>
        <w:t>Contents</w:t>
      </w:r>
    </w:p>
    <w:p w:rsidR="00A37BED" w:rsidRPr="00D3604F" w:rsidRDefault="00A37BED" w:rsidP="00A37BED">
      <w:pPr>
        <w:tabs>
          <w:tab w:val="right" w:pos="8929"/>
          <w:tab w:val="right" w:pos="9638"/>
        </w:tabs>
        <w:spacing w:after="120"/>
        <w:ind w:left="284"/>
        <w:rPr>
          <w:lang w:val="fr-CH"/>
        </w:rPr>
      </w:pPr>
      <w:r w:rsidRPr="00D3604F">
        <w:rPr>
          <w:i/>
          <w:sz w:val="18"/>
          <w:lang w:val="fr-CH"/>
        </w:rPr>
        <w:tab/>
      </w:r>
      <w:proofErr w:type="spellStart"/>
      <w:r w:rsidRPr="00D3604F">
        <w:rPr>
          <w:i/>
          <w:sz w:val="18"/>
          <w:lang w:val="fr-CH"/>
        </w:rPr>
        <w:t>Paragraphs</w:t>
      </w:r>
      <w:proofErr w:type="spellEnd"/>
      <w:r w:rsidRPr="00D3604F">
        <w:rPr>
          <w:i/>
          <w:sz w:val="18"/>
          <w:lang w:val="fr-CH"/>
        </w:rPr>
        <w:tab/>
        <w:t>Page</w:t>
      </w:r>
    </w:p>
    <w:p w:rsidR="00A37BED" w:rsidRPr="00A25C54" w:rsidRDefault="00A37BED" w:rsidP="00A37BED">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Pr="00D3604F">
        <w:rPr>
          <w:lang w:val="fr-CH"/>
        </w:rPr>
        <w:tab/>
      </w:r>
      <w:proofErr w:type="spellStart"/>
      <w:r w:rsidRPr="00A25C54">
        <w:rPr>
          <w:lang w:val="fr-CH"/>
        </w:rPr>
        <w:t>Annex</w:t>
      </w:r>
      <w:proofErr w:type="spellEnd"/>
      <w:r w:rsidRPr="00A25C54">
        <w:rPr>
          <w:lang w:val="fr-CH"/>
        </w:rPr>
        <w:t xml:space="preserve"> II</w:t>
      </w:r>
      <w:r w:rsidRPr="00A25C54">
        <w:rPr>
          <w:lang w:val="fr-CH"/>
        </w:rPr>
        <w:tab/>
      </w:r>
      <w:r w:rsidRPr="00A25C54">
        <w:rPr>
          <w:lang w:val="fr-CH"/>
        </w:rPr>
        <w:tab/>
      </w:r>
      <w:r w:rsidRPr="00A25C54">
        <w:rPr>
          <w:lang w:val="fr-CH"/>
        </w:rPr>
        <w:tab/>
      </w:r>
      <w:r w:rsidRPr="00A25C54">
        <w:rPr>
          <w:lang w:val="fr-CH"/>
        </w:rPr>
        <w:tab/>
        <w:t>2</w:t>
      </w:r>
    </w:p>
    <w:p w:rsidR="004E0DE6" w:rsidRPr="00A25C54" w:rsidRDefault="004E0DE6" w:rsidP="00A37BED">
      <w:pPr>
        <w:tabs>
          <w:tab w:val="right" w:pos="850"/>
          <w:tab w:val="left" w:pos="1134"/>
          <w:tab w:val="left" w:pos="1559"/>
          <w:tab w:val="left" w:pos="1984"/>
          <w:tab w:val="left" w:leader="dot" w:pos="7654"/>
          <w:tab w:val="right" w:pos="8929"/>
          <w:tab w:val="right" w:pos="9638"/>
        </w:tabs>
        <w:spacing w:after="120"/>
        <w:rPr>
          <w:lang w:val="fr-CH"/>
        </w:rPr>
      </w:pPr>
      <w:r w:rsidRPr="00A25C54">
        <w:rPr>
          <w:lang w:val="fr-CH"/>
        </w:rPr>
        <w:tab/>
      </w:r>
      <w:r w:rsidRPr="00A25C54">
        <w:rPr>
          <w:lang w:val="fr-CH"/>
        </w:rPr>
        <w:tab/>
      </w:r>
      <w:proofErr w:type="spellStart"/>
      <w:r w:rsidRPr="00A25C54">
        <w:rPr>
          <w:lang w:val="fr-CH"/>
        </w:rPr>
        <w:t>Annex</w:t>
      </w:r>
      <w:proofErr w:type="spellEnd"/>
      <w:r w:rsidRPr="00A25C54">
        <w:rPr>
          <w:lang w:val="fr-CH"/>
        </w:rPr>
        <w:t xml:space="preserve"> III</w:t>
      </w:r>
      <w:r w:rsidRPr="00A25C54">
        <w:rPr>
          <w:lang w:val="fr-CH"/>
        </w:rPr>
        <w:tab/>
      </w:r>
      <w:r w:rsidRPr="00A25C54">
        <w:rPr>
          <w:lang w:val="fr-CH"/>
        </w:rPr>
        <w:tab/>
      </w:r>
      <w:r w:rsidRPr="00A25C54">
        <w:rPr>
          <w:lang w:val="fr-CH"/>
        </w:rPr>
        <w:tab/>
      </w:r>
      <w:r w:rsidRPr="00A25C54">
        <w:rPr>
          <w:lang w:val="fr-CH"/>
        </w:rPr>
        <w:tab/>
        <w:t>8</w:t>
      </w:r>
    </w:p>
    <w:p w:rsidR="004E0DE6" w:rsidRPr="00A25C54" w:rsidRDefault="004E0DE6" w:rsidP="00A37BED">
      <w:pPr>
        <w:tabs>
          <w:tab w:val="right" w:pos="850"/>
          <w:tab w:val="left" w:pos="1134"/>
          <w:tab w:val="left" w:pos="1559"/>
          <w:tab w:val="left" w:pos="1984"/>
          <w:tab w:val="left" w:leader="dot" w:pos="7654"/>
          <w:tab w:val="right" w:pos="8929"/>
          <w:tab w:val="right" w:pos="9638"/>
        </w:tabs>
        <w:spacing w:after="120"/>
        <w:rPr>
          <w:lang w:val="fr-CH"/>
        </w:rPr>
      </w:pPr>
      <w:r w:rsidRPr="00A25C54">
        <w:rPr>
          <w:lang w:val="fr-CH"/>
        </w:rPr>
        <w:tab/>
      </w:r>
      <w:r w:rsidRPr="00A25C54">
        <w:rPr>
          <w:lang w:val="fr-CH"/>
        </w:rPr>
        <w:tab/>
      </w:r>
      <w:proofErr w:type="spellStart"/>
      <w:r w:rsidRPr="00A25C54">
        <w:rPr>
          <w:lang w:val="fr-CH"/>
        </w:rPr>
        <w:t>Annex</w:t>
      </w:r>
      <w:proofErr w:type="spellEnd"/>
      <w:r w:rsidRPr="00A25C54">
        <w:rPr>
          <w:lang w:val="fr-CH"/>
        </w:rPr>
        <w:t xml:space="preserve"> IV</w:t>
      </w:r>
      <w:r w:rsidRPr="00A25C54">
        <w:rPr>
          <w:lang w:val="fr-CH"/>
        </w:rPr>
        <w:tab/>
      </w:r>
      <w:r w:rsidRPr="00A25C54">
        <w:rPr>
          <w:lang w:val="fr-CH"/>
        </w:rPr>
        <w:tab/>
      </w:r>
      <w:r w:rsidRPr="00A25C54">
        <w:rPr>
          <w:lang w:val="fr-CH"/>
        </w:rPr>
        <w:tab/>
      </w:r>
      <w:r w:rsidRPr="00A25C54">
        <w:rPr>
          <w:lang w:val="fr-CH"/>
        </w:rPr>
        <w:tab/>
        <w:t>2</w:t>
      </w:r>
      <w:r w:rsidR="003F6A5E" w:rsidRPr="00A25C54">
        <w:rPr>
          <w:lang w:val="fr-CH"/>
        </w:rPr>
        <w:t>5</w:t>
      </w:r>
    </w:p>
    <w:p w:rsidR="009F409E" w:rsidRPr="00A25C54" w:rsidRDefault="009F409E" w:rsidP="00A37BED">
      <w:pPr>
        <w:suppressAutoHyphens w:val="0"/>
        <w:spacing w:line="240" w:lineRule="auto"/>
        <w:rPr>
          <w:b/>
          <w:sz w:val="28"/>
          <w:lang w:val="fr-CH"/>
        </w:rPr>
      </w:pPr>
      <w:r w:rsidRPr="00A25C54">
        <w:rPr>
          <w:lang w:val="fr-CH"/>
        </w:rPr>
        <w:br w:type="page"/>
      </w:r>
    </w:p>
    <w:p w:rsidR="009F409E" w:rsidRPr="00A25C54" w:rsidRDefault="009F409E" w:rsidP="009F409E">
      <w:pPr>
        <w:pStyle w:val="HChG"/>
        <w:rPr>
          <w:lang w:val="fr-CH"/>
        </w:rPr>
      </w:pPr>
      <w:proofErr w:type="spellStart"/>
      <w:r w:rsidRPr="00A25C54">
        <w:rPr>
          <w:lang w:val="fr-CH"/>
        </w:rPr>
        <w:lastRenderedPageBreak/>
        <w:t>Annex</w:t>
      </w:r>
      <w:proofErr w:type="spellEnd"/>
      <w:r w:rsidRPr="00A25C54">
        <w:rPr>
          <w:lang w:val="fr-CH"/>
        </w:rPr>
        <w:t xml:space="preserve"> II</w:t>
      </w:r>
    </w:p>
    <w:p w:rsidR="009F409E" w:rsidRDefault="009F409E" w:rsidP="009F409E">
      <w:pPr>
        <w:pStyle w:val="HChG"/>
      </w:pPr>
      <w:r w:rsidRPr="00A25C54">
        <w:rPr>
          <w:lang w:val="fr-CH"/>
        </w:rPr>
        <w:tab/>
      </w:r>
      <w:r w:rsidRPr="00A25C54">
        <w:rPr>
          <w:lang w:val="fr-CH"/>
        </w:rPr>
        <w:tab/>
      </w:r>
      <w:r>
        <w:t>Corrections to the draft amendments in ECE/TRANS/WP.15/231 and OTIF/RID/CE/GTP/2015/12</w:t>
      </w:r>
    </w:p>
    <w:p w:rsidR="009F409E" w:rsidRDefault="009F409E" w:rsidP="009F409E">
      <w:pPr>
        <w:pStyle w:val="H1G"/>
        <w:rPr>
          <w:sz w:val="20"/>
        </w:rPr>
      </w:pPr>
      <w:r>
        <w:rPr>
          <w:sz w:val="20"/>
        </w:rPr>
        <w:tab/>
      </w:r>
      <w:r>
        <w:rPr>
          <w:sz w:val="20"/>
        </w:rPr>
        <w:tab/>
        <w:t>(</w:t>
      </w:r>
      <w:proofErr w:type="gramStart"/>
      <w:r>
        <w:rPr>
          <w:sz w:val="20"/>
        </w:rPr>
        <w:t>ADR:</w:t>
      </w:r>
      <w:proofErr w:type="gramEnd"/>
      <w:r>
        <w:rPr>
          <w:sz w:val="20"/>
        </w:rPr>
        <w:t>) Amendment to Part 1, Chapter 1.1, first sentence of third paragraph of 1.1.3.3 (a)</w:t>
      </w:r>
    </w:p>
    <w:p w:rsidR="009F409E" w:rsidRDefault="009F409E" w:rsidP="009F409E">
      <w:pPr>
        <w:pStyle w:val="SingleTxtG"/>
      </w:pPr>
      <w:r>
        <w:rPr>
          <w:i/>
        </w:rPr>
        <w:t>Delete</w:t>
      </w:r>
    </w:p>
    <w:p w:rsidR="009F409E" w:rsidRDefault="009F409E" w:rsidP="009F409E">
      <w:pPr>
        <w:pStyle w:val="SingleTxtG"/>
        <w:ind w:left="0"/>
        <w:rPr>
          <w:i/>
        </w:rPr>
      </w:pPr>
      <w:r>
        <w:rPr>
          <w:i/>
        </w:rPr>
        <w:t>(Reference documents: ECE/TRANS/WP.15/AC.1/2016/16, informal documents INF.52 and INF.60)</w:t>
      </w:r>
    </w:p>
    <w:p w:rsidR="009F409E" w:rsidRDefault="009F409E" w:rsidP="009F409E">
      <w:pPr>
        <w:pStyle w:val="H1G"/>
        <w:rPr>
          <w:sz w:val="20"/>
        </w:rPr>
      </w:pPr>
      <w:r>
        <w:rPr>
          <w:sz w:val="20"/>
        </w:rPr>
        <w:tab/>
      </w:r>
      <w:r>
        <w:rPr>
          <w:sz w:val="20"/>
        </w:rPr>
        <w:tab/>
        <w:t>Amendments to Part 1, Chapter 1.6, 1.6.1.20, 1.6.1.28, 1.6.1.30, 1.6.1.31, 1.6.1.32</w:t>
      </w:r>
    </w:p>
    <w:p w:rsidR="009F409E" w:rsidRDefault="009F409E" w:rsidP="009F409E">
      <w:pPr>
        <w:pStyle w:val="SingleTxtG"/>
      </w:pPr>
      <w:r>
        <w:rPr>
          <w:i/>
        </w:rPr>
        <w:t xml:space="preserve">Delete </w:t>
      </w:r>
      <w:r>
        <w:t>1.6.10.30</w:t>
      </w:r>
    </w:p>
    <w:p w:rsidR="009F409E" w:rsidRDefault="009F409E" w:rsidP="009F409E">
      <w:pPr>
        <w:pStyle w:val="H1G"/>
        <w:rPr>
          <w:sz w:val="20"/>
        </w:rPr>
      </w:pPr>
      <w:r>
        <w:rPr>
          <w:sz w:val="20"/>
        </w:rPr>
        <w:tab/>
      </w:r>
      <w:r>
        <w:rPr>
          <w:sz w:val="20"/>
        </w:rPr>
        <w:tab/>
        <w:t>Amendments to Part 1, Chapter 1.6, new transitional measures 1.6.1.37 to 1.6.1.41</w:t>
      </w:r>
    </w:p>
    <w:p w:rsidR="009F409E" w:rsidRDefault="009F409E" w:rsidP="009F409E">
      <w:pPr>
        <w:pStyle w:val="SingleTxtG"/>
      </w:pPr>
      <w:r>
        <w:rPr>
          <w:i/>
        </w:rPr>
        <w:t xml:space="preserve">Renumber </w:t>
      </w:r>
      <w:r>
        <w:t>as transitional measures 1.6.1.38 to 1.6.1.42.</w:t>
      </w:r>
    </w:p>
    <w:p w:rsidR="009F409E" w:rsidRDefault="009F409E" w:rsidP="009F409E">
      <w:pPr>
        <w:pStyle w:val="H1G"/>
        <w:rPr>
          <w:sz w:val="20"/>
        </w:rPr>
      </w:pPr>
      <w:r>
        <w:rPr>
          <w:sz w:val="20"/>
        </w:rPr>
        <w:tab/>
      </w:r>
      <w:r>
        <w:rPr>
          <w:sz w:val="20"/>
        </w:rPr>
        <w:tab/>
        <w:t>(</w:t>
      </w:r>
      <w:proofErr w:type="gramStart"/>
      <w:r>
        <w:rPr>
          <w:sz w:val="20"/>
        </w:rPr>
        <w:t>ADR:</w:t>
      </w:r>
      <w:proofErr w:type="gramEnd"/>
      <w:r>
        <w:rPr>
          <w:sz w:val="20"/>
        </w:rPr>
        <w:t xml:space="preserve">) Amendments to Part 1, Chapter 1.8, 1.8.3.12.4 (a) </w:t>
      </w:r>
    </w:p>
    <w:p w:rsidR="009F409E" w:rsidRDefault="009F409E" w:rsidP="009F409E">
      <w:pPr>
        <w:pStyle w:val="SingleTxtG"/>
        <w:rPr>
          <w:i/>
          <w:iCs/>
        </w:rPr>
      </w:pPr>
      <w:r>
        <w:rPr>
          <w:iCs/>
        </w:rPr>
        <w:t xml:space="preserve">For the existing text, </w:t>
      </w:r>
      <w:r>
        <w:rPr>
          <w:i/>
          <w:iCs/>
        </w:rPr>
        <w:t>substitute</w:t>
      </w:r>
    </w:p>
    <w:p w:rsidR="009F409E" w:rsidRDefault="009F409E" w:rsidP="009F409E">
      <w:pPr>
        <w:pStyle w:val="SingleTxtG"/>
        <w:rPr>
          <w:i/>
        </w:rPr>
      </w:pPr>
      <w:r>
        <w:t>1.8.3.12.4 (</w:t>
      </w:r>
      <w:proofErr w:type="gramStart"/>
      <w:r>
        <w:t>a</w:t>
      </w:r>
      <w:proofErr w:type="gramEnd"/>
      <w:r>
        <w:t>)</w:t>
      </w:r>
      <w:r>
        <w:tab/>
        <w:t>Amend the fourth indent to read as follows: “- danger marking, labelling and placarding;”.</w:t>
      </w:r>
    </w:p>
    <w:p w:rsidR="009F409E" w:rsidRDefault="009F409E" w:rsidP="009F409E">
      <w:pPr>
        <w:pStyle w:val="H1G"/>
        <w:rPr>
          <w:sz w:val="20"/>
        </w:rPr>
      </w:pPr>
      <w:r>
        <w:rPr>
          <w:sz w:val="20"/>
        </w:rPr>
        <w:tab/>
      </w:r>
      <w:r>
        <w:rPr>
          <w:sz w:val="20"/>
        </w:rPr>
        <w:tab/>
        <w:t>Amendment to Part 2, Chapter 2.2, 2.2.9.1.14, first amendment</w:t>
      </w:r>
    </w:p>
    <w:p w:rsidR="009F409E" w:rsidRDefault="009F409E" w:rsidP="009F409E">
      <w:pPr>
        <w:pStyle w:val="SingleTxtG"/>
      </w:pPr>
      <w:r>
        <w:rPr>
          <w:i/>
        </w:rPr>
        <w:t xml:space="preserve">For </w:t>
      </w:r>
      <w:r>
        <w:rPr>
          <w:rFonts w:eastAsia="Calibri"/>
        </w:rPr>
        <w:t>“</w:t>
      </w:r>
      <w:r>
        <w:t>Engines and machinery, internal combustion.</w:t>
      </w:r>
      <w:r>
        <w:rPr>
          <w:rFonts w:eastAsia="Calibri"/>
        </w:rPr>
        <w:t xml:space="preserve">” </w:t>
      </w:r>
      <w:r>
        <w:rPr>
          <w:rFonts w:eastAsia="Calibri"/>
          <w:i/>
        </w:rPr>
        <w:t xml:space="preserve">read </w:t>
      </w:r>
      <w:r>
        <w:rPr>
          <w:rFonts w:eastAsia="Calibri"/>
        </w:rPr>
        <w:t>“</w:t>
      </w:r>
      <w:r>
        <w:t>Vehicles, engines and machinery, internal combustion.</w:t>
      </w:r>
      <w:r>
        <w:rPr>
          <w:rFonts w:eastAsia="Calibri"/>
        </w:rPr>
        <w: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w:t>
      </w:r>
    </w:p>
    <w:p w:rsidR="009F409E" w:rsidRDefault="009F409E" w:rsidP="009F409E">
      <w:pPr>
        <w:pStyle w:val="H1G"/>
        <w:rPr>
          <w:sz w:val="20"/>
        </w:rPr>
      </w:pPr>
      <w:r w:rsidRPr="00A37BED">
        <w:rPr>
          <w:sz w:val="20"/>
          <w:lang w:val="fr-CH"/>
        </w:rPr>
        <w:tab/>
      </w:r>
      <w:r w:rsidRPr="00A37BED">
        <w:rPr>
          <w:sz w:val="20"/>
          <w:lang w:val="fr-CH"/>
        </w:rPr>
        <w:tab/>
      </w:r>
      <w:r>
        <w:rPr>
          <w:sz w:val="20"/>
        </w:rPr>
        <w:t xml:space="preserve">Amendment to Part 3, Chapter 3.2, Table </w:t>
      </w:r>
      <w:proofErr w:type="gramStart"/>
      <w:r>
        <w:rPr>
          <w:sz w:val="20"/>
        </w:rPr>
        <w:t>A</w:t>
      </w:r>
      <w:proofErr w:type="gramEnd"/>
      <w:r>
        <w:rPr>
          <w:sz w:val="20"/>
        </w:rPr>
        <w:t>, new entries 0015, 0016 and 0303, column (18)</w:t>
      </w:r>
    </w:p>
    <w:p w:rsidR="009F409E" w:rsidRPr="00A37BED" w:rsidRDefault="009F409E" w:rsidP="009F409E">
      <w:pPr>
        <w:pStyle w:val="SingleTxtG"/>
        <w:rPr>
          <w:lang w:val="fr-CH"/>
        </w:rPr>
      </w:pPr>
      <w:r w:rsidRPr="00A37BED">
        <w:rPr>
          <w:i/>
          <w:lang w:val="fr-CH"/>
        </w:rPr>
        <w:t>Insert</w:t>
      </w:r>
      <w:r w:rsidRPr="00A37BED">
        <w:rPr>
          <w:lang w:val="fr-CH"/>
        </w:rPr>
        <w:t xml:space="preserve"> CW28/CV28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w:t>
      </w:r>
    </w:p>
    <w:p w:rsidR="009F409E" w:rsidRDefault="009F409E" w:rsidP="009F409E">
      <w:pPr>
        <w:pStyle w:val="H1G"/>
        <w:rPr>
          <w:sz w:val="20"/>
        </w:rPr>
      </w:pPr>
      <w:r w:rsidRPr="00A37BED">
        <w:rPr>
          <w:sz w:val="20"/>
          <w:lang w:val="fr-CH"/>
        </w:rPr>
        <w:tab/>
      </w:r>
      <w:r w:rsidRPr="00A37BED">
        <w:rPr>
          <w:sz w:val="20"/>
          <w:lang w:val="fr-CH"/>
        </w:rPr>
        <w:tab/>
      </w:r>
      <w:r>
        <w:rPr>
          <w:sz w:val="20"/>
        </w:rPr>
        <w:t>Amendment to Part 3, Chapter 3.3, special provision 363,</w:t>
      </w:r>
      <w:r>
        <w:t xml:space="preserve"> </w:t>
      </w:r>
      <w:r>
        <w:rPr>
          <w:sz w:val="20"/>
        </w:rPr>
        <w:t>in the Note after paragraph (a)</w:t>
      </w:r>
    </w:p>
    <w:p w:rsidR="009F409E" w:rsidRDefault="009F409E" w:rsidP="009F409E">
      <w:pPr>
        <w:pStyle w:val="SingleTxtG"/>
      </w:pPr>
      <w:r>
        <w:rPr>
          <w:i/>
        </w:rPr>
        <w:t>For</w:t>
      </w:r>
      <w:r>
        <w:rPr>
          <w:b/>
        </w:rPr>
        <w:t xml:space="preserve"> </w:t>
      </w:r>
      <w:r>
        <w:t xml:space="preserve">1.1.3.3 </w:t>
      </w:r>
      <w:r>
        <w:rPr>
          <w:i/>
        </w:rPr>
        <w:t>read</w:t>
      </w:r>
      <w:r>
        <w:t xml:space="preserve"> 1.1.3.2 (a), (d) and (e), 1.1.3.3 and 1.1.3.7</w:t>
      </w:r>
    </w:p>
    <w:p w:rsidR="009F409E" w:rsidRDefault="009F409E" w:rsidP="009F409E">
      <w:pPr>
        <w:pStyle w:val="SingleTxtG"/>
        <w:ind w:left="0"/>
        <w:rPr>
          <w:i/>
        </w:rPr>
      </w:pPr>
      <w:r>
        <w:rPr>
          <w:i/>
        </w:rPr>
        <w:t>(Reference document ECE/TRANS/WP.15/AC.1/2016/16)</w:t>
      </w:r>
    </w:p>
    <w:p w:rsidR="009F409E" w:rsidRDefault="009F409E" w:rsidP="009F409E">
      <w:pPr>
        <w:pStyle w:val="H1G"/>
        <w:rPr>
          <w:sz w:val="20"/>
        </w:rPr>
      </w:pPr>
      <w:r>
        <w:rPr>
          <w:sz w:val="20"/>
        </w:rPr>
        <w:lastRenderedPageBreak/>
        <w:tab/>
      </w:r>
      <w:r>
        <w:rPr>
          <w:sz w:val="20"/>
        </w:rPr>
        <w:tab/>
        <w:t>(</w:t>
      </w:r>
      <w:proofErr w:type="gramStart"/>
      <w:r>
        <w:rPr>
          <w:sz w:val="20"/>
        </w:rPr>
        <w:t>RID:</w:t>
      </w:r>
      <w:proofErr w:type="gramEnd"/>
      <w:r>
        <w:rPr>
          <w:sz w:val="20"/>
        </w:rPr>
        <w:t>) Amendment to Part 3, Chapter 3.3, special provision 369</w:t>
      </w:r>
    </w:p>
    <w:p w:rsidR="009F409E" w:rsidRDefault="009F409E" w:rsidP="009F409E">
      <w:pPr>
        <w:pStyle w:val="SingleTxtG"/>
      </w:pPr>
      <w:r>
        <w:rPr>
          <w:i/>
        </w:rPr>
        <w:t>For</w:t>
      </w:r>
      <w:r>
        <w:rPr>
          <w:b/>
        </w:rPr>
        <w:t xml:space="preserve"> </w:t>
      </w:r>
      <w:r>
        <w:t xml:space="preserve">[radioactive material] </w:t>
      </w:r>
      <w:r>
        <w:rPr>
          <w:i/>
        </w:rPr>
        <w:t>read</w:t>
      </w:r>
      <w:r>
        <w:t xml:space="preserve"> radioactivity</w:t>
      </w:r>
    </w:p>
    <w:p w:rsidR="009F409E" w:rsidRDefault="009F409E" w:rsidP="009F409E">
      <w:pPr>
        <w:pStyle w:val="SingleTxtG"/>
        <w:ind w:left="0"/>
        <w:rPr>
          <w:i/>
        </w:rPr>
      </w:pPr>
      <w:r>
        <w:rPr>
          <w:i/>
        </w:rPr>
        <w:t>(Reference document: informal document INF.24)</w:t>
      </w:r>
    </w:p>
    <w:p w:rsidR="009F409E" w:rsidRDefault="009F409E" w:rsidP="009F409E">
      <w:pPr>
        <w:pStyle w:val="H1G"/>
        <w:rPr>
          <w:sz w:val="20"/>
        </w:rPr>
      </w:pPr>
      <w:r>
        <w:rPr>
          <w:sz w:val="20"/>
        </w:rPr>
        <w:tab/>
      </w:r>
      <w:r>
        <w:rPr>
          <w:sz w:val="20"/>
        </w:rPr>
        <w:tab/>
        <w:t>Amendment to Part 3, Chapter 3.3, new special provision 378, in the Note under sub-paragraph e)</w:t>
      </w:r>
    </w:p>
    <w:p w:rsidR="009F409E" w:rsidRDefault="009F409E" w:rsidP="009F409E">
      <w:pPr>
        <w:pStyle w:val="SingleTxtG"/>
      </w:pPr>
      <w:r>
        <w:rPr>
          <w:i/>
        </w:rPr>
        <w:t>For</w:t>
      </w:r>
      <w:r>
        <w:rPr>
          <w:b/>
        </w:rPr>
        <w:t xml:space="preserve"> </w:t>
      </w:r>
      <w:r>
        <w:t xml:space="preserve">ISO 9001:2008 </w:t>
      </w:r>
      <w:r>
        <w:rPr>
          <w:i/>
        </w:rPr>
        <w:t>read</w:t>
      </w:r>
      <w:r>
        <w:t xml:space="preserve"> ISO 9001</w:t>
      </w:r>
    </w:p>
    <w:p w:rsidR="009F409E" w:rsidRDefault="009F409E" w:rsidP="009F409E">
      <w:pPr>
        <w:pStyle w:val="SingleTxtG"/>
        <w:ind w:left="0"/>
        <w:rPr>
          <w:i/>
        </w:rPr>
      </w:pPr>
      <w:r>
        <w:rPr>
          <w:i/>
        </w:rPr>
        <w:t>(Reference document: informal document INF.57)</w:t>
      </w:r>
    </w:p>
    <w:p w:rsidR="009F409E" w:rsidRDefault="009F409E" w:rsidP="009F409E">
      <w:pPr>
        <w:pStyle w:val="H1G"/>
        <w:rPr>
          <w:sz w:val="20"/>
        </w:rPr>
      </w:pPr>
      <w:r>
        <w:rPr>
          <w:sz w:val="20"/>
        </w:rPr>
        <w:tab/>
      </w:r>
      <w:r>
        <w:rPr>
          <w:sz w:val="20"/>
        </w:rPr>
        <w:tab/>
        <w:t>(</w:t>
      </w:r>
      <w:proofErr w:type="gramStart"/>
      <w:r>
        <w:rPr>
          <w:sz w:val="20"/>
        </w:rPr>
        <w:t>RID:</w:t>
      </w:r>
      <w:proofErr w:type="gramEnd"/>
      <w:r>
        <w:rPr>
          <w:sz w:val="20"/>
        </w:rPr>
        <w:t>)</w:t>
      </w:r>
      <w:r>
        <w:rPr>
          <w:sz w:val="20"/>
        </w:rPr>
        <w:tab/>
        <w:t xml:space="preserve"> Amendment to Part 3, Chapter 3.3, special provision 636</w:t>
      </w:r>
    </w:p>
    <w:p w:rsidR="009F409E" w:rsidRDefault="009F409E" w:rsidP="009F409E">
      <w:pPr>
        <w:pStyle w:val="SingleTxtG"/>
      </w:pPr>
      <w:r>
        <w:rPr>
          <w:i/>
        </w:rPr>
        <w:t>Delete</w:t>
      </w:r>
      <w:r>
        <w:rPr>
          <w:b/>
        </w:rPr>
        <w:t xml:space="preserve"> </w:t>
      </w:r>
      <w:r>
        <w:t>the square brackets.</w:t>
      </w:r>
    </w:p>
    <w:p w:rsidR="009F409E" w:rsidRDefault="009F409E" w:rsidP="009F409E">
      <w:pPr>
        <w:pStyle w:val="SingleTxtG"/>
        <w:ind w:left="0"/>
        <w:rPr>
          <w:i/>
        </w:rPr>
      </w:pPr>
      <w:r>
        <w:rPr>
          <w:i/>
        </w:rPr>
        <w:t>(Reference document ECE/TRANS/WP.15/AC.1/2016/16)</w:t>
      </w:r>
    </w:p>
    <w:p w:rsidR="009F409E" w:rsidRDefault="009F409E" w:rsidP="009F409E">
      <w:pPr>
        <w:pStyle w:val="H1G"/>
        <w:rPr>
          <w:sz w:val="20"/>
        </w:rPr>
      </w:pPr>
      <w:r>
        <w:rPr>
          <w:sz w:val="20"/>
        </w:rPr>
        <w:tab/>
      </w:r>
      <w:r>
        <w:rPr>
          <w:sz w:val="20"/>
        </w:rPr>
        <w:tab/>
        <w:t>Amendment to Part 3, Chapter 3.3, new special provision 666 sub-paragraph (a)</w:t>
      </w:r>
    </w:p>
    <w:p w:rsidR="009F409E" w:rsidRDefault="009F409E" w:rsidP="009F409E">
      <w:pPr>
        <w:pStyle w:val="SingleTxtG"/>
        <w:rPr>
          <w:iCs/>
        </w:rPr>
      </w:pPr>
      <w:r>
        <w:rPr>
          <w:iCs/>
        </w:rPr>
        <w:t>Not applicable to English</w:t>
      </w:r>
    </w:p>
    <w:p w:rsidR="009F409E" w:rsidRDefault="009F409E" w:rsidP="009F409E">
      <w:pPr>
        <w:pStyle w:val="SingleTxtG"/>
        <w:ind w:left="0"/>
        <w:rPr>
          <w:i/>
        </w:rPr>
      </w:pPr>
      <w:r>
        <w:rPr>
          <w:i/>
        </w:rPr>
        <w:t>(Reference document ECE/TRANS/WP.15/AC.1/2016/16)</w:t>
      </w:r>
    </w:p>
    <w:p w:rsidR="009F409E" w:rsidRDefault="009F409E" w:rsidP="009F409E">
      <w:pPr>
        <w:pStyle w:val="H1G"/>
        <w:rPr>
          <w:sz w:val="20"/>
        </w:rPr>
      </w:pPr>
      <w:r>
        <w:rPr>
          <w:sz w:val="20"/>
        </w:rPr>
        <w:tab/>
      </w:r>
      <w:r>
        <w:rPr>
          <w:sz w:val="20"/>
        </w:rPr>
        <w:tab/>
        <w:t>Amendment to Part 3, Chapter 3.3, new special provision 666 sub-paragraph (b), at the end</w:t>
      </w:r>
    </w:p>
    <w:p w:rsidR="009F409E" w:rsidRDefault="009F409E" w:rsidP="009F409E">
      <w:pPr>
        <w:pStyle w:val="SingleTxtG"/>
      </w:pPr>
      <w:r>
        <w:rPr>
          <w:i/>
        </w:rPr>
        <w:t>Insert</w:t>
      </w:r>
      <w:r>
        <w:t xml:space="preserve"> unless it is essential for the equipment to remain operational</w:t>
      </w:r>
    </w:p>
    <w:p w:rsidR="009F409E" w:rsidRDefault="009F409E" w:rsidP="009F409E">
      <w:pPr>
        <w:pStyle w:val="SingleTxtG"/>
        <w:ind w:left="0"/>
        <w:rPr>
          <w:i/>
        </w:rPr>
      </w:pPr>
      <w:r>
        <w:rPr>
          <w:i/>
        </w:rPr>
        <w:t>(Reference document ECE/TRANS/WP.15/AC.1/2016/16)</w:t>
      </w:r>
    </w:p>
    <w:p w:rsidR="009F409E" w:rsidRDefault="009F409E" w:rsidP="009F409E">
      <w:pPr>
        <w:pStyle w:val="H1G"/>
        <w:rPr>
          <w:sz w:val="20"/>
        </w:rPr>
      </w:pPr>
      <w:r>
        <w:rPr>
          <w:sz w:val="20"/>
        </w:rPr>
        <w:tab/>
      </w:r>
      <w:r>
        <w:rPr>
          <w:sz w:val="20"/>
        </w:rPr>
        <w:tab/>
        <w:t>Amendment to Part 4, Chapter 4.1, 4.1.1.19.1</w:t>
      </w:r>
    </w:p>
    <w:p w:rsidR="009F409E" w:rsidRDefault="009F409E" w:rsidP="009F409E">
      <w:pPr>
        <w:pStyle w:val="SingleTxtG"/>
        <w:rPr>
          <w:i/>
          <w:iCs/>
        </w:rPr>
      </w:pPr>
      <w:r>
        <w:rPr>
          <w:iCs/>
        </w:rPr>
        <w:t xml:space="preserve">For the existing text, </w:t>
      </w:r>
      <w:r>
        <w:rPr>
          <w:i/>
          <w:iCs/>
        </w:rPr>
        <w:t>substitute</w:t>
      </w:r>
    </w:p>
    <w:p w:rsidR="009F409E" w:rsidRDefault="009F409E" w:rsidP="009F409E">
      <w:pPr>
        <w:pStyle w:val="SingleTxtG"/>
        <w:rPr>
          <w:szCs w:val="24"/>
        </w:rPr>
      </w:pPr>
      <w:r>
        <w:rPr>
          <w:snapToGrid w:val="0"/>
          <w:szCs w:val="24"/>
        </w:rPr>
        <w:t>4.1.1.19.1</w:t>
      </w:r>
      <w:r>
        <w:rPr>
          <w:snapToGrid w:val="0"/>
          <w:szCs w:val="24"/>
        </w:rPr>
        <w:tab/>
      </w:r>
      <w:r>
        <w:t xml:space="preserve">Amend the second sentence to read as follows: </w:t>
      </w:r>
      <w:r>
        <w:rPr>
          <w:szCs w:val="24"/>
        </w:rPr>
        <w:t xml:space="preserve">“This does not prevent the use of a larger size packaging, an IBC of type 11A </w:t>
      </w:r>
      <w:r>
        <w:rPr>
          <w:bCs/>
          <w:szCs w:val="24"/>
        </w:rPr>
        <w:t xml:space="preserve">or a large packaging </w:t>
      </w:r>
      <w:r>
        <w:rPr>
          <w:szCs w:val="24"/>
        </w:rPr>
        <w:t>of appropriate type and performance level and under the conditions of 4.1.1.19.2 and 4.1.1.19.3.</w:t>
      </w:r>
      <w:proofErr w:type="gramStart"/>
      <w:r>
        <w:rPr>
          <w:szCs w:val="24"/>
        </w:rPr>
        <w:t>”.</w:t>
      </w:r>
      <w:proofErr w:type="gramEnd"/>
    </w:p>
    <w:p w:rsidR="009F409E" w:rsidRDefault="009F409E" w:rsidP="009F409E">
      <w:pPr>
        <w:pStyle w:val="SingleTxtG"/>
        <w:ind w:left="0"/>
        <w:rPr>
          <w:i/>
        </w:rPr>
      </w:pPr>
      <w:r>
        <w:rPr>
          <w:i/>
        </w:rPr>
        <w:t>(Reference document: informal document INF.14, as amended)</w:t>
      </w:r>
    </w:p>
    <w:p w:rsidR="009F409E" w:rsidRDefault="009F409E" w:rsidP="009F409E">
      <w:pPr>
        <w:pStyle w:val="H1G"/>
        <w:rPr>
          <w:sz w:val="20"/>
        </w:rPr>
      </w:pPr>
      <w:r>
        <w:rPr>
          <w:sz w:val="20"/>
        </w:rPr>
        <w:tab/>
      </w:r>
      <w:r>
        <w:rPr>
          <w:sz w:val="20"/>
        </w:rPr>
        <w:tab/>
        <w:t>Amendment to Part 4, Chapter 4.1, 4.1.4.1, P200 (5), sub-paragraph (e), first paragraph</w:t>
      </w:r>
    </w:p>
    <w:p w:rsidR="009F409E" w:rsidRDefault="009F409E" w:rsidP="009F409E">
      <w:pPr>
        <w:pStyle w:val="SingleTxtG"/>
      </w:pPr>
      <w:r>
        <w:rPr>
          <w:i/>
        </w:rPr>
        <w:t>For</w:t>
      </w:r>
      <w:r>
        <w:t xml:space="preserve"> liquid phase </w:t>
      </w:r>
      <w:r>
        <w:rPr>
          <w:i/>
        </w:rPr>
        <w:t>read</w:t>
      </w:r>
      <w:r>
        <w:t xml:space="preserve"> liquefied gas</w:t>
      </w:r>
    </w:p>
    <w:p w:rsidR="009F409E" w:rsidRDefault="009F409E" w:rsidP="009F409E">
      <w:pPr>
        <w:pStyle w:val="SingleTxtG"/>
        <w:ind w:left="0"/>
        <w:rPr>
          <w:i/>
        </w:rPr>
      </w:pPr>
      <w:r>
        <w:rPr>
          <w:i/>
        </w:rPr>
        <w:t>(Reference document: ECE/TRANS/WP.15/AC.1/2016/4)</w:t>
      </w:r>
    </w:p>
    <w:p w:rsidR="009F409E" w:rsidRDefault="009F409E" w:rsidP="009F409E">
      <w:pPr>
        <w:pStyle w:val="H1G"/>
        <w:rPr>
          <w:sz w:val="20"/>
        </w:rPr>
      </w:pPr>
      <w:r>
        <w:rPr>
          <w:sz w:val="20"/>
        </w:rPr>
        <w:lastRenderedPageBreak/>
        <w:tab/>
      </w:r>
      <w:r>
        <w:rPr>
          <w:sz w:val="20"/>
        </w:rPr>
        <w:tab/>
        <w:t>Amendment to Part 4, Chapter 4.1, 4.1.4.1, P200 (5), sub-paragraph (e), in (</w:t>
      </w:r>
      <w:proofErr w:type="spellStart"/>
      <w:r>
        <w:rPr>
          <w:sz w:val="20"/>
        </w:rPr>
        <w:t>i</w:t>
      </w:r>
      <w:proofErr w:type="spellEnd"/>
      <w:r>
        <w:rPr>
          <w:sz w:val="20"/>
        </w:rPr>
        <w:t>), (</w:t>
      </w:r>
      <w:proofErr w:type="gramStart"/>
      <w:r>
        <w:rPr>
          <w:sz w:val="20"/>
        </w:rPr>
        <w:t>iv</w:t>
      </w:r>
      <w:proofErr w:type="gramEnd"/>
      <w:r>
        <w:rPr>
          <w:sz w:val="20"/>
        </w:rPr>
        <w:t>) and (v)</w:t>
      </w:r>
    </w:p>
    <w:p w:rsidR="009F409E" w:rsidRDefault="009F409E" w:rsidP="009F409E">
      <w:pPr>
        <w:pStyle w:val="SingleTxtG"/>
      </w:pPr>
      <w:r>
        <w:rPr>
          <w:i/>
        </w:rPr>
        <w:t>For</w:t>
      </w:r>
      <w:r>
        <w:t xml:space="preserve"> liquid component</w:t>
      </w:r>
      <w:r>
        <w:rPr>
          <w:i/>
        </w:rPr>
        <w:t xml:space="preserve"> read</w:t>
      </w:r>
      <w:r>
        <w:t xml:space="preserve"> liquefied gas</w:t>
      </w:r>
    </w:p>
    <w:p w:rsidR="009F409E" w:rsidRDefault="009F409E" w:rsidP="009F409E">
      <w:pPr>
        <w:pStyle w:val="SingleTxtG"/>
        <w:ind w:left="0"/>
        <w:rPr>
          <w:i/>
        </w:rPr>
      </w:pPr>
      <w:r>
        <w:rPr>
          <w:i/>
        </w:rPr>
        <w:t>(Reference document: ECE/TRANS/WP.15/AC.1/2016/4)</w:t>
      </w:r>
    </w:p>
    <w:p w:rsidR="009F409E" w:rsidRDefault="009F409E" w:rsidP="009F409E">
      <w:pPr>
        <w:pStyle w:val="H1G"/>
        <w:rPr>
          <w:sz w:val="20"/>
        </w:rPr>
      </w:pPr>
      <w:r>
        <w:rPr>
          <w:sz w:val="20"/>
        </w:rPr>
        <w:tab/>
      </w:r>
      <w:r>
        <w:rPr>
          <w:sz w:val="20"/>
        </w:rPr>
        <w:tab/>
        <w:t>Amendment to Part 4, Chapter 4.1, 4.1.4.1, P200 (5), sub-paragraph (e), last paragraph</w:t>
      </w:r>
    </w:p>
    <w:p w:rsidR="009F409E" w:rsidRDefault="009F409E" w:rsidP="009F409E">
      <w:pPr>
        <w:pStyle w:val="SingleTxtG"/>
      </w:pPr>
      <w:r>
        <w:rPr>
          <w:i/>
        </w:rPr>
        <w:t>For</w:t>
      </w:r>
      <w:r>
        <w:t xml:space="preserve"> liquid component</w:t>
      </w:r>
      <w:r>
        <w:rPr>
          <w:i/>
        </w:rPr>
        <w:t xml:space="preserve"> read</w:t>
      </w:r>
      <w:r>
        <w:t xml:space="preserve"> liquid phase</w:t>
      </w:r>
    </w:p>
    <w:p w:rsidR="009F409E" w:rsidRDefault="009F409E" w:rsidP="009F409E">
      <w:pPr>
        <w:pStyle w:val="SingleTxtG"/>
        <w:ind w:left="0"/>
        <w:rPr>
          <w:i/>
        </w:rPr>
      </w:pPr>
      <w:r>
        <w:rPr>
          <w:i/>
        </w:rPr>
        <w:t>(Reference document: ECE/TRANS/WP.15/AC.1/2016/4)</w:t>
      </w:r>
    </w:p>
    <w:p w:rsidR="009F409E" w:rsidRDefault="009F409E" w:rsidP="009F409E">
      <w:pPr>
        <w:pStyle w:val="H1G"/>
        <w:rPr>
          <w:sz w:val="20"/>
        </w:rPr>
      </w:pPr>
      <w:r>
        <w:rPr>
          <w:sz w:val="20"/>
        </w:rPr>
        <w:tab/>
      </w:r>
      <w:r>
        <w:rPr>
          <w:sz w:val="20"/>
        </w:rPr>
        <w:tab/>
        <w:t xml:space="preserve">Amendment to Part 4, Chapter 4.1, 4.1.4.1, P206 (3), first sub-paragraph </w:t>
      </w:r>
    </w:p>
    <w:p w:rsidR="009F409E" w:rsidRDefault="009F409E" w:rsidP="009F409E">
      <w:pPr>
        <w:pStyle w:val="SingleTxtG"/>
      </w:pPr>
      <w:r>
        <w:rPr>
          <w:i/>
        </w:rPr>
        <w:t>For</w:t>
      </w:r>
      <w:r>
        <w:t xml:space="preserve"> the liquid phase</w:t>
      </w:r>
      <w:r>
        <w:rPr>
          <w:i/>
        </w:rPr>
        <w:t xml:space="preserve"> read</w:t>
      </w:r>
      <w:r>
        <w:t xml:space="preserve"> the liquid</w:t>
      </w:r>
    </w:p>
    <w:p w:rsidR="009F409E" w:rsidRDefault="009F409E" w:rsidP="009F409E">
      <w:pPr>
        <w:pStyle w:val="H1G"/>
        <w:rPr>
          <w:sz w:val="20"/>
        </w:rPr>
      </w:pPr>
      <w:r>
        <w:rPr>
          <w:sz w:val="20"/>
        </w:rPr>
        <w:tab/>
      </w:r>
      <w:r>
        <w:rPr>
          <w:sz w:val="20"/>
        </w:rPr>
        <w:tab/>
        <w:t>Amendment to Part 4, Chapter 4.1, 4.1.4.1, P206 (3), sub-paragraphs (a), (d) and (e)</w:t>
      </w:r>
    </w:p>
    <w:p w:rsidR="009F409E" w:rsidRDefault="009F409E" w:rsidP="009F409E">
      <w:pPr>
        <w:pStyle w:val="SingleTxtG"/>
      </w:pPr>
      <w:r>
        <w:rPr>
          <w:i/>
        </w:rPr>
        <w:t>For</w:t>
      </w:r>
      <w:r>
        <w:t xml:space="preserve"> the liquid component</w:t>
      </w:r>
      <w:r>
        <w:rPr>
          <w:i/>
        </w:rPr>
        <w:t xml:space="preserve"> read</w:t>
      </w:r>
      <w:r>
        <w:t xml:space="preserve"> the liquid</w:t>
      </w:r>
    </w:p>
    <w:p w:rsidR="009F409E" w:rsidRDefault="009F409E" w:rsidP="009F409E">
      <w:pPr>
        <w:pStyle w:val="H1G"/>
        <w:rPr>
          <w:sz w:val="20"/>
        </w:rPr>
      </w:pPr>
      <w:r>
        <w:rPr>
          <w:sz w:val="20"/>
        </w:rPr>
        <w:tab/>
      </w:r>
      <w:r>
        <w:rPr>
          <w:sz w:val="20"/>
        </w:rPr>
        <w:tab/>
        <w:t>Amendment to Part 4, Chapter 4.1, 4.1.4.1, P206 (3), last sub-paragraph</w:t>
      </w:r>
    </w:p>
    <w:p w:rsidR="009F409E" w:rsidRDefault="009F409E" w:rsidP="009F409E">
      <w:pPr>
        <w:pStyle w:val="SingleTxtG"/>
      </w:pPr>
      <w:r>
        <w:rPr>
          <w:i/>
        </w:rPr>
        <w:t>For</w:t>
      </w:r>
      <w:r>
        <w:t xml:space="preserve"> the liquid component</w:t>
      </w:r>
      <w:r>
        <w:rPr>
          <w:i/>
        </w:rPr>
        <w:t xml:space="preserve"> read</w:t>
      </w:r>
      <w:r>
        <w:t xml:space="preserve"> the liquid phase</w:t>
      </w:r>
    </w:p>
    <w:p w:rsidR="009F409E" w:rsidRDefault="009F409E" w:rsidP="009F409E">
      <w:pPr>
        <w:pStyle w:val="SingleTxtG"/>
        <w:ind w:left="0"/>
        <w:rPr>
          <w:i/>
        </w:rPr>
      </w:pPr>
      <w:r>
        <w:rPr>
          <w:i/>
        </w:rPr>
        <w:t>(Reference document: ECE/TRANS/WP.15/AC.1/2016/4)</w:t>
      </w:r>
    </w:p>
    <w:p w:rsidR="009F409E" w:rsidRDefault="009F409E" w:rsidP="009F409E">
      <w:pPr>
        <w:pStyle w:val="H1G"/>
        <w:rPr>
          <w:sz w:val="20"/>
        </w:rPr>
      </w:pPr>
      <w:r>
        <w:rPr>
          <w:sz w:val="20"/>
        </w:rPr>
        <w:tab/>
      </w:r>
      <w:r>
        <w:rPr>
          <w:sz w:val="20"/>
        </w:rPr>
        <w:tab/>
        <w:t>Amendment to Part 4, Chapter 4.1, 4.1.4.1, new packing instruction P910 (3), first sentence</w:t>
      </w:r>
    </w:p>
    <w:p w:rsidR="009F409E" w:rsidRDefault="009F409E" w:rsidP="009F409E">
      <w:pPr>
        <w:pStyle w:val="SingleTxtG"/>
      </w:pPr>
      <w:r>
        <w:rPr>
          <w:iCs/>
        </w:rPr>
        <w:t xml:space="preserve">For the existing text, </w:t>
      </w:r>
      <w:r>
        <w:rPr>
          <w:i/>
          <w:iCs/>
        </w:rPr>
        <w:t>substitute</w:t>
      </w:r>
    </w:p>
    <w:p w:rsidR="009F409E" w:rsidRDefault="009F409E" w:rsidP="009F409E">
      <w:pPr>
        <w:pStyle w:val="SingleTxtG"/>
      </w:pPr>
      <w:r>
        <w:t>The equipment or the batteries may be carried unpackaged under conditions specified by the competent authority of any RID Contracting State/Contracting Party to ADR/ADN, which may also recognize an approval granted by the competent authority of a country which is not an RID Contracting State/a Contracting Party to ADR/ADN, provided that this approval has been granted in accordance with the procedures applicable according to RID, ADR, ADN, the IMDG Code or the ICAO Technical Instructions.</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w:t>
      </w:r>
    </w:p>
    <w:p w:rsidR="009F409E" w:rsidRDefault="009F409E" w:rsidP="009F409E">
      <w:pPr>
        <w:pStyle w:val="H1G"/>
        <w:rPr>
          <w:sz w:val="20"/>
        </w:rPr>
      </w:pPr>
      <w:r w:rsidRPr="00A37BED">
        <w:rPr>
          <w:sz w:val="20"/>
          <w:lang w:val="fr-CH"/>
        </w:rPr>
        <w:tab/>
      </w:r>
      <w:r w:rsidRPr="00A37BED">
        <w:rPr>
          <w:sz w:val="20"/>
          <w:lang w:val="fr-CH"/>
        </w:rPr>
        <w:tab/>
      </w:r>
      <w:r>
        <w:rPr>
          <w:sz w:val="20"/>
        </w:rPr>
        <w:t>Amendments to Part 4, Chapter 4.3, TU16 and TU21</w:t>
      </w:r>
    </w:p>
    <w:p w:rsidR="009F409E" w:rsidRDefault="009F409E" w:rsidP="009F409E">
      <w:pPr>
        <w:pStyle w:val="SingleTxtG"/>
      </w:pPr>
      <w:r>
        <w:rPr>
          <w:iCs/>
        </w:rPr>
        <w:t xml:space="preserve">For the existing text, </w:t>
      </w:r>
      <w:r>
        <w:rPr>
          <w:i/>
          <w:iCs/>
        </w:rPr>
        <w:t>substitute</w:t>
      </w:r>
    </w:p>
    <w:p w:rsidR="009F409E" w:rsidRDefault="009F409E" w:rsidP="009F409E">
      <w:pPr>
        <w:tabs>
          <w:tab w:val="left" w:pos="1701"/>
          <w:tab w:val="left" w:pos="1985"/>
          <w:tab w:val="left" w:pos="2268"/>
        </w:tabs>
        <w:spacing w:after="120"/>
        <w:ind w:left="2259" w:right="1134" w:hanging="1125"/>
        <w:jc w:val="both"/>
        <w:rPr>
          <w:bCs/>
          <w:iCs/>
        </w:rPr>
      </w:pPr>
      <w:r>
        <w:rPr>
          <w:bCs/>
          <w:iCs/>
        </w:rPr>
        <w:t>4.3.5</w:t>
      </w:r>
      <w:r>
        <w:rPr>
          <w:bCs/>
          <w:iCs/>
        </w:rPr>
        <w:tab/>
        <w:t>Amend TU16 and TU21 to read as follows:</w:t>
      </w:r>
    </w:p>
    <w:p w:rsidR="009F409E" w:rsidRDefault="009F409E" w:rsidP="009F409E">
      <w:pPr>
        <w:pStyle w:val="SingleTxtG"/>
        <w:tabs>
          <w:tab w:val="left" w:pos="1701"/>
          <w:tab w:val="left" w:pos="1985"/>
          <w:tab w:val="left" w:pos="2268"/>
        </w:tabs>
        <w:rPr>
          <w:lang w:eastAsia="zh-CN"/>
        </w:rPr>
      </w:pPr>
      <w:r>
        <w:rPr>
          <w:bCs/>
          <w:lang w:eastAsia="zh-CN"/>
        </w:rPr>
        <w:t>“TU16</w:t>
      </w:r>
      <w:r>
        <w:rPr>
          <w:bCs/>
          <w:lang w:eastAsia="zh-CN"/>
        </w:rPr>
        <w:tab/>
      </w:r>
      <w:r>
        <w:rPr>
          <w:lang w:eastAsia="zh-CN"/>
        </w:rPr>
        <w:tab/>
        <w:t>When handed over for carriage, uncleaned empty tanks shall be filled with a protective agent fulfilling one of the following measures: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5"/>
        <w:gridCol w:w="4390"/>
      </w:tblGrid>
      <w:tr w:rsidR="009F409E" w:rsidTr="009F409E">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rPr>
                <w:b/>
              </w:rPr>
            </w:pPr>
            <w:r>
              <w:rPr>
                <w:b/>
                <w:lang w:eastAsia="ru-RU"/>
              </w:rPr>
              <w:t>Protective agent</w:t>
            </w:r>
          </w:p>
        </w:tc>
        <w:tc>
          <w:tcPr>
            <w:tcW w:w="1705"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rPr>
                <w:b/>
              </w:rPr>
            </w:pPr>
            <w:r>
              <w:rPr>
                <w:b/>
                <w:lang w:eastAsia="ru-RU"/>
              </w:rPr>
              <w:t>Degree of filling of water</w:t>
            </w:r>
          </w:p>
        </w:tc>
        <w:tc>
          <w:tcPr>
            <w:tcW w:w="4390"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rPr>
                <w:b/>
              </w:rPr>
            </w:pPr>
            <w:r>
              <w:rPr>
                <w:b/>
                <w:lang w:eastAsia="ru-RU"/>
              </w:rPr>
              <w:t>Additional requirements for carriage at low ambient temperatures</w:t>
            </w:r>
          </w:p>
        </w:tc>
      </w:tr>
      <w:tr w:rsidR="009F409E" w:rsidTr="009F409E">
        <w:trPr>
          <w:cantSplit/>
        </w:trPr>
        <w:tc>
          <w:tcPr>
            <w:tcW w:w="1276"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proofErr w:type="spellStart"/>
            <w:r>
              <w:rPr>
                <w:lang w:eastAsia="ru-RU"/>
              </w:rPr>
              <w:lastRenderedPageBreak/>
              <w:t>Nitrogen</w:t>
            </w:r>
            <w:r>
              <w:rPr>
                <w:b/>
                <w:vertAlign w:val="superscript"/>
                <w:lang w:eastAsia="ru-RU"/>
              </w:rPr>
              <w:t>a</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w:t>
            </w:r>
          </w:p>
        </w:tc>
        <w:tc>
          <w:tcPr>
            <w:tcW w:w="4390" w:type="dxa"/>
            <w:tcBorders>
              <w:top w:val="single" w:sz="4" w:space="0" w:color="auto"/>
              <w:left w:val="single" w:sz="4" w:space="0" w:color="auto"/>
              <w:bottom w:val="single" w:sz="4" w:space="0" w:color="auto"/>
              <w:right w:val="single" w:sz="4" w:space="0" w:color="auto"/>
            </w:tcBorders>
          </w:tcPr>
          <w:p w:rsidR="009F409E" w:rsidRDefault="009F409E">
            <w:pPr>
              <w:tabs>
                <w:tab w:val="left" w:pos="1418"/>
                <w:tab w:val="left" w:pos="1843"/>
              </w:tabs>
            </w:pPr>
          </w:p>
        </w:tc>
      </w:tr>
      <w:tr w:rsidR="009F409E" w:rsidTr="009F409E">
        <w:trPr>
          <w:cantSplit/>
        </w:trPr>
        <w:tc>
          <w:tcPr>
            <w:tcW w:w="1276"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r>
              <w:rPr>
                <w:lang w:eastAsia="ru-RU"/>
              </w:rPr>
              <w:t xml:space="preserve">Water and </w:t>
            </w:r>
            <w:proofErr w:type="spellStart"/>
            <w:r>
              <w:rPr>
                <w:lang w:eastAsia="ru-RU"/>
              </w:rPr>
              <w:t>nitrogen</w:t>
            </w:r>
            <w:r>
              <w:rPr>
                <w:b/>
                <w:vertAlign w:val="superscript"/>
                <w:lang w:eastAsia="ru-RU"/>
              </w:rPr>
              <w:t>a</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w:t>
            </w:r>
          </w:p>
        </w:tc>
        <w:tc>
          <w:tcPr>
            <w:tcW w:w="4390" w:type="dxa"/>
            <w:tcBorders>
              <w:top w:val="single" w:sz="4" w:space="0" w:color="auto"/>
              <w:left w:val="single" w:sz="4" w:space="0" w:color="auto"/>
              <w:bottom w:val="single" w:sz="4" w:space="0" w:color="auto"/>
              <w:right w:val="single" w:sz="4" w:space="0" w:color="auto"/>
            </w:tcBorders>
          </w:tcPr>
          <w:p w:rsidR="009F409E" w:rsidRDefault="009F409E">
            <w:pPr>
              <w:tabs>
                <w:tab w:val="left" w:pos="1418"/>
                <w:tab w:val="left" w:pos="1843"/>
              </w:tabs>
            </w:pPr>
          </w:p>
        </w:tc>
      </w:tr>
      <w:tr w:rsidR="009F409E" w:rsidTr="009F409E">
        <w:trPr>
          <w:cantSplit/>
        </w:trPr>
        <w:tc>
          <w:tcPr>
            <w:tcW w:w="1276"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r>
              <w:rPr>
                <w:lang w:eastAsia="ru-RU"/>
              </w:rPr>
              <w:t>Water</w:t>
            </w:r>
          </w:p>
        </w:tc>
        <w:tc>
          <w:tcPr>
            <w:tcW w:w="1705" w:type="dxa"/>
            <w:tcBorders>
              <w:top w:val="single" w:sz="4" w:space="0" w:color="auto"/>
              <w:left w:val="single" w:sz="4" w:space="0" w:color="auto"/>
              <w:bottom w:val="single" w:sz="4" w:space="0" w:color="auto"/>
              <w:right w:val="single" w:sz="4" w:space="0" w:color="auto"/>
            </w:tcBorders>
            <w:hideMark/>
          </w:tcPr>
          <w:p w:rsidR="009F409E" w:rsidRDefault="009F409E">
            <w:pPr>
              <w:ind w:left="100" w:right="100"/>
              <w:jc w:val="center"/>
            </w:pPr>
            <w:r>
              <w:rPr>
                <w:lang w:eastAsia="ru-RU"/>
              </w:rPr>
              <w:t>not less than 96 % and not more than 98 %</w:t>
            </w:r>
          </w:p>
        </w:tc>
        <w:tc>
          <w:tcPr>
            <w:tcW w:w="4390"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r>
              <w:t>The water shall contain sufficient anti-freeze agent to prevent it from freezing. The anti-freeze agent shall be free from corrosive action and not liable to react with the substance.</w:t>
            </w:r>
          </w:p>
        </w:tc>
      </w:tr>
    </w:tbl>
    <w:p w:rsidR="009F409E" w:rsidRDefault="009F409E" w:rsidP="009F409E">
      <w:pPr>
        <w:pStyle w:val="SingleTxtG"/>
        <w:tabs>
          <w:tab w:val="left" w:pos="1701"/>
          <w:tab w:val="left" w:pos="1985"/>
          <w:tab w:val="left" w:pos="2268"/>
        </w:tabs>
        <w:spacing w:before="120"/>
        <w:rPr>
          <w:lang w:eastAsia="zh-CN"/>
        </w:rPr>
      </w:pPr>
      <w:proofErr w:type="spellStart"/>
      <w:proofErr w:type="gramStart"/>
      <w:r>
        <w:rPr>
          <w:b/>
          <w:vertAlign w:val="superscript"/>
          <w:lang w:eastAsia="ru-RU"/>
        </w:rPr>
        <w:t>a</w:t>
      </w:r>
      <w:proofErr w:type="spellEnd"/>
      <w:proofErr w:type="gramEnd"/>
      <w:r>
        <w:rPr>
          <w:lang w:eastAsia="zh-CN"/>
        </w:rPr>
        <w:tab/>
      </w:r>
      <w:r>
        <w:rPr>
          <w:i/>
          <w:lang w:eastAsia="zh-CN"/>
        </w:rPr>
        <w:t>The tank shall be filled with nitrogen in such a way that, even after cooling, the pressure at no time falls below atmospheric pressure. The tank shall be closed in such a way that no leakage of gas occurs.</w:t>
      </w:r>
    </w:p>
    <w:p w:rsidR="009F409E" w:rsidRDefault="009F409E" w:rsidP="009F409E">
      <w:pPr>
        <w:pStyle w:val="SingleTxtG"/>
        <w:tabs>
          <w:tab w:val="left" w:pos="1701"/>
          <w:tab w:val="left" w:pos="1985"/>
          <w:tab w:val="left" w:pos="2268"/>
        </w:tabs>
        <w:spacing w:before="120"/>
      </w:pPr>
      <w:r>
        <w:t>(</w:t>
      </w:r>
      <w:proofErr w:type="gramStart"/>
      <w:r>
        <w:t>RID:</w:t>
      </w:r>
      <w:proofErr w:type="gramEnd"/>
      <w:r>
        <w:t xml:space="preserve">) </w:t>
      </w:r>
      <w:r>
        <w:rPr>
          <w:lang w:eastAsia="ru-RU" w:bidi="en-GB"/>
        </w:rPr>
        <w:t>An additional entry shall be included in the transport document:</w:t>
      </w:r>
    </w:p>
    <w:p w:rsidR="009F409E" w:rsidRDefault="009F409E" w:rsidP="009F409E">
      <w:pPr>
        <w:pStyle w:val="SingleTxtG"/>
        <w:tabs>
          <w:tab w:val="left" w:pos="1701"/>
          <w:tab w:val="left" w:pos="1985"/>
          <w:tab w:val="left" w:pos="2268"/>
        </w:tabs>
        <w:spacing w:before="120"/>
      </w:pPr>
      <w:r>
        <w:t>"Tank filled with _______</w:t>
      </w:r>
      <w:r>
        <w:rPr>
          <w:vertAlign w:val="superscript"/>
        </w:rPr>
        <w:t>5</w:t>
      </w:r>
      <w:r>
        <w:t xml:space="preserve"> in accordance with special provision TU 16."</w:t>
      </w:r>
      <w:r>
        <w:rPr>
          <w:lang w:eastAsia="zh-CN"/>
        </w:rPr>
        <w:t>.”.</w:t>
      </w:r>
    </w:p>
    <w:p w:rsidR="009F409E" w:rsidRDefault="009F409E" w:rsidP="009F409E">
      <w:pPr>
        <w:pStyle w:val="SingleTxtG"/>
        <w:tabs>
          <w:tab w:val="left" w:pos="1701"/>
          <w:tab w:val="left" w:pos="1985"/>
          <w:tab w:val="left" w:pos="2268"/>
        </w:tabs>
        <w:spacing w:before="120"/>
      </w:pPr>
      <w:r>
        <w:t xml:space="preserve">Footnote </w:t>
      </w:r>
      <w:r>
        <w:rPr>
          <w:vertAlign w:val="superscript"/>
        </w:rPr>
        <w:t>5</w:t>
      </w:r>
      <w:r>
        <w:t xml:space="preserve"> reads: “</w:t>
      </w:r>
      <w:r>
        <w:rPr>
          <w:vertAlign w:val="superscript"/>
        </w:rPr>
        <w:t>5</w:t>
      </w:r>
      <w:r>
        <w:tab/>
        <w:t xml:space="preserve">Indicates the name(s) of the protective agent(s). Where the tank is filled with water, its mass shall be indicated in kg; in the case of nitrogen, its pressure shall be given in </w:t>
      </w:r>
      <w:proofErr w:type="spellStart"/>
      <w:r>
        <w:t>MPa</w:t>
      </w:r>
      <w:proofErr w:type="spellEnd"/>
      <w:r>
        <w:t xml:space="preserve"> or bar.</w:t>
      </w:r>
      <w:proofErr w:type="gramStart"/>
      <w:r>
        <w:t>”.</w:t>
      </w:r>
      <w:proofErr w:type="gramEnd"/>
    </w:p>
    <w:p w:rsidR="009F409E" w:rsidRDefault="009F409E" w:rsidP="009F409E">
      <w:pPr>
        <w:pStyle w:val="SingleTxtG"/>
        <w:tabs>
          <w:tab w:val="left" w:pos="1701"/>
          <w:tab w:val="left" w:pos="1985"/>
          <w:tab w:val="left" w:pos="2268"/>
        </w:tabs>
      </w:pPr>
      <w:r>
        <w:t>“TU21</w:t>
      </w:r>
      <w:r>
        <w:tab/>
      </w:r>
      <w:r>
        <w:tab/>
        <w:t>The substance shall be protected by a protective agent in the following ways:</w:t>
      </w:r>
    </w:p>
    <w:tbl>
      <w:tblPr>
        <w:tblW w:w="736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36"/>
        <w:gridCol w:w="1510"/>
        <w:gridCol w:w="3182"/>
      </w:tblGrid>
      <w:tr w:rsidR="009F409E" w:rsidTr="009F409E">
        <w:trPr>
          <w:cantSplit/>
        </w:trPr>
        <w:tc>
          <w:tcPr>
            <w:tcW w:w="1438"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rPr>
                <w:b/>
              </w:rPr>
            </w:pPr>
            <w:r>
              <w:rPr>
                <w:b/>
              </w:rPr>
              <w:t>Protective agent</w:t>
            </w:r>
          </w:p>
        </w:tc>
        <w:tc>
          <w:tcPr>
            <w:tcW w:w="1237" w:type="dxa"/>
            <w:tcBorders>
              <w:top w:val="single" w:sz="4" w:space="0" w:color="auto"/>
              <w:left w:val="single" w:sz="4" w:space="0" w:color="auto"/>
              <w:bottom w:val="single" w:sz="4" w:space="0" w:color="auto"/>
              <w:right w:val="single" w:sz="4" w:space="0" w:color="auto"/>
            </w:tcBorders>
            <w:hideMark/>
          </w:tcPr>
          <w:p w:rsidR="009F409E" w:rsidRDefault="009F409E">
            <w:pPr>
              <w:keepNext/>
              <w:ind w:left="102" w:right="102"/>
              <w:jc w:val="center"/>
              <w:rPr>
                <w:b/>
              </w:rPr>
            </w:pPr>
            <w:r>
              <w:rPr>
                <w:b/>
                <w:lang w:eastAsia="ru-RU"/>
              </w:rPr>
              <w:t>A layer of water in the tank</w:t>
            </w:r>
          </w:p>
        </w:tc>
        <w:tc>
          <w:tcPr>
            <w:tcW w:w="1511"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rPr>
                <w:b/>
              </w:rPr>
            </w:pPr>
            <w:r>
              <w:rPr>
                <w:b/>
                <w:lang w:eastAsia="ru-RU"/>
              </w:rPr>
              <w:t>Degree of filling of the substance (including water if any) at a temperature of 60° C shall not exceed</w:t>
            </w:r>
          </w:p>
        </w:tc>
        <w:tc>
          <w:tcPr>
            <w:tcW w:w="3185"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rPr>
                <w:b/>
              </w:rPr>
            </w:pPr>
            <w:r>
              <w:rPr>
                <w:b/>
                <w:lang w:eastAsia="ru-RU"/>
              </w:rPr>
              <w:t>Additional requirements for carriage at low ambient temperatures</w:t>
            </w:r>
          </w:p>
        </w:tc>
      </w:tr>
      <w:tr w:rsidR="009F409E" w:rsidTr="009F409E">
        <w:trPr>
          <w:cantSplit/>
        </w:trPr>
        <w:tc>
          <w:tcPr>
            <w:tcW w:w="1438"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proofErr w:type="spellStart"/>
            <w:r>
              <w:rPr>
                <w:lang w:eastAsia="ru-RU"/>
              </w:rPr>
              <w:t>Nitrogen</w:t>
            </w:r>
            <w:r>
              <w:rPr>
                <w:b/>
                <w:vertAlign w:val="superscript"/>
                <w:lang w:eastAsia="ru-RU"/>
              </w:rPr>
              <w:t>a</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w:t>
            </w:r>
          </w:p>
        </w:tc>
        <w:tc>
          <w:tcPr>
            <w:tcW w:w="1511"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96 %</w:t>
            </w:r>
          </w:p>
        </w:tc>
        <w:tc>
          <w:tcPr>
            <w:tcW w:w="3185"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w:t>
            </w:r>
          </w:p>
        </w:tc>
      </w:tr>
      <w:tr w:rsidR="009F409E" w:rsidTr="009F409E">
        <w:trPr>
          <w:cantSplit/>
        </w:trPr>
        <w:tc>
          <w:tcPr>
            <w:tcW w:w="1438"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r>
              <w:rPr>
                <w:lang w:eastAsia="ru-RU"/>
              </w:rPr>
              <w:t xml:space="preserve">Water and </w:t>
            </w:r>
            <w:proofErr w:type="spellStart"/>
            <w:r>
              <w:rPr>
                <w:lang w:eastAsia="ru-RU"/>
              </w:rPr>
              <w:t>nitrogen</w:t>
            </w:r>
            <w:r>
              <w:rPr>
                <w:b/>
                <w:vertAlign w:val="superscript"/>
                <w:lang w:eastAsia="ru-RU"/>
              </w:rPr>
              <w:t>a</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w:t>
            </w:r>
          </w:p>
        </w:tc>
        <w:tc>
          <w:tcPr>
            <w:tcW w:w="1511"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98 %</w:t>
            </w:r>
          </w:p>
        </w:tc>
        <w:tc>
          <w:tcPr>
            <w:tcW w:w="3185" w:type="dxa"/>
            <w:vMerge w:val="restart"/>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r>
              <w:rPr>
                <w:lang w:eastAsia="ru-RU"/>
              </w:rPr>
              <w:t>The water shall contain sufficient anti-freeze agent to prevent it from freezing. The anti-freeze agent shall be free from corrosive action and not liable to react with the substance.</w:t>
            </w:r>
          </w:p>
        </w:tc>
      </w:tr>
      <w:tr w:rsidR="009F409E" w:rsidTr="009F409E">
        <w:tc>
          <w:tcPr>
            <w:tcW w:w="1438"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pPr>
            <w:r>
              <w:rPr>
                <w:lang w:eastAsia="ru-RU"/>
              </w:rPr>
              <w:t>Water</w:t>
            </w:r>
          </w:p>
        </w:tc>
        <w:tc>
          <w:tcPr>
            <w:tcW w:w="1237" w:type="dxa"/>
            <w:tcBorders>
              <w:top w:val="single" w:sz="4" w:space="0" w:color="auto"/>
              <w:left w:val="single" w:sz="4" w:space="0" w:color="auto"/>
              <w:bottom w:val="single" w:sz="4" w:space="0" w:color="auto"/>
              <w:right w:val="single" w:sz="4" w:space="0" w:color="auto"/>
            </w:tcBorders>
            <w:hideMark/>
          </w:tcPr>
          <w:p w:rsidR="009F409E" w:rsidRDefault="009F409E">
            <w:pPr>
              <w:ind w:left="100" w:right="100"/>
              <w:jc w:val="center"/>
              <w:rPr>
                <w:lang w:eastAsia="ru-RU"/>
              </w:rPr>
            </w:pPr>
            <w:r>
              <w:rPr>
                <w:lang w:eastAsia="ru-RU"/>
              </w:rPr>
              <w:t>not less than</w:t>
            </w:r>
          </w:p>
          <w:p w:rsidR="009F409E" w:rsidRDefault="009F409E">
            <w:pPr>
              <w:tabs>
                <w:tab w:val="left" w:pos="1418"/>
                <w:tab w:val="left" w:pos="1843"/>
              </w:tabs>
              <w:jc w:val="center"/>
            </w:pPr>
            <w:r>
              <w:rPr>
                <w:lang w:eastAsia="ru-RU"/>
              </w:rPr>
              <w:t>12 cm</w:t>
            </w:r>
          </w:p>
        </w:tc>
        <w:tc>
          <w:tcPr>
            <w:tcW w:w="1511" w:type="dxa"/>
            <w:tcBorders>
              <w:top w:val="single" w:sz="4" w:space="0" w:color="auto"/>
              <w:left w:val="single" w:sz="4" w:space="0" w:color="auto"/>
              <w:bottom w:val="single" w:sz="4" w:space="0" w:color="auto"/>
              <w:right w:val="single" w:sz="4" w:space="0" w:color="auto"/>
            </w:tcBorders>
            <w:hideMark/>
          </w:tcPr>
          <w:p w:rsidR="009F409E" w:rsidRDefault="009F409E">
            <w:pPr>
              <w:tabs>
                <w:tab w:val="left" w:pos="1418"/>
                <w:tab w:val="left" w:pos="1843"/>
              </w:tabs>
              <w:jc w:val="center"/>
            </w:pPr>
            <w:r>
              <w:t>98 %</w:t>
            </w: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9F409E" w:rsidRDefault="009F409E">
            <w:pPr>
              <w:suppressAutoHyphens w:val="0"/>
              <w:spacing w:line="240" w:lineRule="auto"/>
            </w:pPr>
          </w:p>
        </w:tc>
      </w:tr>
    </w:tbl>
    <w:p w:rsidR="009F409E" w:rsidRDefault="009F409E" w:rsidP="009F409E">
      <w:pPr>
        <w:pStyle w:val="SingleTxtG"/>
        <w:tabs>
          <w:tab w:val="left" w:pos="1701"/>
          <w:tab w:val="left" w:pos="1985"/>
          <w:tab w:val="left" w:pos="2268"/>
        </w:tabs>
        <w:spacing w:before="120"/>
      </w:pPr>
      <w:proofErr w:type="spellStart"/>
      <w:proofErr w:type="gramStart"/>
      <w:r>
        <w:rPr>
          <w:b/>
          <w:vertAlign w:val="superscript"/>
          <w:lang w:eastAsia="ru-RU"/>
        </w:rPr>
        <w:t>a</w:t>
      </w:r>
      <w:proofErr w:type="spellEnd"/>
      <w:proofErr w:type="gramEnd"/>
      <w:r>
        <w:tab/>
      </w:r>
      <w:r>
        <w:rPr>
          <w:i/>
        </w:rPr>
        <w:t>The remaining space of the tank shall be filled with nitrogen in such a way that, even after cooling, the pressure at no time falls below atmospheric pressure. The tank shall be closed in such a way that no leakage of gas occurs.</w:t>
      </w:r>
      <w:proofErr w:type="gramStart"/>
      <w:r>
        <w:t>”.</w:t>
      </w:r>
      <w:proofErr w:type="gramEnd"/>
    </w:p>
    <w:p w:rsidR="009F409E" w:rsidRDefault="009F409E" w:rsidP="009F409E">
      <w:pPr>
        <w:pStyle w:val="SingleTxtG"/>
        <w:ind w:left="0"/>
      </w:pPr>
      <w:r>
        <w:rPr>
          <w:i/>
        </w:rPr>
        <w:t>(Reference documents: informal documents INF.16 and INF.61)</w:t>
      </w:r>
    </w:p>
    <w:p w:rsidR="009F409E" w:rsidRDefault="009F409E" w:rsidP="009F409E">
      <w:pPr>
        <w:pStyle w:val="H1G"/>
        <w:rPr>
          <w:sz w:val="20"/>
        </w:rPr>
      </w:pPr>
      <w:r>
        <w:rPr>
          <w:sz w:val="20"/>
        </w:rPr>
        <w:tab/>
      </w:r>
      <w:r>
        <w:rPr>
          <w:sz w:val="20"/>
        </w:rPr>
        <w:tab/>
        <w:t>(</w:t>
      </w:r>
      <w:proofErr w:type="gramStart"/>
      <w:r>
        <w:rPr>
          <w:sz w:val="20"/>
        </w:rPr>
        <w:t>RID:</w:t>
      </w:r>
      <w:proofErr w:type="gramEnd"/>
      <w:r>
        <w:rPr>
          <w:sz w:val="20"/>
        </w:rPr>
        <w:t>) Amendment to Part 5, Chapter 5.5, 5.5.3.3.3, at the end of the second indent of the amended text</w:t>
      </w:r>
    </w:p>
    <w:p w:rsidR="009F409E" w:rsidRDefault="009F409E" w:rsidP="009F409E">
      <w:pPr>
        <w:pStyle w:val="SingleTxtG"/>
      </w:pPr>
      <w:r>
        <w:rPr>
          <w:i/>
        </w:rPr>
        <w:t>For</w:t>
      </w:r>
      <w:r>
        <w:t xml:space="preserve"> where this requirement is fulfilled</w:t>
      </w:r>
      <w:r>
        <w:rPr>
          <w:i/>
        </w:rPr>
        <w:t xml:space="preserve"> read</w:t>
      </w:r>
      <w:r>
        <w:t xml:space="preserve"> and separated from accessible compartments during carriage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INF.59, alternative 3)</w:t>
      </w:r>
    </w:p>
    <w:p w:rsidR="009F409E" w:rsidRDefault="009F409E" w:rsidP="009F409E">
      <w:pPr>
        <w:pStyle w:val="H1G"/>
        <w:rPr>
          <w:sz w:val="20"/>
        </w:rPr>
      </w:pPr>
      <w:r w:rsidRPr="00A37BED">
        <w:rPr>
          <w:sz w:val="20"/>
          <w:lang w:val="fr-CH"/>
        </w:rPr>
        <w:lastRenderedPageBreak/>
        <w:tab/>
      </w:r>
      <w:r w:rsidRPr="00A37BED">
        <w:rPr>
          <w:sz w:val="20"/>
          <w:lang w:val="fr-CH"/>
        </w:rPr>
        <w:tab/>
      </w:r>
      <w:r>
        <w:rPr>
          <w:sz w:val="20"/>
        </w:rPr>
        <w:t>(</w:t>
      </w:r>
      <w:proofErr w:type="gramStart"/>
      <w:r>
        <w:rPr>
          <w:sz w:val="20"/>
        </w:rPr>
        <w:t>ADR:</w:t>
      </w:r>
      <w:proofErr w:type="gramEnd"/>
      <w:r>
        <w:rPr>
          <w:sz w:val="20"/>
        </w:rPr>
        <w:t>) Amendment to Part 5, Chapter 5.5, 5.5.3.3.3, at the end of the second indent of the amended text</w:t>
      </w:r>
    </w:p>
    <w:p w:rsidR="009F409E" w:rsidRDefault="009F409E" w:rsidP="009F409E">
      <w:pPr>
        <w:pStyle w:val="SingleTxtG"/>
      </w:pPr>
      <w:r>
        <w:rPr>
          <w:i/>
        </w:rPr>
        <w:t>For</w:t>
      </w:r>
      <w:r>
        <w:t xml:space="preserve"> where this requirement is fulfilled</w:t>
      </w:r>
      <w:r>
        <w:rPr>
          <w:i/>
        </w:rPr>
        <w:t xml:space="preserve"> read</w:t>
      </w:r>
      <w:r>
        <w:t xml:space="preserve"> and separated from the driver’s cabin</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INF.59, alternative 3)</w:t>
      </w:r>
    </w:p>
    <w:p w:rsidR="009F409E" w:rsidRDefault="009F409E" w:rsidP="009F409E">
      <w:pPr>
        <w:pStyle w:val="H1G"/>
        <w:rPr>
          <w:sz w:val="20"/>
        </w:rPr>
      </w:pPr>
      <w:r w:rsidRPr="00A37BED">
        <w:rPr>
          <w:sz w:val="20"/>
          <w:lang w:val="fr-CH"/>
        </w:rPr>
        <w:tab/>
      </w:r>
      <w:r w:rsidRPr="00A37BED">
        <w:rPr>
          <w:sz w:val="20"/>
          <w:lang w:val="fr-CH"/>
        </w:rPr>
        <w:tab/>
      </w:r>
      <w:r>
        <w:rPr>
          <w:sz w:val="20"/>
        </w:rPr>
        <w:t>(</w:t>
      </w:r>
      <w:proofErr w:type="gramStart"/>
      <w:r>
        <w:rPr>
          <w:sz w:val="20"/>
        </w:rPr>
        <w:t>ADN:</w:t>
      </w:r>
      <w:proofErr w:type="gramEnd"/>
      <w:r>
        <w:rPr>
          <w:sz w:val="20"/>
        </w:rPr>
        <w:t>) Amendment to Part 5, Chapter 5.5, 5.5.3.3.3, at the end of the second indent of the amended text</w:t>
      </w:r>
    </w:p>
    <w:p w:rsidR="009F409E" w:rsidRDefault="009F409E" w:rsidP="009F409E">
      <w:pPr>
        <w:pStyle w:val="SingleTxtG"/>
      </w:pPr>
      <w:r>
        <w:rPr>
          <w:i/>
        </w:rPr>
        <w:t>For</w:t>
      </w:r>
      <w:r>
        <w:t xml:space="preserve"> where this requirement is fulfilled</w:t>
      </w:r>
      <w:r>
        <w:rPr>
          <w:i/>
        </w:rPr>
        <w:t xml:space="preserve"> read</w:t>
      </w:r>
      <w:r>
        <w:t xml:space="preserve"> and separated from accessible compartments during carriage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INF.59, alternative 3)</w:t>
      </w:r>
    </w:p>
    <w:p w:rsidR="009F409E" w:rsidRDefault="009F409E" w:rsidP="009F409E">
      <w:pPr>
        <w:pStyle w:val="H1G"/>
        <w:rPr>
          <w:sz w:val="20"/>
        </w:rPr>
      </w:pPr>
      <w:r w:rsidRPr="00A37BED">
        <w:rPr>
          <w:sz w:val="20"/>
          <w:lang w:val="fr-CH"/>
        </w:rPr>
        <w:tab/>
      </w:r>
      <w:r w:rsidRPr="00A37BED">
        <w:rPr>
          <w:sz w:val="20"/>
          <w:lang w:val="fr-CH"/>
        </w:rPr>
        <w:tab/>
      </w:r>
      <w:r>
        <w:rPr>
          <w:sz w:val="20"/>
        </w:rPr>
        <w:t>Amendment to Part 6, Chapter 6.2, 6.2.4.1, new row for EN 14140:2014 +AC</w:t>
      </w:r>
      <w:proofErr w:type="gramStart"/>
      <w:r>
        <w:rPr>
          <w:sz w:val="20"/>
        </w:rPr>
        <w:t>:2015</w:t>
      </w:r>
      <w:proofErr w:type="gramEnd"/>
      <w:r>
        <w:rPr>
          <w:sz w:val="20"/>
        </w:rPr>
        <w:t>, in the first column, after AC:2015</w:t>
      </w:r>
    </w:p>
    <w:p w:rsidR="009F409E" w:rsidRDefault="009F409E" w:rsidP="009F409E">
      <w:pPr>
        <w:pStyle w:val="SingleTxtG"/>
      </w:pPr>
      <w:r>
        <w:rPr>
          <w:i/>
        </w:rPr>
        <w:t>Insert</w:t>
      </w:r>
      <w:r>
        <w:t xml:space="preserve"> (except over-moulded cylinders)</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w:t>
      </w:r>
      <w:proofErr w:type="gramStart"/>
      <w:r>
        <w:rPr>
          <w:sz w:val="20"/>
        </w:rPr>
        <w:t>RID:</w:t>
      </w:r>
      <w:proofErr w:type="gramEnd"/>
      <w:r>
        <w:rPr>
          <w:sz w:val="20"/>
        </w:rPr>
        <w:t>) Amendment to Part 6, Chapter 6.8, 6.8.2.6.1, Table, under “For the design and construction of tanks”, for standard “EN 14025:2013”, in column (4)</w:t>
      </w:r>
    </w:p>
    <w:p w:rsidR="009F409E" w:rsidRDefault="009F409E" w:rsidP="009F409E">
      <w:pPr>
        <w:pStyle w:val="SingleTxtG"/>
      </w:pPr>
      <w:r>
        <w:rPr>
          <w:i/>
        </w:rPr>
        <w:t>For</w:t>
      </w:r>
      <w:r>
        <w:t xml:space="preserve"> </w:t>
      </w:r>
      <w:r>
        <w:rPr>
          <w:rFonts w:cs="Arial"/>
          <w:szCs w:val="22"/>
        </w:rPr>
        <w:t xml:space="preserve">Until further notice </w:t>
      </w:r>
      <w:r>
        <w:rPr>
          <w:rFonts w:cs="Arial"/>
          <w:i/>
          <w:szCs w:val="22"/>
        </w:rPr>
        <w:t xml:space="preserve">read </w:t>
      </w:r>
      <w:proofErr w:type="gramStart"/>
      <w:r>
        <w:rPr>
          <w:rFonts w:cs="Arial"/>
          <w:szCs w:val="22"/>
        </w:rPr>
        <w:t>Between</w:t>
      </w:r>
      <w:proofErr w:type="gramEnd"/>
      <w:r>
        <w:rPr>
          <w:rFonts w:cs="Arial"/>
          <w:szCs w:val="22"/>
        </w:rPr>
        <w:t xml:space="preserve"> 1 January 2015 and 31 December 2018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w:t>
      </w:r>
      <w:proofErr w:type="gramStart"/>
      <w:r>
        <w:rPr>
          <w:sz w:val="20"/>
        </w:rPr>
        <w:t>RID:</w:t>
      </w:r>
      <w:proofErr w:type="gramEnd"/>
      <w:r>
        <w:rPr>
          <w:sz w:val="20"/>
        </w:rPr>
        <w:t>) Amendment to Part 6, Chapter 6.8, 6.8.2.6.1, Table, under “For the design and construction of tanks”, after the row for standard “EN 14025:2013”</w:t>
      </w:r>
    </w:p>
    <w:p w:rsidR="009F409E" w:rsidRDefault="009F409E" w:rsidP="009F409E">
      <w:pPr>
        <w:pStyle w:val="SingleTxtG"/>
        <w:rPr>
          <w:rFonts w:cs="Arial"/>
          <w:szCs w:val="22"/>
        </w:rPr>
      </w:pPr>
      <w:r>
        <w:rPr>
          <w:i/>
        </w:rPr>
        <w:t>Insert</w:t>
      </w:r>
      <w:r>
        <w:t xml:space="preserve"> </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956"/>
        <w:gridCol w:w="664"/>
      </w:tblGrid>
      <w:tr w:rsidR="009F409E" w:rsidTr="009F409E">
        <w:tc>
          <w:tcPr>
            <w:tcW w:w="1679" w:type="dxa"/>
            <w:tcBorders>
              <w:top w:val="single" w:sz="4" w:space="0" w:color="auto"/>
              <w:left w:val="single" w:sz="4" w:space="0" w:color="auto"/>
              <w:bottom w:val="single" w:sz="4" w:space="0" w:color="auto"/>
              <w:right w:val="single" w:sz="4" w:space="0" w:color="auto"/>
            </w:tcBorders>
            <w:vAlign w:val="center"/>
            <w:hideMark/>
          </w:tcPr>
          <w:p w:rsidR="009F409E" w:rsidRPr="00A37BED" w:rsidRDefault="009F409E">
            <w:pPr>
              <w:widowControl w:val="0"/>
              <w:rPr>
                <w:rFonts w:cs="Arial"/>
                <w:sz w:val="18"/>
                <w:szCs w:val="18"/>
                <w:lang w:val="fr-CH"/>
              </w:rPr>
            </w:pPr>
            <w:r w:rsidRPr="00A37BED">
              <w:rPr>
                <w:sz w:val="18"/>
                <w:szCs w:val="18"/>
                <w:lang w:val="fr-CH"/>
              </w:rPr>
              <w:t>EN 14025:2013</w:t>
            </w:r>
            <w:r w:rsidRPr="00A37BED">
              <w:rPr>
                <w:rFonts w:cs="Arial"/>
                <w:sz w:val="18"/>
                <w:szCs w:val="18"/>
                <w:lang w:val="fr-CH"/>
              </w:rPr>
              <w:t>+</w:t>
            </w:r>
          </w:p>
          <w:p w:rsidR="009F409E" w:rsidRPr="00A37BED" w:rsidRDefault="009F409E">
            <w:pPr>
              <w:widowControl w:val="0"/>
              <w:rPr>
                <w:rFonts w:cs="Arial"/>
                <w:sz w:val="18"/>
                <w:szCs w:val="18"/>
                <w:lang w:val="fr-CH"/>
              </w:rPr>
            </w:pPr>
            <w:r w:rsidRPr="00A37BED">
              <w:rPr>
                <w:rFonts w:cs="Arial"/>
                <w:sz w:val="18"/>
                <w:szCs w:val="18"/>
                <w:lang w:val="fr-CH"/>
              </w:rPr>
              <w:t>A1</w:t>
            </w:r>
            <w:proofErr w:type="gramStart"/>
            <w:r w:rsidRPr="00A37BED">
              <w:rPr>
                <w:rFonts w:cs="Arial"/>
                <w:sz w:val="18"/>
                <w:szCs w:val="18"/>
                <w:lang w:val="fr-CH"/>
              </w:rPr>
              <w:t>:[</w:t>
            </w:r>
            <w:proofErr w:type="gramEnd"/>
            <w:r w:rsidRPr="00A37BED">
              <w:rPr>
                <w:rFonts w:cs="Arial"/>
                <w:sz w:val="18"/>
                <w:szCs w:val="18"/>
                <w:lang w:val="fr-CH"/>
              </w:rPr>
              <w:t>2016] (</w:t>
            </w:r>
            <w:proofErr w:type="spellStart"/>
            <w:r w:rsidRPr="00A37BED">
              <w:rPr>
                <w:rFonts w:cs="Arial"/>
                <w:sz w:val="18"/>
                <w:szCs w:val="18"/>
                <w:lang w:val="fr-CH"/>
              </w:rPr>
              <w:t>except</w:t>
            </w:r>
            <w:proofErr w:type="spellEnd"/>
            <w:r w:rsidRPr="00A37BED">
              <w:rPr>
                <w:rFonts w:cs="Arial"/>
                <w:sz w:val="18"/>
                <w:szCs w:val="18"/>
                <w:lang w:val="fr-CH"/>
              </w:rPr>
              <w:t xml:space="preserve"> </w:t>
            </w:r>
            <w:proofErr w:type="spellStart"/>
            <w:r w:rsidRPr="00A37BED">
              <w:rPr>
                <w:rFonts w:cs="Arial"/>
                <w:sz w:val="18"/>
                <w:szCs w:val="18"/>
                <w:lang w:val="fr-CH"/>
              </w:rPr>
              <w:t>Annex</w:t>
            </w:r>
            <w:proofErr w:type="spellEnd"/>
            <w:r w:rsidRPr="00A37BED">
              <w:rPr>
                <w:rFonts w:cs="Arial"/>
                <w:sz w:val="18"/>
                <w:szCs w:val="18"/>
                <w:lang w:val="fr-CH"/>
              </w:rPr>
              <w:t xml:space="preserve">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bCs/>
                <w:sz w:val="18"/>
                <w:szCs w:val="18"/>
              </w:rPr>
              <w:t>Tanks for the transport of dangerous goods – Metallic pressure tanks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sz w:val="18"/>
                <w:szCs w:val="18"/>
              </w:rPr>
              <w:t>6.8.2.1 and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9F409E" w:rsidRDefault="009F409E">
            <w:pPr>
              <w:widowControl w:val="0"/>
              <w:rPr>
                <w:rFonts w:cs="Arial"/>
                <w:sz w:val="18"/>
                <w:szCs w:val="18"/>
              </w:rPr>
            </w:pPr>
          </w:p>
        </w:tc>
      </w:tr>
    </w:tbl>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w:t>
      </w:r>
      <w:proofErr w:type="gramStart"/>
      <w:r>
        <w:rPr>
          <w:sz w:val="20"/>
        </w:rPr>
        <w:t>ADR:</w:t>
      </w:r>
      <w:proofErr w:type="gramEnd"/>
      <w:r>
        <w:rPr>
          <w:sz w:val="20"/>
        </w:rPr>
        <w:t>) Amendment to Part 6, Chapter 6.8, 6.8.2.6.1, table, under “For design and construction of tanks”, new entry for standard EN 12493:2013 + A1:2014, first column</w:t>
      </w:r>
    </w:p>
    <w:p w:rsidR="009F409E" w:rsidRDefault="009F409E" w:rsidP="009F409E">
      <w:pPr>
        <w:pStyle w:val="SingleTxtG"/>
        <w:rPr>
          <w:rFonts w:cs="Arial"/>
          <w:i/>
          <w:szCs w:val="22"/>
        </w:rPr>
      </w:pPr>
      <w:r>
        <w:rPr>
          <w:i/>
        </w:rPr>
        <w:t xml:space="preserve">For </w:t>
      </w:r>
      <w:r>
        <w:t xml:space="preserve">EN 12493:2013 + A1:2014 (except Annex C) </w:t>
      </w:r>
      <w:r>
        <w:rPr>
          <w:i/>
        </w:rPr>
        <w:t xml:space="preserve">read </w:t>
      </w:r>
      <w:r>
        <w:t>EN 12493:2013 + A1:2014 + AC</w:t>
      </w:r>
      <w:proofErr w:type="gramStart"/>
      <w:r>
        <w:t>:2015</w:t>
      </w:r>
      <w:proofErr w:type="gramEnd"/>
      <w:r>
        <w:t xml:space="preserve"> (except Annex C)</w:t>
      </w:r>
    </w:p>
    <w:p w:rsidR="009F409E" w:rsidRDefault="009F409E" w:rsidP="009F409E">
      <w:pPr>
        <w:pStyle w:val="SingleTxtG"/>
        <w:ind w:left="0"/>
        <w:rPr>
          <w:i/>
        </w:rPr>
      </w:pPr>
      <w:r>
        <w:rPr>
          <w:i/>
        </w:rPr>
        <w:t>(Reference document: informal document INF.57)</w:t>
      </w:r>
    </w:p>
    <w:p w:rsidR="009F409E" w:rsidRDefault="009F409E" w:rsidP="009F409E">
      <w:pPr>
        <w:pStyle w:val="H1G"/>
        <w:rPr>
          <w:sz w:val="20"/>
        </w:rPr>
      </w:pPr>
      <w:r>
        <w:rPr>
          <w:sz w:val="20"/>
        </w:rPr>
        <w:tab/>
      </w:r>
      <w:r>
        <w:rPr>
          <w:sz w:val="20"/>
        </w:rPr>
        <w:tab/>
        <w:t>(</w:t>
      </w:r>
      <w:proofErr w:type="gramStart"/>
      <w:r>
        <w:rPr>
          <w:sz w:val="20"/>
        </w:rPr>
        <w:t>ADR:</w:t>
      </w:r>
      <w:proofErr w:type="gramEnd"/>
      <w:r>
        <w:rPr>
          <w:sz w:val="20"/>
        </w:rPr>
        <w:t>) Amendment to Part 6, Chapter 6.8, 6.8.4, special provision TT11</w:t>
      </w:r>
    </w:p>
    <w:p w:rsidR="009F409E" w:rsidRDefault="009F409E" w:rsidP="009F409E">
      <w:pPr>
        <w:pStyle w:val="SingleTxtG"/>
        <w:rPr>
          <w:rFonts w:cs="Arial"/>
          <w:i/>
          <w:szCs w:val="22"/>
        </w:rPr>
      </w:pPr>
      <w:r>
        <w:rPr>
          <w:i/>
        </w:rPr>
        <w:t xml:space="preserve">For </w:t>
      </w:r>
      <w:r>
        <w:t xml:space="preserve">EN 12493:2013 + A1:2014 </w:t>
      </w:r>
      <w:r>
        <w:rPr>
          <w:i/>
        </w:rPr>
        <w:t xml:space="preserve">read </w:t>
      </w:r>
      <w:r>
        <w:t>EN 12493:2013 + A1:2014 + AC</w:t>
      </w:r>
      <w:proofErr w:type="gramStart"/>
      <w:r>
        <w:t>:2015</w:t>
      </w:r>
      <w:proofErr w:type="gramEnd"/>
      <w:r>
        <w:t xml:space="preserve"> </w:t>
      </w:r>
    </w:p>
    <w:p w:rsidR="009F409E" w:rsidRPr="00A37BED" w:rsidRDefault="009F409E" w:rsidP="009F409E">
      <w:pPr>
        <w:pStyle w:val="SingleTxtG"/>
        <w:ind w:left="0"/>
        <w:rPr>
          <w:i/>
          <w:lang w:val="fr-CH"/>
        </w:rPr>
      </w:pPr>
      <w:r w:rsidRPr="00A37BED">
        <w:rPr>
          <w:i/>
          <w:lang w:val="fr-CH"/>
        </w:rPr>
        <w:lastRenderedPageBreak/>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Amendment to Part 7, Chapter 7.5, new 7.5.7.6.1, in the Note</w:t>
      </w:r>
    </w:p>
    <w:p w:rsidR="009F409E" w:rsidRDefault="009F409E" w:rsidP="009F409E">
      <w:pPr>
        <w:pStyle w:val="SingleTxtG"/>
      </w:pPr>
      <w:r>
        <w:rPr>
          <w:i/>
        </w:rPr>
        <w:t>For</w:t>
      </w:r>
      <w:r>
        <w:t xml:space="preserve"> IMO/ILO/UNECE Guidelines for Packing Cargo Transport Units (CTUs)</w:t>
      </w:r>
      <w:r>
        <w:rPr>
          <w:i/>
        </w:rPr>
        <w:t xml:space="preserve"> read</w:t>
      </w:r>
      <w:r>
        <w:t xml:space="preserve"> IMO/ILO/UNECE Code of Practice for Packing of Cargo Transport Units (CTU Code)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INF.19)</w:t>
      </w:r>
    </w:p>
    <w:p w:rsidR="009F409E" w:rsidRPr="00A37BED" w:rsidRDefault="009F409E">
      <w:pPr>
        <w:suppressAutoHyphens w:val="0"/>
        <w:spacing w:line="240" w:lineRule="auto"/>
        <w:rPr>
          <w:b/>
          <w:sz w:val="28"/>
          <w:lang w:val="fr-CH"/>
        </w:rPr>
      </w:pPr>
      <w:r w:rsidRPr="00A37BED">
        <w:rPr>
          <w:lang w:val="fr-CH"/>
        </w:rPr>
        <w:br w:type="page"/>
      </w:r>
    </w:p>
    <w:p w:rsidR="009F409E" w:rsidRPr="00EE291E" w:rsidRDefault="009F409E" w:rsidP="009F409E">
      <w:pPr>
        <w:pStyle w:val="HChG"/>
      </w:pPr>
      <w:r w:rsidRPr="00EE291E">
        <w:lastRenderedPageBreak/>
        <w:t xml:space="preserve">Annex </w:t>
      </w:r>
      <w:r>
        <w:t>III</w:t>
      </w:r>
    </w:p>
    <w:p w:rsidR="009F409E" w:rsidRDefault="009F409E" w:rsidP="009F409E">
      <w:pPr>
        <w:pStyle w:val="HChG"/>
      </w:pPr>
      <w:r>
        <w:tab/>
      </w:r>
      <w:r>
        <w:tab/>
        <w:t>Draft new amendments for entry into force on 1 January 2017</w:t>
      </w:r>
    </w:p>
    <w:p w:rsidR="009F409E" w:rsidRDefault="009F409E" w:rsidP="009F409E">
      <w:pPr>
        <w:pStyle w:val="H1G"/>
        <w:rPr>
          <w:sz w:val="20"/>
        </w:rPr>
      </w:pPr>
      <w:r>
        <w:rPr>
          <w:sz w:val="20"/>
        </w:rPr>
        <w:tab/>
      </w:r>
      <w:r>
        <w:rPr>
          <w:sz w:val="20"/>
        </w:rPr>
        <w:tab/>
        <w:t>Chapter 1.1</w:t>
      </w:r>
    </w:p>
    <w:p w:rsidR="009F409E" w:rsidRDefault="009F409E" w:rsidP="009F409E">
      <w:pPr>
        <w:pStyle w:val="SingleTxtG"/>
      </w:pPr>
      <w:r>
        <w:t>1.1.3.2 (</w:t>
      </w:r>
      <w:proofErr w:type="gramStart"/>
      <w:r>
        <w:t>a</w:t>
      </w:r>
      <w:proofErr w:type="gramEnd"/>
      <w:r>
        <w:t>)</w:t>
      </w:r>
      <w:r>
        <w:tab/>
        <w:t>At the end, add the following Note:</w:t>
      </w:r>
    </w:p>
    <w:p w:rsidR="009F409E" w:rsidRDefault="009F409E" w:rsidP="009F409E">
      <w:pPr>
        <w:pStyle w:val="SingleTxtG"/>
        <w:rPr>
          <w:i/>
        </w:rPr>
      </w:pPr>
      <w:r>
        <w:rPr>
          <w:i/>
        </w:rPr>
        <w:t>“</w:t>
      </w:r>
      <w:r>
        <w:rPr>
          <w:b/>
          <w:i/>
        </w:rPr>
        <w:t>NOTE:</w:t>
      </w:r>
      <w:r>
        <w:rPr>
          <w:i/>
        </w:rPr>
        <w:tab/>
        <w:t>A container fitted with equipment for use during carriage, secured on a vehicle, is considered as an integral part of the vehicle and benefits from the same exemptions as regards the fuel necessary to operate the equipment.</w:t>
      </w:r>
      <w:proofErr w:type="gramStart"/>
      <w:r>
        <w:rPr>
          <w:i/>
        </w:rPr>
        <w:t>”.</w:t>
      </w:r>
      <w:proofErr w:type="gramEnd"/>
    </w:p>
    <w:p w:rsidR="009F409E" w:rsidRDefault="009F409E" w:rsidP="009F409E">
      <w:pPr>
        <w:pStyle w:val="SingleTxtG"/>
        <w:ind w:left="0"/>
        <w:rPr>
          <w:i/>
        </w:rPr>
      </w:pPr>
      <w:r>
        <w:rPr>
          <w:i/>
        </w:rPr>
        <w:t>(Reference documents: ECE/TRANS/WP.15/AC.1/2016/16, informal documents INF.52 and INF.60, as amended)</w:t>
      </w:r>
    </w:p>
    <w:p w:rsidR="009F409E" w:rsidRDefault="009F409E" w:rsidP="009F409E">
      <w:pPr>
        <w:pStyle w:val="SingleTxtG"/>
      </w:pPr>
      <w:r>
        <w:t>1.1.3.3 (</w:t>
      </w:r>
      <w:proofErr w:type="gramStart"/>
      <w:r>
        <w:t>a</w:t>
      </w:r>
      <w:proofErr w:type="gramEnd"/>
      <w:r>
        <w:t>)</w:t>
      </w:r>
      <w:r>
        <w:tab/>
        <w:t>At the end, add the following Note:</w:t>
      </w:r>
    </w:p>
    <w:p w:rsidR="009F409E" w:rsidRDefault="009F409E" w:rsidP="009F409E">
      <w:pPr>
        <w:pStyle w:val="SingleTxtG"/>
        <w:rPr>
          <w:i/>
        </w:rPr>
      </w:pPr>
      <w:r>
        <w:rPr>
          <w:i/>
        </w:rPr>
        <w:t>“</w:t>
      </w:r>
      <w:r>
        <w:rPr>
          <w:b/>
          <w:i/>
        </w:rPr>
        <w:t>NOTE:</w:t>
      </w:r>
      <w:r>
        <w:rPr>
          <w:i/>
        </w:rPr>
        <w:tab/>
        <w:t>A container fitted with equipment for use during carriage, secured on a vehicle, is considered as an integral part of the vehicle and benefits from the same exemptions as regards the fuel necessary to operate the equipment.</w:t>
      </w:r>
      <w:proofErr w:type="gramStart"/>
      <w:r>
        <w:rPr>
          <w:i/>
        </w:rPr>
        <w:t>”.</w:t>
      </w:r>
      <w:proofErr w:type="gramEnd"/>
    </w:p>
    <w:p w:rsidR="009F409E" w:rsidRDefault="009F409E" w:rsidP="009F409E">
      <w:pPr>
        <w:pStyle w:val="SingleTxtG"/>
        <w:ind w:left="0"/>
        <w:rPr>
          <w:i/>
        </w:rPr>
      </w:pPr>
      <w:r>
        <w:rPr>
          <w:i/>
        </w:rPr>
        <w:t>(Reference documents: ECE/TRANS/WP.15/AC.1/2016/16, informal documents INF.52 and INF.60, as amended)</w:t>
      </w:r>
    </w:p>
    <w:p w:rsidR="009F409E" w:rsidRDefault="009F409E" w:rsidP="009F409E">
      <w:pPr>
        <w:pStyle w:val="SingleTxtG"/>
      </w:pPr>
      <w:r>
        <w:t>1.1.3.10 (b)</w:t>
      </w:r>
      <w:r>
        <w:tab/>
        <w:t>In the Note after subparagraph (</w:t>
      </w:r>
      <w:proofErr w:type="spellStart"/>
      <w:r>
        <w:t>i</w:t>
      </w:r>
      <w:proofErr w:type="spellEnd"/>
      <w:r>
        <w:t>), replace “ISO 9001:2008” by “ISO 9001”.</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Chapter 1.2</w:t>
      </w:r>
    </w:p>
    <w:p w:rsidR="009F409E" w:rsidRDefault="009F409E" w:rsidP="009F409E">
      <w:pPr>
        <w:pStyle w:val="SingleTxtG"/>
      </w:pPr>
      <w:r>
        <w:t>1.2.1</w:t>
      </w:r>
      <w:r>
        <w:tab/>
        <w:t>The amendment to the definition of “Recycled plastics material” does not apply to the English text.</w:t>
      </w:r>
    </w:p>
    <w:p w:rsidR="009F409E" w:rsidRPr="00A37BED" w:rsidRDefault="009F409E" w:rsidP="009F409E">
      <w:pPr>
        <w:pStyle w:val="SingleTxtG"/>
        <w:ind w:left="0"/>
        <w:rPr>
          <w:i/>
          <w:lang w:val="fr-CH"/>
        </w:rPr>
      </w:pPr>
      <w:r w:rsidRPr="00A37BED">
        <w:rPr>
          <w:i/>
          <w:lang w:val="fr-CH"/>
        </w:rPr>
        <w:t xml:space="preserve">(Reference documents: </w:t>
      </w:r>
      <w:proofErr w:type="spellStart"/>
      <w:r w:rsidRPr="00A37BED">
        <w:rPr>
          <w:i/>
          <w:lang w:val="fr-CH"/>
        </w:rPr>
        <w:t>informal</w:t>
      </w:r>
      <w:proofErr w:type="spellEnd"/>
      <w:r w:rsidRPr="00A37BED">
        <w:rPr>
          <w:i/>
          <w:lang w:val="fr-CH"/>
        </w:rPr>
        <w:t xml:space="preserve"> document INF.15)</w:t>
      </w:r>
    </w:p>
    <w:p w:rsidR="009F409E" w:rsidRDefault="009F409E" w:rsidP="009F409E">
      <w:pPr>
        <w:tabs>
          <w:tab w:val="left" w:pos="1418"/>
          <w:tab w:val="left" w:pos="1843"/>
        </w:tabs>
        <w:spacing w:before="120" w:after="120"/>
        <w:ind w:left="1134" w:right="1134"/>
        <w:jc w:val="both"/>
      </w:pPr>
      <w:r>
        <w:t>(</w:t>
      </w:r>
      <w:proofErr w:type="gramStart"/>
      <w:r>
        <w:t>ADN:</w:t>
      </w:r>
      <w:proofErr w:type="gramEnd"/>
      <w:r>
        <w:t>)</w:t>
      </w:r>
    </w:p>
    <w:p w:rsidR="009F409E" w:rsidRDefault="009F409E" w:rsidP="009F409E">
      <w:pPr>
        <w:tabs>
          <w:tab w:val="left" w:pos="1418"/>
          <w:tab w:val="left" w:pos="1843"/>
        </w:tabs>
        <w:spacing w:before="120" w:after="120"/>
        <w:ind w:left="1134" w:right="1134"/>
        <w:jc w:val="both"/>
      </w:pPr>
      <w:r>
        <w:t>1.2.1</w:t>
      </w:r>
      <w:r>
        <w:tab/>
        <w:t>In the definition of “types of protection”, replace “IEC 60079-7:2006” by “IEC 60079-7:2015”.</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tabs>
          <w:tab w:val="left" w:pos="1418"/>
          <w:tab w:val="left" w:pos="1843"/>
        </w:tabs>
        <w:spacing w:before="120" w:after="120"/>
        <w:ind w:left="1134" w:right="1134"/>
        <w:jc w:val="both"/>
      </w:pPr>
      <w:r>
        <w:t>1.2.1</w:t>
      </w:r>
      <w:r>
        <w:tab/>
        <w:t>Amend the definition of “</w:t>
      </w:r>
      <w:r>
        <w:rPr>
          <w:rFonts w:eastAsia="Calibri"/>
          <w:i/>
          <w:iCs/>
        </w:rPr>
        <w:t>Maximum working pressure (gauge pressure)</w:t>
      </w:r>
      <w:r>
        <w:t>” as follows:</w:t>
      </w:r>
    </w:p>
    <w:p w:rsidR="009F409E" w:rsidRDefault="009F409E" w:rsidP="009F409E">
      <w:pPr>
        <w:tabs>
          <w:tab w:val="left" w:pos="1418"/>
          <w:tab w:val="left" w:pos="1843"/>
        </w:tabs>
        <w:spacing w:before="120" w:after="120"/>
        <w:ind w:left="1134" w:right="1134"/>
        <w:jc w:val="both"/>
        <w:rPr>
          <w:rFonts w:eastAsia="Calibri"/>
        </w:rPr>
      </w:pPr>
      <w:r>
        <w:rPr>
          <w:rFonts w:eastAsia="Calibri"/>
        </w:rPr>
        <w:t>–</w:t>
      </w:r>
      <w:r>
        <w:rPr>
          <w:rFonts w:eastAsia="Calibri"/>
        </w:rPr>
        <w:tab/>
        <w:t>Amend the introductive sentence to read as follows:</w:t>
      </w:r>
    </w:p>
    <w:p w:rsidR="009F409E" w:rsidRDefault="009F409E" w:rsidP="009F409E">
      <w:pPr>
        <w:tabs>
          <w:tab w:val="left" w:pos="1418"/>
          <w:tab w:val="left" w:pos="1843"/>
        </w:tabs>
        <w:spacing w:before="120" w:after="120"/>
        <w:ind w:left="1134" w:right="1134"/>
        <w:jc w:val="both"/>
      </w:pPr>
      <w:r>
        <w:rPr>
          <w:rFonts w:eastAsia="Calibri"/>
        </w:rPr>
        <w:t>““</w:t>
      </w:r>
      <w:r>
        <w:rPr>
          <w:rFonts w:eastAsia="Calibri"/>
          <w:i/>
          <w:iCs/>
        </w:rPr>
        <w:t>Maximum working pressure (gauge pressure)”</w:t>
      </w:r>
      <w:r>
        <w:rPr>
          <w:rFonts w:eastAsia="Calibri"/>
        </w:rPr>
        <w:t xml:space="preserve"> means the highest of the following three pressures </w:t>
      </w:r>
      <w:r>
        <w:rPr>
          <w:rFonts w:eastAsia="Calibri"/>
          <w:bCs/>
        </w:rPr>
        <w:t>that may occur at the top of the tank in the operating position</w:t>
      </w:r>
      <w:r>
        <w:rPr>
          <w:rFonts w:eastAsia="Calibri"/>
        </w:rPr>
        <w:t>:</w:t>
      </w:r>
      <w:proofErr w:type="gramStart"/>
      <w:r>
        <w:rPr>
          <w:rFonts w:eastAsia="Calibri"/>
        </w:rPr>
        <w:t>”.</w:t>
      </w:r>
      <w:proofErr w:type="gramEnd"/>
    </w:p>
    <w:p w:rsidR="009F409E" w:rsidRDefault="009F409E" w:rsidP="009F409E">
      <w:pPr>
        <w:tabs>
          <w:tab w:val="left" w:pos="1418"/>
          <w:tab w:val="left" w:pos="1843"/>
        </w:tabs>
        <w:spacing w:before="120" w:after="120"/>
        <w:ind w:left="1134" w:right="1134"/>
        <w:jc w:val="both"/>
      </w:pPr>
      <w:r>
        <w:t>–</w:t>
      </w:r>
      <w:r>
        <w:tab/>
        <w:t xml:space="preserve">The second and third </w:t>
      </w:r>
      <w:r>
        <w:rPr>
          <w:szCs w:val="24"/>
        </w:rPr>
        <w:t>amendments do not apply to the English text.</w:t>
      </w:r>
    </w:p>
    <w:p w:rsidR="009F409E" w:rsidRDefault="009F409E" w:rsidP="009F409E">
      <w:pPr>
        <w:tabs>
          <w:tab w:val="left" w:pos="1418"/>
          <w:tab w:val="left" w:pos="1843"/>
        </w:tabs>
        <w:spacing w:before="120" w:after="120"/>
        <w:ind w:left="1134" w:right="1134"/>
        <w:jc w:val="both"/>
      </w:pPr>
      <w:r>
        <w:t>–</w:t>
      </w:r>
      <w:r>
        <w:tab/>
        <w:t>After the definition, insert a Note 1 to read as follows:</w:t>
      </w:r>
    </w:p>
    <w:p w:rsidR="009F409E" w:rsidRDefault="009F409E" w:rsidP="009F409E">
      <w:pPr>
        <w:tabs>
          <w:tab w:val="left" w:pos="1418"/>
          <w:tab w:val="left" w:pos="1843"/>
        </w:tabs>
        <w:spacing w:before="120" w:after="120"/>
        <w:ind w:left="1134" w:right="1134"/>
        <w:jc w:val="both"/>
      </w:pPr>
      <w:r>
        <w:t>“</w:t>
      </w:r>
      <w:r>
        <w:rPr>
          <w:b/>
          <w:i/>
        </w:rPr>
        <w:t>NOTE 1:</w:t>
      </w:r>
      <w:r>
        <w:rPr>
          <w:i/>
        </w:rPr>
        <w:tab/>
      </w:r>
      <w:r>
        <w:rPr>
          <w:bCs/>
          <w:i/>
        </w:rPr>
        <w:t>Maximum working pressure is not applicable to gravity-discharge tanks according to 6.8.2.1.14 (a).</w:t>
      </w:r>
      <w:proofErr w:type="gramStart"/>
      <w:r>
        <w:rPr>
          <w:bCs/>
        </w:rPr>
        <w:t>”.</w:t>
      </w:r>
      <w:proofErr w:type="gramEnd"/>
    </w:p>
    <w:p w:rsidR="009F409E" w:rsidRDefault="009F409E" w:rsidP="009F409E">
      <w:pPr>
        <w:tabs>
          <w:tab w:val="left" w:pos="1418"/>
          <w:tab w:val="left" w:pos="1843"/>
        </w:tabs>
        <w:spacing w:before="120" w:after="120"/>
        <w:ind w:left="1134" w:right="1134"/>
        <w:jc w:val="both"/>
      </w:pPr>
      <w:r>
        <w:t>Renumber Notes 1 and 2 as Notes 2 and 3.</w:t>
      </w:r>
    </w:p>
    <w:p w:rsidR="009F409E" w:rsidRDefault="009F409E" w:rsidP="009F409E">
      <w:pPr>
        <w:pStyle w:val="SingleTxtG"/>
        <w:ind w:left="0"/>
        <w:rPr>
          <w:i/>
        </w:rPr>
      </w:pPr>
      <w:r>
        <w:rPr>
          <w:i/>
        </w:rPr>
        <w:lastRenderedPageBreak/>
        <w:t>(Reference documents: ECE/TRANS/WP.15/AC.1/2016/17 and informal documents INF.49 and INF.61)</w:t>
      </w:r>
    </w:p>
    <w:p w:rsidR="009F409E" w:rsidRDefault="009F409E" w:rsidP="009F409E">
      <w:pPr>
        <w:pStyle w:val="H1G"/>
        <w:rPr>
          <w:sz w:val="20"/>
        </w:rPr>
      </w:pPr>
      <w:r>
        <w:rPr>
          <w:sz w:val="20"/>
        </w:rPr>
        <w:tab/>
      </w:r>
      <w:r>
        <w:rPr>
          <w:sz w:val="20"/>
        </w:rPr>
        <w:tab/>
        <w:t>Chapter 1.4</w:t>
      </w:r>
    </w:p>
    <w:p w:rsidR="009F409E" w:rsidRDefault="009F409E" w:rsidP="009F409E">
      <w:pPr>
        <w:tabs>
          <w:tab w:val="left" w:pos="1418"/>
          <w:tab w:val="left" w:pos="1843"/>
        </w:tabs>
        <w:spacing w:before="120" w:after="120"/>
        <w:ind w:left="1134" w:right="1134"/>
        <w:jc w:val="both"/>
        <w:rPr>
          <w:rFonts w:cs="Arial"/>
          <w:szCs w:val="22"/>
        </w:rPr>
      </w:pPr>
      <w:r>
        <w:t>1.4.2.2.1</w:t>
      </w:r>
      <w:r>
        <w:tab/>
      </w:r>
      <w:r>
        <w:tab/>
        <w:t>In paragraph (d), in the Note, before</w:t>
      </w:r>
      <w:r>
        <w:rPr>
          <w:rFonts w:cs="Arial"/>
          <w:bCs/>
          <w:szCs w:val="22"/>
        </w:rPr>
        <w:t xml:space="preserve"> “4.3.2.4.4”, insert: </w:t>
      </w:r>
      <w:r>
        <w:rPr>
          <w:rFonts w:cs="Arial"/>
          <w:szCs w:val="22"/>
        </w:rPr>
        <w:t>“4.3.2.3.7,</w:t>
      </w:r>
      <w:proofErr w:type="gramStart"/>
      <w:r>
        <w:rPr>
          <w:rFonts w:cs="Arial"/>
          <w:szCs w:val="22"/>
        </w:rPr>
        <w:t>”.</w:t>
      </w:r>
      <w:proofErr w:type="gramEnd"/>
    </w:p>
    <w:p w:rsidR="009F409E" w:rsidRDefault="009F409E" w:rsidP="009F409E">
      <w:pPr>
        <w:pStyle w:val="SingleTxtG"/>
        <w:ind w:left="0"/>
        <w:rPr>
          <w:i/>
        </w:rPr>
      </w:pPr>
      <w:r>
        <w:rPr>
          <w:i/>
        </w:rPr>
        <w:t>(Reference documents: informal documents INF.21 and INF.61)</w:t>
      </w:r>
    </w:p>
    <w:p w:rsidR="009F409E" w:rsidRDefault="009F409E" w:rsidP="009F409E">
      <w:pPr>
        <w:pStyle w:val="H1G"/>
        <w:rPr>
          <w:sz w:val="20"/>
        </w:rPr>
      </w:pPr>
      <w:r>
        <w:rPr>
          <w:sz w:val="20"/>
        </w:rPr>
        <w:tab/>
      </w:r>
      <w:r>
        <w:rPr>
          <w:sz w:val="20"/>
        </w:rPr>
        <w:tab/>
        <w:t>Chapter 1.6</w:t>
      </w:r>
    </w:p>
    <w:p w:rsidR="009F409E" w:rsidRDefault="009F409E" w:rsidP="009F409E">
      <w:pPr>
        <w:pStyle w:val="SingleTxtG"/>
      </w:pPr>
      <w:r>
        <w:t>1.6.1.30</w:t>
      </w:r>
      <w:r>
        <w:tab/>
        <w:t>Amend to read as follows:</w:t>
      </w:r>
    </w:p>
    <w:p w:rsidR="009F409E" w:rsidRDefault="009F409E" w:rsidP="009F409E">
      <w:pPr>
        <w:pStyle w:val="SingleTxtG"/>
      </w:pPr>
      <w:r>
        <w:t>“1.6.1.30</w:t>
      </w:r>
      <w:r>
        <w:tab/>
      </w:r>
      <w:r>
        <w:rPr>
          <w:lang w:bidi="en-GB"/>
        </w:rPr>
        <w:t>Labels which meet the requirements of 5.2.2.2.1.1 applicable up to 31 December 2014, may continue to be used until 30 June 2019.</w:t>
      </w:r>
      <w:proofErr w:type="gramStart"/>
      <w:r>
        <w:rPr>
          <w:lang w:bidi="en-GB"/>
        </w:rPr>
        <w:t>”.</w:t>
      </w:r>
      <w:proofErr w:type="gramEnd"/>
    </w:p>
    <w:p w:rsidR="009F409E" w:rsidRDefault="009F409E" w:rsidP="009F409E">
      <w:pPr>
        <w:pStyle w:val="SingleTxtG"/>
        <w:ind w:left="0"/>
        <w:rPr>
          <w:i/>
        </w:rPr>
      </w:pPr>
      <w:r>
        <w:rPr>
          <w:i/>
        </w:rPr>
        <w:t>(Reference document: informal document INF.11, as amended)</w:t>
      </w:r>
    </w:p>
    <w:p w:rsidR="009F409E" w:rsidRDefault="009F409E" w:rsidP="009F409E">
      <w:pPr>
        <w:tabs>
          <w:tab w:val="left" w:pos="1418"/>
          <w:tab w:val="left" w:pos="1843"/>
        </w:tabs>
        <w:spacing w:before="120" w:after="120"/>
        <w:ind w:left="1134" w:right="1134"/>
        <w:jc w:val="both"/>
      </w:pPr>
      <w:r>
        <w:t>(</w:t>
      </w:r>
      <w:proofErr w:type="gramStart"/>
      <w:r>
        <w:t>ADR:</w:t>
      </w:r>
      <w:proofErr w:type="gramEnd"/>
      <w:r>
        <w:t>) 1.6.1</w:t>
      </w:r>
      <w:r>
        <w:tab/>
        <w:t>Add the following transitional measure:</w:t>
      </w:r>
    </w:p>
    <w:p w:rsidR="009F409E" w:rsidRDefault="009F409E" w:rsidP="009F409E">
      <w:pPr>
        <w:tabs>
          <w:tab w:val="left" w:pos="1418"/>
          <w:tab w:val="left" w:pos="1843"/>
        </w:tabs>
        <w:spacing w:before="120" w:after="120"/>
        <w:ind w:left="1134" w:right="1134"/>
        <w:jc w:val="both"/>
      </w:pPr>
      <w:r>
        <w:t>“1.6.1.37</w:t>
      </w:r>
      <w:r>
        <w:tab/>
      </w:r>
      <w:r>
        <w:rPr>
          <w:i/>
        </w:rPr>
        <w:t>(Reserved)</w:t>
      </w:r>
      <w:r>
        <w:t>”.</w:t>
      </w:r>
    </w:p>
    <w:p w:rsidR="009F409E" w:rsidRDefault="009F409E" w:rsidP="009F409E">
      <w:pPr>
        <w:tabs>
          <w:tab w:val="left" w:pos="1418"/>
          <w:tab w:val="left" w:pos="1843"/>
        </w:tabs>
        <w:spacing w:before="120" w:after="120"/>
        <w:ind w:left="1134" w:right="1134"/>
        <w:jc w:val="both"/>
      </w:pPr>
      <w:r>
        <w:t>1.6.3</w:t>
      </w:r>
      <w:r>
        <w:tab/>
        <w:t>Add the following transitional measure:</w:t>
      </w:r>
    </w:p>
    <w:p w:rsidR="009F409E" w:rsidRDefault="009F409E" w:rsidP="009F409E">
      <w:pPr>
        <w:tabs>
          <w:tab w:val="left" w:pos="1418"/>
          <w:tab w:val="left" w:pos="1843"/>
        </w:tabs>
        <w:spacing w:before="120" w:after="120"/>
        <w:ind w:left="1134" w:right="1134"/>
        <w:jc w:val="both"/>
      </w:pPr>
      <w:r>
        <w:t>“1.6.3.46</w:t>
      </w:r>
      <w:r>
        <w:tab/>
        <w:t>Tank wagons / fixed tanks (tank-vehicles) and demountable tanks constructed before 1 July 2017 in accordance with the requirements in force up to 31 December 2016 but which do not however conform to the requirements of 6.8.2.1.23 applicable as from 1 January 2017 may still be used.”</w:t>
      </w:r>
    </w:p>
    <w:p w:rsidR="009F409E" w:rsidRDefault="009F409E" w:rsidP="009F409E">
      <w:pPr>
        <w:pStyle w:val="SingleTxtG"/>
        <w:ind w:left="0"/>
        <w:rPr>
          <w:i/>
        </w:rPr>
      </w:pPr>
      <w:r>
        <w:rPr>
          <w:i/>
        </w:rPr>
        <w:t>(Reference documents: ECE/TRANS/WP.15/AC.1/2016/13, informal documents INF.17, INF.49 and INF.61)</w:t>
      </w:r>
    </w:p>
    <w:p w:rsidR="009F409E" w:rsidRDefault="009F409E" w:rsidP="009F409E">
      <w:pPr>
        <w:tabs>
          <w:tab w:val="left" w:pos="1418"/>
          <w:tab w:val="left" w:pos="1843"/>
        </w:tabs>
        <w:spacing w:before="120" w:after="120"/>
        <w:ind w:left="1134" w:right="1134"/>
        <w:jc w:val="both"/>
      </w:pPr>
      <w:r>
        <w:t>1.6.4</w:t>
      </w:r>
      <w:r>
        <w:tab/>
        <w:t>Add the following transitional measure:</w:t>
      </w:r>
    </w:p>
    <w:p w:rsidR="009F409E" w:rsidRDefault="009F409E" w:rsidP="009F409E">
      <w:pPr>
        <w:tabs>
          <w:tab w:val="left" w:pos="1418"/>
          <w:tab w:val="left" w:pos="1843"/>
        </w:tabs>
        <w:spacing w:before="120" w:after="120"/>
        <w:ind w:left="1134" w:right="1134"/>
        <w:jc w:val="both"/>
      </w:pPr>
      <w:r>
        <w:t>“1.6.4.48</w:t>
      </w:r>
      <w:r>
        <w:tab/>
        <w:t>Tank-containers constructed before 1 July 2017 in accordance with the requirements in force up to 31 December 2016 but which do not however conform to the requirements of 6.8.2.1.23 applicable as from 1 January 2017 may still be used.”</w:t>
      </w:r>
    </w:p>
    <w:p w:rsidR="009F409E" w:rsidRDefault="009F409E" w:rsidP="009F409E">
      <w:pPr>
        <w:pStyle w:val="SingleTxtG"/>
        <w:ind w:left="0"/>
        <w:rPr>
          <w:i/>
        </w:rPr>
      </w:pPr>
      <w:r>
        <w:rPr>
          <w:i/>
        </w:rPr>
        <w:t>(Reference documents: ECE/TRANS/WP.15/AC.1/2016/13, informal documents INF.17, INF.49 and INF.61)</w:t>
      </w:r>
    </w:p>
    <w:p w:rsidR="009F409E" w:rsidRDefault="009F409E" w:rsidP="009F409E">
      <w:pPr>
        <w:pStyle w:val="H1G"/>
        <w:rPr>
          <w:sz w:val="20"/>
        </w:rPr>
      </w:pPr>
      <w:r>
        <w:rPr>
          <w:sz w:val="20"/>
        </w:rPr>
        <w:tab/>
      </w:r>
      <w:r>
        <w:rPr>
          <w:sz w:val="20"/>
        </w:rPr>
        <w:tab/>
        <w:t>Chapter 1.8</w:t>
      </w:r>
    </w:p>
    <w:p w:rsidR="009F409E" w:rsidRDefault="009F409E" w:rsidP="009F409E">
      <w:pPr>
        <w:pStyle w:val="SingleTxtG"/>
      </w:pPr>
      <w:r>
        <w:t>1.8.6.2.3</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H1G"/>
        <w:rPr>
          <w:sz w:val="20"/>
        </w:rPr>
      </w:pPr>
      <w:r w:rsidRPr="00A37BED">
        <w:rPr>
          <w:sz w:val="20"/>
          <w:lang w:val="fr-CH"/>
        </w:rPr>
        <w:tab/>
      </w:r>
      <w:r w:rsidRPr="00A37BED">
        <w:rPr>
          <w:sz w:val="20"/>
          <w:lang w:val="fr-CH"/>
        </w:rPr>
        <w:tab/>
      </w:r>
      <w:r>
        <w:rPr>
          <w:sz w:val="20"/>
        </w:rPr>
        <w:t>Chapter 2.1</w:t>
      </w:r>
    </w:p>
    <w:p w:rsidR="009F409E" w:rsidRDefault="009F409E" w:rsidP="009F409E">
      <w:pPr>
        <w:pStyle w:val="SingleTxtG"/>
      </w:pPr>
      <w:r>
        <w:t>2.1.1.2</w:t>
      </w:r>
      <w:r>
        <w:tab/>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2.1.4.2 (</w:t>
      </w:r>
      <w:proofErr w:type="gramStart"/>
      <w:r>
        <w:t>e</w:t>
      </w:r>
      <w:proofErr w:type="gramEnd"/>
      <w:r>
        <w:t>)</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H1G"/>
        <w:rPr>
          <w:sz w:val="20"/>
        </w:rPr>
      </w:pPr>
      <w:r w:rsidRPr="00A37BED">
        <w:rPr>
          <w:sz w:val="20"/>
          <w:lang w:val="fr-CH"/>
        </w:rPr>
        <w:lastRenderedPageBreak/>
        <w:tab/>
      </w:r>
      <w:r w:rsidRPr="00A37BED">
        <w:rPr>
          <w:sz w:val="20"/>
          <w:lang w:val="fr-CH"/>
        </w:rPr>
        <w:tab/>
      </w:r>
      <w:r>
        <w:rPr>
          <w:sz w:val="20"/>
        </w:rPr>
        <w:t>Chapter 2.2</w:t>
      </w:r>
    </w:p>
    <w:p w:rsidR="009F409E" w:rsidRDefault="009F409E" w:rsidP="009F409E">
      <w:pPr>
        <w:pStyle w:val="SingleTxtG"/>
      </w:pPr>
      <w:r>
        <w:t>2.2.1.1.5</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2.2.1.4</w:t>
      </w:r>
      <w:r>
        <w:tab/>
      </w:r>
      <w:r>
        <w:tab/>
        <w:t>The 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 xml:space="preserve">2.2.2.1.7 </w:t>
      </w:r>
      <w:proofErr w:type="gramStart"/>
      <w:r>
        <w:t>(c)</w:t>
      </w:r>
      <w:proofErr w:type="gramEnd"/>
      <w:r>
        <w:t xml:space="preserve"> and (d)</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2.2.43.1.2</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2.2.52.1.6</w:t>
      </w:r>
      <w:r>
        <w:tab/>
        <w:t>In the third sentence, replace “in one packaging” by “in one package”.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tabs>
          <w:tab w:val="left" w:pos="1418"/>
          <w:tab w:val="left" w:pos="1843"/>
        </w:tabs>
        <w:spacing w:before="120" w:after="120"/>
        <w:ind w:left="1134" w:right="1134"/>
        <w:jc w:val="both"/>
      </w:pPr>
      <w:r>
        <w:t>2.2.61.1.14</w:t>
      </w:r>
      <w:r>
        <w:tab/>
        <w:t>Amend to read as follows:</w:t>
      </w:r>
    </w:p>
    <w:p w:rsidR="009F409E" w:rsidRDefault="009F409E" w:rsidP="009F409E">
      <w:pPr>
        <w:pStyle w:val="SingleTxtG"/>
      </w:pPr>
      <w:r>
        <w:t>“2.2.61.1.14</w:t>
      </w:r>
      <w:r>
        <w:tab/>
        <w:t>Substances, solutions and mixtures, with the exception of substances and preparations used as pesticides, which are not classified as acute toxic category 1, 2 or 3 according to Regulation (EC) No 1272/2008</w:t>
      </w:r>
      <w:r>
        <w:rPr>
          <w:b/>
          <w:vertAlign w:val="superscript"/>
        </w:rPr>
        <w:t>4/3</w:t>
      </w:r>
      <w:r>
        <w:t>, may be considered as substances not belonging to class 6.1.”.</w:t>
      </w:r>
    </w:p>
    <w:p w:rsidR="009F409E" w:rsidRDefault="009F409E" w:rsidP="009F409E">
      <w:pPr>
        <w:pStyle w:val="SingleTxtG"/>
      </w:pPr>
      <w:r>
        <w:t>___</w:t>
      </w:r>
    </w:p>
    <w:p w:rsidR="009F409E" w:rsidRDefault="009F409E" w:rsidP="009F409E">
      <w:pPr>
        <w:pStyle w:val="SingleTxtG"/>
      </w:pPr>
      <w:r>
        <w:rPr>
          <w:b/>
          <w:vertAlign w:val="superscript"/>
        </w:rPr>
        <w:t>4/3</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9F409E" w:rsidRDefault="009F409E" w:rsidP="009F409E">
      <w:pPr>
        <w:pStyle w:val="SingleTxtG"/>
      </w:pPr>
      <w:r>
        <w:t>(</w:t>
      </w:r>
      <w:proofErr w:type="gramStart"/>
      <w:r>
        <w:t>ADR:</w:t>
      </w:r>
      <w:proofErr w:type="gramEnd"/>
      <w:r>
        <w:t>) Existing footnotes 3 and 4 are deleted. Renumber subsequent footnotes accordingly.</w:t>
      </w:r>
    </w:p>
    <w:p w:rsidR="009F409E" w:rsidRDefault="009F409E" w:rsidP="009F409E">
      <w:pPr>
        <w:pStyle w:val="SingleTxtG"/>
      </w:pPr>
      <w:r>
        <w:t>(</w:t>
      </w:r>
      <w:proofErr w:type="gramStart"/>
      <w:r>
        <w:t>RID:</w:t>
      </w:r>
      <w:proofErr w:type="gramEnd"/>
      <w:r>
        <w:t xml:space="preserve">) Existing footnotes 4 and 5 are deleted. Footnote 6 becomes footnote 5. Footnotes 8 to 11 become footnotes 6 to 9. </w:t>
      </w:r>
    </w:p>
    <w:p w:rsidR="009F409E" w:rsidRDefault="009F409E" w:rsidP="009F409E">
      <w:pPr>
        <w:pStyle w:val="SingleTxtG"/>
        <w:ind w:left="0"/>
        <w:rPr>
          <w:i/>
        </w:rPr>
      </w:pPr>
      <w:r>
        <w:rPr>
          <w:i/>
        </w:rPr>
        <w:t>(Reference documents: ECE/TRANS/WP.15/AC.1/2016/2 and informal document INF.54/Rev.2)</w:t>
      </w:r>
    </w:p>
    <w:p w:rsidR="009F409E" w:rsidRDefault="009F409E" w:rsidP="009F409E">
      <w:pPr>
        <w:pStyle w:val="SingleTxtG"/>
      </w:pPr>
      <w:r>
        <w:t>2.2.8.1.9</w:t>
      </w:r>
      <w:r>
        <w:tab/>
        <w:t>Amend to read as follows:</w:t>
      </w:r>
    </w:p>
    <w:p w:rsidR="009F409E" w:rsidRDefault="009F409E" w:rsidP="009F409E">
      <w:pPr>
        <w:pStyle w:val="SingleTxtG"/>
      </w:pPr>
      <w:r>
        <w:t>“2.2.8.1.9</w:t>
      </w:r>
      <w:r>
        <w:tab/>
        <w:t>Substances, solutions and mixtures, which are not classified as corrosive to skin or metal of category 1 according to Regulation (EC) No 1272/2008</w:t>
      </w:r>
      <w:r>
        <w:rPr>
          <w:b/>
          <w:vertAlign w:val="superscript"/>
        </w:rPr>
        <w:t>10/3</w:t>
      </w:r>
      <w:r>
        <w:t xml:space="preserve"> may be considered as substances not belonging to Class 8.</w:t>
      </w:r>
      <w:proofErr w:type="gramStart"/>
      <w:r>
        <w:t>”.</w:t>
      </w:r>
      <w:proofErr w:type="gramEnd"/>
    </w:p>
    <w:p w:rsidR="009F409E" w:rsidRDefault="009F409E" w:rsidP="009F409E">
      <w:pPr>
        <w:pStyle w:val="SingleTxtG"/>
      </w:pPr>
      <w:r>
        <w:t>The note remains unchanged.</w:t>
      </w:r>
    </w:p>
    <w:p w:rsidR="009F409E" w:rsidRDefault="009F409E" w:rsidP="009F409E">
      <w:pPr>
        <w:pStyle w:val="SingleTxtG"/>
      </w:pPr>
      <w:r>
        <w:t>___</w:t>
      </w:r>
    </w:p>
    <w:p w:rsidR="009F409E" w:rsidRDefault="009F409E" w:rsidP="009F409E">
      <w:pPr>
        <w:pStyle w:val="SingleTxtG"/>
      </w:pPr>
      <w:r>
        <w:rPr>
          <w:b/>
          <w:vertAlign w:val="superscript"/>
        </w:rPr>
        <w:t>10/3</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9F409E" w:rsidRDefault="009F409E" w:rsidP="009F409E">
      <w:pPr>
        <w:pStyle w:val="SingleTxtG"/>
      </w:pPr>
      <w:r>
        <w:t>(</w:t>
      </w:r>
      <w:proofErr w:type="gramStart"/>
      <w:r>
        <w:t>RID:</w:t>
      </w:r>
      <w:proofErr w:type="gramEnd"/>
      <w:r>
        <w:t>) Existing footnotes 12 and 13 are deleted. Footnotes 14 to 23 become footnotes 11 to 20.</w:t>
      </w:r>
    </w:p>
    <w:p w:rsidR="009F409E" w:rsidRDefault="009F409E" w:rsidP="009F409E">
      <w:pPr>
        <w:pStyle w:val="SingleTxtG"/>
        <w:ind w:left="0"/>
        <w:rPr>
          <w:i/>
        </w:rPr>
      </w:pPr>
      <w:r>
        <w:rPr>
          <w:i/>
        </w:rPr>
        <w:t>(Reference documents: ECE/TRANS/WP.15/AC.1/2016/2 and informal document INF.54/Rev.2)</w:t>
      </w:r>
    </w:p>
    <w:p w:rsidR="009F409E" w:rsidRDefault="009F409E" w:rsidP="009F409E">
      <w:pPr>
        <w:pStyle w:val="SingleTxtG"/>
      </w:pPr>
      <w:proofErr w:type="gramStart"/>
      <w:r>
        <w:lastRenderedPageBreak/>
        <w:t>2.2.9.1.10.2.6 (c)</w:t>
      </w:r>
      <w:r>
        <w:tab/>
        <w:t>Delete “or mixture”.</w:t>
      </w:r>
      <w:proofErr w:type="gramEnd"/>
      <w:r>
        <w:t xml:space="preserve"> </w:t>
      </w:r>
    </w:p>
    <w:p w:rsidR="009F409E" w:rsidRDefault="009F409E" w:rsidP="009F409E">
      <w:pPr>
        <w:pStyle w:val="SingleTxtG"/>
        <w:ind w:left="0"/>
        <w:rPr>
          <w:i/>
        </w:rPr>
      </w:pPr>
      <w:r>
        <w:rPr>
          <w:i/>
        </w:rPr>
        <w:t>(Reference document: informal document INF.15)</w:t>
      </w:r>
    </w:p>
    <w:p w:rsidR="009F409E" w:rsidRDefault="009F409E" w:rsidP="009F409E">
      <w:pPr>
        <w:pStyle w:val="SingleTxtG"/>
      </w:pPr>
      <w:r>
        <w:t>(</w:t>
      </w:r>
      <w:proofErr w:type="gramStart"/>
      <w:r>
        <w:t>RID:</w:t>
      </w:r>
      <w:proofErr w:type="gramEnd"/>
      <w:r>
        <w:t>) 2.2.9.1.10.5</w:t>
      </w:r>
      <w:r>
        <w:tab/>
        <w:t>Amend footnote 16 (former footnote 19) to read as follows:</w:t>
      </w:r>
    </w:p>
    <w:p w:rsidR="009F409E" w:rsidRDefault="009F409E" w:rsidP="009F409E">
      <w:pPr>
        <w:pStyle w:val="SingleTxtG"/>
      </w:pPr>
      <w:r>
        <w:t>“</w:t>
      </w:r>
      <w:r>
        <w:rPr>
          <w:b/>
          <w:vertAlign w:val="superscript"/>
        </w:rPr>
        <w:t>19</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9F409E" w:rsidRDefault="009F409E" w:rsidP="009F409E">
      <w:pPr>
        <w:pStyle w:val="SingleTxtG"/>
      </w:pPr>
      <w:r>
        <w:t>At the end of paragraph (a), delete: “or, if still relevant according to the said Regulation, risk phrase(s) R50, R50/53 or R51/53 according to the Directives 67/548/EEC</w:t>
      </w:r>
      <w:r>
        <w:rPr>
          <w:b/>
          <w:vertAlign w:val="superscript"/>
        </w:rPr>
        <w:t>20</w:t>
      </w:r>
      <w:r>
        <w:t xml:space="preserve"> or 1999/45/EC</w:t>
      </w:r>
      <w:r>
        <w:rPr>
          <w:b/>
          <w:vertAlign w:val="superscript"/>
        </w:rPr>
        <w:t>21</w:t>
      </w:r>
      <w:r>
        <w:t>”.</w:t>
      </w:r>
    </w:p>
    <w:p w:rsidR="009F409E" w:rsidRDefault="009F409E" w:rsidP="009F409E">
      <w:pPr>
        <w:pStyle w:val="SingleTxtG"/>
      </w:pPr>
      <w:r>
        <w:t>Amend paragraph (b) to read as follows: “(b)</w:t>
      </w:r>
      <w:r>
        <w:tab/>
        <w:t>May be regarded as not being an environmentally hazardous substance (aquatic environment) if it does not have to be assigned such a category according to the said Regulation.</w:t>
      </w:r>
      <w:proofErr w:type="gramStart"/>
      <w:r>
        <w:t>”.</w:t>
      </w:r>
      <w:proofErr w:type="gramEnd"/>
    </w:p>
    <w:p w:rsidR="009F409E" w:rsidRDefault="009F409E" w:rsidP="009F409E">
      <w:pPr>
        <w:pStyle w:val="SingleTxtG"/>
      </w:pPr>
      <w:r>
        <w:t>(ADR/</w:t>
      </w:r>
      <w:proofErr w:type="gramStart"/>
      <w:r>
        <w:t>ADN:</w:t>
      </w:r>
      <w:proofErr w:type="gramEnd"/>
      <w:r>
        <w:t>) 2.2.9.1.10.5</w:t>
      </w:r>
      <w:r>
        <w:tab/>
        <w:t>Renumber the reference to the footnote after “1272/2008/EC” as 3. Footnote 3 reads as follows:</w:t>
      </w:r>
    </w:p>
    <w:p w:rsidR="009F409E" w:rsidRDefault="009F409E" w:rsidP="009F409E">
      <w:pPr>
        <w:pStyle w:val="SingleTxtG"/>
      </w:pPr>
      <w:r>
        <w:t>“</w:t>
      </w:r>
      <w:r>
        <w:rPr>
          <w:b/>
          <w:vertAlign w:val="superscript"/>
        </w:rPr>
        <w:t>3</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9F409E" w:rsidRDefault="009F409E" w:rsidP="009F409E">
      <w:pPr>
        <w:pStyle w:val="SingleTxtG"/>
      </w:pPr>
      <w:r>
        <w:t>At the end of paragraph (a), delete: “or, if still relevant according to the said Regulation, risk phrase(s) R50, R50/53 or R51/53 according to the Directives 67/548/EEC</w:t>
      </w:r>
      <w:r>
        <w:rPr>
          <w:vertAlign w:val="superscript"/>
        </w:rPr>
        <w:t>3</w:t>
      </w:r>
      <w:r>
        <w:t xml:space="preserve"> or 1999/45/EC</w:t>
      </w:r>
      <w:r>
        <w:rPr>
          <w:vertAlign w:val="superscript"/>
        </w:rPr>
        <w:t>4</w:t>
      </w:r>
      <w:r>
        <w:t>”.</w:t>
      </w:r>
    </w:p>
    <w:p w:rsidR="009F409E" w:rsidRDefault="009F409E" w:rsidP="009F409E">
      <w:pPr>
        <w:pStyle w:val="SingleTxtG"/>
      </w:pPr>
      <w:r>
        <w:t>Amend paragraph (b) to read as follows: “(b)</w:t>
      </w:r>
      <w:r>
        <w:tab/>
        <w:t>May be regarded as not being an environmentally hazardous substance (aquatic environment) if it does not have to be assigned such a category according to the said Regulation.</w:t>
      </w:r>
      <w:proofErr w:type="gramStart"/>
      <w:r>
        <w:t>”.</w:t>
      </w:r>
      <w:proofErr w:type="gramEnd"/>
    </w:p>
    <w:p w:rsidR="009F409E" w:rsidRDefault="009F409E" w:rsidP="009F409E">
      <w:pPr>
        <w:pStyle w:val="SingleTxtG"/>
        <w:ind w:left="0"/>
        <w:rPr>
          <w:i/>
        </w:rPr>
      </w:pPr>
      <w:r>
        <w:rPr>
          <w:i/>
        </w:rPr>
        <w:t>(Reference documents: ECE/TRANS/WP.15/AC.1/2016/2 and informal document INF.54/Rev.2)</w:t>
      </w:r>
    </w:p>
    <w:p w:rsidR="009F409E" w:rsidRDefault="009F409E" w:rsidP="009F409E">
      <w:pPr>
        <w:pStyle w:val="SingleTxtG"/>
      </w:pPr>
      <w:r>
        <w:t>2.3.1.4</w:t>
      </w:r>
      <w:r>
        <w:tab/>
      </w:r>
      <w:r>
        <w:tab/>
        <w:t>Replace “iron plate” by “lead plate”.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H1G"/>
        <w:rPr>
          <w:sz w:val="20"/>
        </w:rPr>
      </w:pPr>
      <w:r w:rsidRPr="00A37BED">
        <w:rPr>
          <w:sz w:val="20"/>
          <w:lang w:val="fr-CH"/>
        </w:rPr>
        <w:tab/>
      </w:r>
      <w:r w:rsidRPr="00A37BED">
        <w:rPr>
          <w:sz w:val="20"/>
          <w:lang w:val="fr-CH"/>
        </w:rPr>
        <w:tab/>
      </w:r>
      <w:r>
        <w:rPr>
          <w:sz w:val="20"/>
        </w:rPr>
        <w:t>Chapter 3.2, Table A</w:t>
      </w:r>
    </w:p>
    <w:p w:rsidR="009F409E" w:rsidRDefault="009F409E" w:rsidP="009F409E">
      <w:pPr>
        <w:pStyle w:val="SingleTxtG"/>
      </w:pPr>
      <w:r>
        <w:t>For UN numbers 1133, 1139, 1169, 1197, 1210, 1263, 1266, 1286, 1287, 1306, 1866, 1993 and 1999, for each first entry for packing group III, in column (6), delete: “640E”.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INF.36)</w:t>
      </w:r>
    </w:p>
    <w:p w:rsidR="009F409E" w:rsidRDefault="009F409E" w:rsidP="009F409E">
      <w:pPr>
        <w:pStyle w:val="SingleTxtG"/>
      </w:pPr>
      <w:r>
        <w:t>For UN Nos. 3166, 3171, 3528, 3529 and 3530, in column (6), insert: “669”.</w:t>
      </w:r>
    </w:p>
    <w:p w:rsidR="009F409E" w:rsidRDefault="009F409E" w:rsidP="009F409E">
      <w:pPr>
        <w:pStyle w:val="SingleTxtG"/>
        <w:ind w:left="0"/>
        <w:rPr>
          <w:i/>
        </w:rPr>
      </w:pPr>
      <w:r>
        <w:rPr>
          <w:i/>
        </w:rPr>
        <w:t>(Reference documents: ECE/TRANS/WP.15/AC.1/2016/16, informal documents INF.52 and INF.60, as amended)</w:t>
      </w:r>
    </w:p>
    <w:p w:rsidR="009F409E" w:rsidRDefault="009F409E" w:rsidP="009F409E">
      <w:pPr>
        <w:pStyle w:val="H1G"/>
        <w:rPr>
          <w:sz w:val="20"/>
        </w:rPr>
      </w:pPr>
      <w:r>
        <w:rPr>
          <w:sz w:val="20"/>
        </w:rPr>
        <w:tab/>
      </w:r>
      <w:r>
        <w:rPr>
          <w:sz w:val="20"/>
        </w:rPr>
        <w:tab/>
        <w:t>Chapter 3.3</w:t>
      </w:r>
    </w:p>
    <w:p w:rsidR="009F409E" w:rsidRDefault="009F409E" w:rsidP="009F409E">
      <w:pPr>
        <w:pStyle w:val="SingleTxtG"/>
      </w:pPr>
      <w:r>
        <w:t>SP 342 (b)</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lastRenderedPageBreak/>
        <w:t>SP 373 (a)</w:t>
      </w:r>
      <w:r>
        <w:tab/>
        <w:t xml:space="preserve">In the Note after subparagraph (iii), </w:t>
      </w:r>
      <w:proofErr w:type="gramStart"/>
      <w:r>
        <w:t>replace</w:t>
      </w:r>
      <w:proofErr w:type="gramEnd"/>
      <w:r>
        <w:t xml:space="preserve"> “ISO 9001:2008” by “ISO 9001”.</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SingleTxtG"/>
      </w:pPr>
      <w:r>
        <w:t>SP 528</w:t>
      </w:r>
      <w:r>
        <w:tab/>
        <w:t>Replace “articles of Class 4.1” by “substances of Class 4.1”.</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SP 531</w:t>
      </w:r>
      <w:r>
        <w:tab/>
        <w:t>After “Class 4.1”, insert “(UN Nos. 2555, 2556 or 2557)”.</w:t>
      </w:r>
    </w:p>
    <w:p w:rsidR="009F409E" w:rsidRDefault="009F409E" w:rsidP="009F409E">
      <w:pPr>
        <w:pStyle w:val="SingleTxtG"/>
        <w:ind w:left="0"/>
        <w:rPr>
          <w:i/>
        </w:rPr>
      </w:pPr>
      <w:r>
        <w:rPr>
          <w:i/>
        </w:rPr>
        <w:t>(Reference document: informal document INF.15)</w:t>
      </w:r>
    </w:p>
    <w:p w:rsidR="009F409E" w:rsidRDefault="009F409E" w:rsidP="009F409E">
      <w:pPr>
        <w:pStyle w:val="SingleTxtG"/>
      </w:pPr>
      <w:r>
        <w:t>SP 592</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tabs>
          <w:tab w:val="left" w:pos="1418"/>
          <w:tab w:val="left" w:pos="1843"/>
        </w:tabs>
        <w:spacing w:before="120" w:after="120"/>
        <w:ind w:left="1134" w:right="1134"/>
        <w:jc w:val="both"/>
      </w:pPr>
      <w:r>
        <w:t>(</w:t>
      </w:r>
      <w:proofErr w:type="gramStart"/>
      <w:r>
        <w:t>ADR:</w:t>
      </w:r>
      <w:proofErr w:type="gramEnd"/>
      <w:r>
        <w:t>)</w:t>
      </w:r>
    </w:p>
    <w:p w:rsidR="009F409E" w:rsidRDefault="009F409E" w:rsidP="009F409E">
      <w:pPr>
        <w:pStyle w:val="SingleTxtG"/>
      </w:pPr>
      <w:r>
        <w:t>SP 636 (b)</w:t>
      </w:r>
      <w:r>
        <w:tab/>
        <w:t>Amend the text before subparagraph (</w:t>
      </w:r>
      <w:proofErr w:type="spellStart"/>
      <w:r>
        <w:t>i</w:t>
      </w:r>
      <w:proofErr w:type="spellEnd"/>
      <w:r>
        <w:t>) to read as follows:</w:t>
      </w:r>
    </w:p>
    <w:p w:rsidR="009F409E" w:rsidRDefault="009F409E" w:rsidP="009F409E">
      <w:pPr>
        <w:pStyle w:val="SingleTxtG"/>
        <w:rPr>
          <w:rFonts w:eastAsia="MS Mincho"/>
          <w:lang w:eastAsia="nl-NL"/>
        </w:rPr>
      </w:pPr>
      <w:r>
        <w:rPr>
          <w:rFonts w:eastAsia="MS Mincho"/>
          <w:lang w:eastAsia="nl-NL"/>
        </w:rPr>
        <w:t>“(b)</w:t>
      </w:r>
      <w:r>
        <w:rPr>
          <w:rFonts w:eastAsia="MS Mincho"/>
          <w:lang w:eastAsia="nl-NL"/>
        </w:rPr>
        <w:tab/>
        <w:t>Up to the intermediate processing facility:</w:t>
      </w:r>
    </w:p>
    <w:p w:rsidR="009F409E" w:rsidRDefault="009F409E" w:rsidP="009F409E">
      <w:pPr>
        <w:pStyle w:val="Bullet1G"/>
        <w:numPr>
          <w:ilvl w:val="0"/>
          <w:numId w:val="0"/>
        </w:numPr>
        <w:tabs>
          <w:tab w:val="left" w:pos="708"/>
        </w:tabs>
        <w:suppressAutoHyphens w:val="0"/>
        <w:spacing w:line="240" w:lineRule="auto"/>
        <w:ind w:left="1701" w:hanging="170"/>
        <w:rPr>
          <w:rFonts w:eastAsia="MS Mincho"/>
          <w:lang w:eastAsia="nl-NL"/>
        </w:rPr>
      </w:pPr>
      <w:r>
        <w:rPr>
          <w:rFonts w:eastAsia="MS Mincho"/>
          <w:lang w:eastAsia="nl-NL"/>
        </w:rPr>
        <w:t>–</w:t>
      </w:r>
      <w:r>
        <w:rPr>
          <w:rFonts w:eastAsia="MS Mincho"/>
          <w:lang w:eastAsia="nl-NL"/>
        </w:rPr>
        <w:tab/>
        <w:t xml:space="preserve">lithium cells and batteries with a gross mass of not more than 500 g each or lithium ion cells with a Watt-hour rating of not more than 20 </w:t>
      </w:r>
      <w:proofErr w:type="spellStart"/>
      <w:r>
        <w:rPr>
          <w:rFonts w:eastAsia="MS Mincho"/>
          <w:lang w:eastAsia="nl-NL"/>
        </w:rPr>
        <w:t>Wh</w:t>
      </w:r>
      <w:proofErr w:type="spellEnd"/>
      <w:r>
        <w:rPr>
          <w:rFonts w:eastAsia="MS Mincho"/>
          <w:lang w:eastAsia="nl-NL"/>
        </w:rPr>
        <w:t xml:space="preserve">, lithium ion batteries with a Watt-hour rating of not more than 100 </w:t>
      </w:r>
      <w:proofErr w:type="spellStart"/>
      <w:r>
        <w:rPr>
          <w:rFonts w:eastAsia="MS Mincho"/>
          <w:lang w:eastAsia="nl-NL"/>
        </w:rPr>
        <w:t>Wh</w:t>
      </w:r>
      <w:proofErr w:type="spellEnd"/>
      <w:r>
        <w:rPr>
          <w:rFonts w:eastAsia="MS Mincho"/>
          <w:lang w:eastAsia="nl-NL"/>
        </w:rPr>
        <w:t>, lithium metal cells with a lithium content of not more than 1 g and lithium metal batteries with an aggregate lithium content of not more than 2 g, not contained in equipment, collected and handed over for carriage for sorting, disposal or recycling; as well as</w:t>
      </w:r>
    </w:p>
    <w:p w:rsidR="009F409E" w:rsidRDefault="009F409E" w:rsidP="009F409E">
      <w:pPr>
        <w:pStyle w:val="Bullet1G"/>
        <w:numPr>
          <w:ilvl w:val="0"/>
          <w:numId w:val="0"/>
        </w:numPr>
        <w:tabs>
          <w:tab w:val="left" w:pos="708"/>
        </w:tabs>
        <w:suppressAutoHyphens w:val="0"/>
        <w:spacing w:line="240" w:lineRule="auto"/>
        <w:ind w:left="1701" w:hanging="170"/>
        <w:rPr>
          <w:rFonts w:eastAsia="MS Mincho"/>
          <w:lang w:eastAsia="nl-NL"/>
        </w:rPr>
      </w:pPr>
      <w:r>
        <w:rPr>
          <w:rFonts w:eastAsia="MS Mincho"/>
          <w:lang w:eastAsia="nl-NL"/>
        </w:rPr>
        <w:t>–</w:t>
      </w:r>
      <w:r>
        <w:rPr>
          <w:rFonts w:eastAsia="MS Mincho"/>
          <w:lang w:eastAsia="nl-NL"/>
        </w:rPr>
        <w:tab/>
      </w:r>
      <w:proofErr w:type="gramStart"/>
      <w:r>
        <w:rPr>
          <w:rFonts w:eastAsia="MS Mincho"/>
          <w:lang w:eastAsia="nl-NL"/>
        </w:rPr>
        <w:t>lithium</w:t>
      </w:r>
      <w:proofErr w:type="gramEnd"/>
      <w:r>
        <w:rPr>
          <w:rFonts w:eastAsia="MS Mincho"/>
          <w:lang w:eastAsia="nl-NL"/>
        </w:rPr>
        <w:t xml:space="preserve"> cells and batteries contained in equipment from private households collected and handed over for carriage for depollution, dismantling, recycling or disposal.</w:t>
      </w:r>
    </w:p>
    <w:p w:rsidR="009F409E" w:rsidRDefault="009F409E" w:rsidP="009F409E">
      <w:pPr>
        <w:pStyle w:val="SingleTxtG"/>
        <w:ind w:left="1710"/>
        <w:rPr>
          <w:rFonts w:ascii="MS Mincho" w:eastAsia="MS Mincho" w:hAnsi="MS Mincho" w:cs="MS Mincho"/>
          <w:i/>
          <w:lang w:eastAsia="nl-NL"/>
        </w:rPr>
      </w:pPr>
      <w:r>
        <w:rPr>
          <w:rFonts w:eastAsia="MS Mincho"/>
          <w:b/>
          <w:i/>
          <w:lang w:eastAsia="nl-NL"/>
        </w:rPr>
        <w:t>NOTE:</w:t>
      </w:r>
      <w:r>
        <w:rPr>
          <w:rFonts w:eastAsia="MS Mincho"/>
          <w:b/>
          <w:i/>
          <w:lang w:eastAsia="nl-NL"/>
        </w:rPr>
        <w:tab/>
      </w:r>
      <w:r>
        <w:rPr>
          <w:rFonts w:eastAsia="MS Mincho"/>
          <w:i/>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rsidR="009F409E" w:rsidRDefault="009F409E" w:rsidP="009F409E">
      <w:pPr>
        <w:pStyle w:val="SingleTxtG"/>
        <w:rPr>
          <w:rFonts w:eastAsia="MS Mincho"/>
          <w:lang w:eastAsia="nl-NL"/>
        </w:rPr>
      </w:pPr>
      <w:proofErr w:type="gramStart"/>
      <w:r>
        <w:rPr>
          <w:rFonts w:eastAsia="MS Mincho"/>
          <w:lang w:eastAsia="nl-NL"/>
        </w:rPr>
        <w:t>are</w:t>
      </w:r>
      <w:proofErr w:type="gramEnd"/>
      <w:r>
        <w:rPr>
          <w:rFonts w:eastAsia="MS Mincho"/>
          <w:lang w:eastAsia="nl-NL"/>
        </w:rPr>
        <w:t xml:space="preserve"> not subject to the other provisions of ADR including special provision 376 and paragraph 2.2.9.1.7, if they meet the following conditions:”.</w:t>
      </w:r>
    </w:p>
    <w:p w:rsidR="009F409E" w:rsidRDefault="009F409E" w:rsidP="009F409E">
      <w:pPr>
        <w:tabs>
          <w:tab w:val="left" w:pos="1418"/>
          <w:tab w:val="left" w:pos="1843"/>
        </w:tabs>
        <w:spacing w:before="120" w:after="120"/>
        <w:ind w:left="1134" w:right="1134"/>
        <w:jc w:val="both"/>
      </w:pPr>
      <w:r>
        <w:t>(</w:t>
      </w:r>
      <w:proofErr w:type="gramStart"/>
      <w:r>
        <w:t>ADR:</w:t>
      </w:r>
      <w:proofErr w:type="gramEnd"/>
      <w:r>
        <w:t>)</w:t>
      </w:r>
    </w:p>
    <w:p w:rsidR="009F409E" w:rsidRDefault="009F409E" w:rsidP="009F409E">
      <w:pPr>
        <w:pStyle w:val="SingleTxtG"/>
        <w:rPr>
          <w:rFonts w:eastAsia="MS Mincho"/>
          <w:u w:val="single"/>
          <w:lang w:eastAsia="nl-NL"/>
        </w:rPr>
      </w:pPr>
      <w:r>
        <w:t>SP 636 (b)</w:t>
      </w:r>
      <w:r>
        <w:tab/>
        <w:t>Amend subparagraph (iii) to read as follows:</w:t>
      </w:r>
    </w:p>
    <w:p w:rsidR="009F409E" w:rsidRDefault="009F409E" w:rsidP="009F409E">
      <w:pPr>
        <w:pStyle w:val="SingleTxtG"/>
        <w:rPr>
          <w:rFonts w:eastAsia="MS Mincho"/>
          <w:lang w:eastAsia="nl-NL"/>
        </w:rPr>
      </w:pPr>
      <w:r>
        <w:rPr>
          <w:rFonts w:eastAsia="MS Mincho"/>
          <w:i/>
          <w:lang w:eastAsia="nl-NL"/>
        </w:rPr>
        <w:t>“</w:t>
      </w:r>
      <w:r>
        <w:rPr>
          <w:rFonts w:eastAsia="MS Mincho"/>
          <w:lang w:eastAsia="nl-NL"/>
        </w:rPr>
        <w:t>(iii)</w:t>
      </w:r>
      <w:r>
        <w:rPr>
          <w:rFonts w:eastAsia="MS Mincho"/>
          <w:lang w:eastAsia="nl-NL"/>
        </w:rPr>
        <w:tab/>
        <w:t>Packages are marked “LITHIUM BATTERIES FOR DISPOSAL” or “LITHIUM BATTERIES FOR RECYCLING” as appropriate.</w:t>
      </w:r>
    </w:p>
    <w:p w:rsidR="009F409E" w:rsidRDefault="009F409E" w:rsidP="009F409E">
      <w:pPr>
        <w:pStyle w:val="SingleTxtG"/>
        <w:ind w:firstLine="567"/>
        <w:rPr>
          <w:rFonts w:eastAsia="MS Mincho"/>
          <w:lang w:eastAsia="nl-NL"/>
        </w:rPr>
      </w:pPr>
      <w:r>
        <w:rPr>
          <w:rFonts w:eastAsia="MS Mincho"/>
          <w:lang w:eastAsia="nl-NL"/>
        </w:rPr>
        <w:t>If equipment containing lithium cells or batteries is carried unpackaged or on pallets in accordance with packing instruction P 909 (3) of 4.1.4.1, this mark may alternatively be affixed to the external surface of the vehicles or containers.”.</w:t>
      </w:r>
    </w:p>
    <w:p w:rsidR="009F409E" w:rsidRDefault="009F409E" w:rsidP="009F409E">
      <w:pPr>
        <w:pStyle w:val="SingleTxtG"/>
        <w:ind w:left="0"/>
        <w:rPr>
          <w:i/>
        </w:rPr>
      </w:pPr>
      <w:r>
        <w:rPr>
          <w:i/>
        </w:rPr>
        <w:t>(Ref.: ECE/TRANS/WP.15/AC.1/140/Add.1, part B and informal document INF.26)</w:t>
      </w:r>
    </w:p>
    <w:p w:rsidR="009F409E" w:rsidRDefault="009F409E" w:rsidP="009F409E">
      <w:pPr>
        <w:tabs>
          <w:tab w:val="left" w:pos="1418"/>
          <w:tab w:val="left" w:pos="1843"/>
        </w:tabs>
        <w:spacing w:before="120" w:after="120"/>
        <w:ind w:left="1134" w:right="1134"/>
        <w:jc w:val="both"/>
      </w:pPr>
      <w:r>
        <w:rPr>
          <w:rFonts w:ascii="TimesNewRomanPSMT" w:hAnsi="TimesNewRomanPSMT" w:cs="TimesNewRomanPSMT"/>
          <w:lang w:eastAsia="fr-FR"/>
        </w:rPr>
        <w:t>Add the following new special provision:</w:t>
      </w:r>
    </w:p>
    <w:p w:rsidR="009F409E" w:rsidRDefault="009F409E" w:rsidP="009F409E">
      <w:pPr>
        <w:pStyle w:val="SingleTxtG"/>
      </w:pPr>
      <w:r>
        <w:t>“669</w:t>
      </w:r>
      <w:r>
        <w:tab/>
        <w:t>A trailer fitted with equipment, powered by a liquid or gaseous fuel or an electric energy storage and production system, that is intended for use during carriage operated by this trailer as a part of a transport unit, shall be assigned to UN numbers 3166 or 3171 and be subject to the same conditions as specified for these UN numbers, when carried as a load on a vehicle/wagon/vessel, provided that the total capacity of the tanks containing liquid fuel does not exceed 500 litres.”.</w:t>
      </w:r>
    </w:p>
    <w:p w:rsidR="009F409E" w:rsidRDefault="009F409E" w:rsidP="009F409E">
      <w:pPr>
        <w:pStyle w:val="SingleTxtG"/>
        <w:ind w:left="0"/>
        <w:rPr>
          <w:i/>
        </w:rPr>
      </w:pPr>
      <w:r>
        <w:rPr>
          <w:i/>
        </w:rPr>
        <w:lastRenderedPageBreak/>
        <w:t>(Reference documents: ECE/TRANS/WP.15/AC.1/2016/16, informal documents INF.52 and INF.60, as amended)</w:t>
      </w:r>
    </w:p>
    <w:p w:rsidR="009F409E" w:rsidRDefault="009F409E" w:rsidP="009F409E">
      <w:pPr>
        <w:pStyle w:val="H1G"/>
        <w:rPr>
          <w:sz w:val="20"/>
        </w:rPr>
      </w:pPr>
      <w:r>
        <w:rPr>
          <w:sz w:val="20"/>
        </w:rPr>
        <w:tab/>
      </w:r>
      <w:r>
        <w:rPr>
          <w:sz w:val="20"/>
        </w:rPr>
        <w:tab/>
        <w:t>Chapter 4.1</w:t>
      </w:r>
    </w:p>
    <w:p w:rsidR="009F409E" w:rsidRDefault="009F409E" w:rsidP="009F409E">
      <w:pPr>
        <w:pStyle w:val="SingleTxtG"/>
      </w:pPr>
      <w:r>
        <w:t>4.1.3.4</w:t>
      </w:r>
      <w:r>
        <w:tab/>
      </w:r>
      <w:r>
        <w:tab/>
        <w:t>Under “Boxes”, after “4B,</w:t>
      </w:r>
      <w:proofErr w:type="gramStart"/>
      <w:r>
        <w:t>”,</w:t>
      </w:r>
      <w:proofErr w:type="gramEnd"/>
      <w:r>
        <w:t xml:space="preserve"> insert: “4N,”.</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INF.20)</w:t>
      </w:r>
    </w:p>
    <w:p w:rsidR="009F409E" w:rsidRDefault="009F409E" w:rsidP="009F409E">
      <w:pPr>
        <w:pStyle w:val="SingleTxtG"/>
        <w:tabs>
          <w:tab w:val="left" w:pos="1854"/>
        </w:tabs>
      </w:pPr>
      <w:r>
        <w:t xml:space="preserve">(ADR:) 4.1.4.1 </w:t>
      </w:r>
      <w:r>
        <w:rPr>
          <w:rFonts w:ascii="TimesNewRomanPSMT" w:hAnsi="TimesNewRomanPSMT" w:cs="TimesNewRomanPSMT"/>
          <w:lang w:eastAsia="fr-FR"/>
        </w:rPr>
        <w:t xml:space="preserve">For packing instruction </w:t>
      </w:r>
      <w:r>
        <w:t xml:space="preserve">P101 </w:t>
      </w:r>
      <w:r>
        <w:tab/>
        <w:t>Replace “The State’s distinguishing sign for motor vehicles in international traffic” by “The distinguishing sign used on vehicles in international road traffic</w:t>
      </w:r>
      <w:r>
        <w:rPr>
          <w:b/>
          <w:vertAlign w:val="superscript"/>
        </w:rPr>
        <w:t xml:space="preserve"> a</w:t>
      </w:r>
      <w:r>
        <w:t>”.</w:t>
      </w:r>
    </w:p>
    <w:p w:rsidR="009F409E" w:rsidRDefault="009F409E" w:rsidP="009F409E">
      <w:pPr>
        <w:pStyle w:val="SingleTxtG"/>
        <w:tabs>
          <w:tab w:val="left" w:pos="1854"/>
        </w:tabs>
      </w:pPr>
      <w:r>
        <w:t>Table note a reads as follows:</w:t>
      </w:r>
    </w:p>
    <w:p w:rsidR="009F409E" w:rsidRDefault="009F409E" w:rsidP="009F409E">
      <w:pPr>
        <w:pStyle w:val="SingleTxtG"/>
        <w:tabs>
          <w:tab w:val="left" w:pos="1854"/>
        </w:tabs>
      </w:pPr>
      <w:r>
        <w:t>“</w:t>
      </w:r>
      <w:r>
        <w:rPr>
          <w:b/>
          <w:vertAlign w:val="superscript"/>
        </w:rPr>
        <w:t>a</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t>P 200</w:t>
      </w:r>
      <w:r>
        <w:tab/>
        <w:t xml:space="preserve">In paragraphs (12) and (13), at the end of subparagraph 1.1, add: “(for the definitions of </w:t>
      </w:r>
      <w:proofErr w:type="spellStart"/>
      <w:r>
        <w:t>Xb</w:t>
      </w:r>
      <w:proofErr w:type="spellEnd"/>
      <w:r>
        <w:t xml:space="preserve"> and IS bodies, see 6.2.3.6.1).”</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INF.23)</w:t>
      </w:r>
    </w:p>
    <w:p w:rsidR="009F409E" w:rsidRDefault="009F409E" w:rsidP="009F409E">
      <w:pPr>
        <w:tabs>
          <w:tab w:val="left" w:pos="1418"/>
          <w:tab w:val="left" w:pos="1843"/>
        </w:tabs>
        <w:spacing w:before="120" w:after="120"/>
        <w:ind w:left="1134" w:right="1134"/>
        <w:jc w:val="both"/>
      </w:pPr>
      <w:r>
        <w:t>(</w:t>
      </w:r>
      <w:proofErr w:type="gramStart"/>
      <w:r>
        <w:t>RID:</w:t>
      </w:r>
      <w:proofErr w:type="gramEnd"/>
      <w:r>
        <w:t>)</w:t>
      </w:r>
    </w:p>
    <w:p w:rsidR="009F409E" w:rsidRDefault="009F409E" w:rsidP="009F409E">
      <w:pPr>
        <w:pStyle w:val="SingleTxtG"/>
      </w:pPr>
      <w:r>
        <w:t>4.1.4.1, P200</w:t>
      </w:r>
      <w:r>
        <w:tab/>
      </w:r>
      <w:r>
        <w:tab/>
        <w:t>In Table 2, column “Special packing provisions”, for UN No. 1058</w:t>
      </w:r>
      <w:proofErr w:type="gramStart"/>
      <w:r>
        <w:t>,</w:t>
      </w:r>
      <w:proofErr w:type="gramEnd"/>
      <w:r>
        <w:br/>
        <w:t>add:”, z”.</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INF.24)</w:t>
      </w:r>
    </w:p>
    <w:p w:rsidR="009F409E" w:rsidRDefault="009F409E" w:rsidP="009F409E">
      <w:pPr>
        <w:pStyle w:val="SingleTxtG"/>
      </w:pPr>
      <w:r>
        <w:t>4.1.4.1, P400</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pPr>
      <w:r>
        <w:t>4.1.4.1, P620</w:t>
      </w:r>
      <w:r>
        <w:tab/>
      </w:r>
      <w:r>
        <w:tab/>
      </w:r>
      <w:proofErr w:type="gramStart"/>
      <w:r>
        <w:t>The</w:t>
      </w:r>
      <w:proofErr w:type="gramEnd"/>
      <w:r>
        <w:t xml:space="preserve"> amendment to the introductory sentence of additional requirement 2 does not apply to the English text. In sub-paragraph (c) of additional requirement 2, in the third sentence, replace “Provisions for the consignment” by “Provisions for the carriage”.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pPr>
      <w:r>
        <w:t>4.1.4.1, P906 (2)</w:t>
      </w:r>
      <w:r>
        <w:tab/>
      </w:r>
      <w:proofErr w:type="gramStart"/>
      <w:r>
        <w:t>In</w:t>
      </w:r>
      <w:proofErr w:type="gramEnd"/>
      <w:r>
        <w:t xml:space="preserve"> the introductive sentence and in paragraph (b), replace “devices” by “articles” (three times).</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INF.24)</w:t>
      </w:r>
    </w:p>
    <w:p w:rsidR="009F409E" w:rsidRDefault="009F409E" w:rsidP="009F409E">
      <w:pPr>
        <w:pStyle w:val="SingleTxtG"/>
      </w:pPr>
      <w:r>
        <w:t>4.1.4.2, IBC02</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pPr>
      <w:r>
        <w:t>4.1.4.2, IBC520</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pPr>
      <w:r>
        <w:t>4.1.5.17</w:t>
      </w:r>
      <w:r>
        <w:tab/>
        <w:t>Amend the text in brackets to read as follows: “(1A1, 1A2, 1B1, 1B2, 1N1, 1N2, 4A, 4B, 4N and metal receptacles)”.</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INF.20)</w:t>
      </w:r>
    </w:p>
    <w:p w:rsidR="009F409E" w:rsidRDefault="009F409E" w:rsidP="009F409E">
      <w:pPr>
        <w:pStyle w:val="SingleTxtG"/>
      </w:pPr>
      <w:r>
        <w:t>4.1.10.1</w:t>
      </w:r>
      <w:r>
        <w:tab/>
        <w:t>The amendment to the German version does not apply to the English, French and Russian versions.</w:t>
      </w:r>
    </w:p>
    <w:p w:rsidR="009F409E" w:rsidRDefault="009F409E" w:rsidP="009F409E">
      <w:pPr>
        <w:pStyle w:val="SingleTxtG"/>
        <w:ind w:left="0"/>
        <w:rPr>
          <w:i/>
          <w:lang w:val="fr-FR"/>
        </w:rPr>
      </w:pPr>
      <w:r>
        <w:rPr>
          <w:i/>
          <w:lang w:val="fr-FR"/>
        </w:rPr>
        <w:t xml:space="preserve">(Reference document: </w:t>
      </w:r>
      <w:proofErr w:type="spellStart"/>
      <w:r>
        <w:rPr>
          <w:i/>
          <w:lang w:val="fr-FR"/>
        </w:rPr>
        <w:t>informal</w:t>
      </w:r>
      <w:proofErr w:type="spellEnd"/>
      <w:r>
        <w:rPr>
          <w:i/>
          <w:lang w:val="fr-FR"/>
        </w:rPr>
        <w:t xml:space="preserve"> document INF.15)</w:t>
      </w:r>
    </w:p>
    <w:p w:rsidR="009F409E" w:rsidRDefault="009F409E" w:rsidP="009F409E">
      <w:pPr>
        <w:pStyle w:val="SingleTxtG"/>
        <w:rPr>
          <w:lang w:eastAsia="fr-FR"/>
        </w:rPr>
      </w:pPr>
      <w:r>
        <w:rPr>
          <w:rFonts w:ascii="TimesNewRomanPSMT" w:hAnsi="TimesNewRomanPSMT" w:cs="TimesNewRomanPSMT"/>
          <w:lang w:eastAsia="fr-FR"/>
        </w:rPr>
        <w:lastRenderedPageBreak/>
        <w:t>4.1.10.4</w:t>
      </w:r>
      <w:r>
        <w:rPr>
          <w:rFonts w:ascii="TimesNewRomanPSMT" w:hAnsi="TimesNewRomanPSMT" w:cs="TimesNewRomanPSMT"/>
          <w:lang w:eastAsia="fr-FR"/>
        </w:rPr>
        <w:tab/>
        <w:t>Delete MP 16 and insert:</w:t>
      </w:r>
      <w:r>
        <w:rPr>
          <w:rFonts w:ascii="TimesNewRomanPSMT" w:hAnsi="TimesNewRomanPSMT" w:cs="TimesNewRomanPSMT"/>
          <w:lang w:eastAsia="fr-FR"/>
        </w:rPr>
        <w:tab/>
      </w:r>
      <w:r>
        <w:rPr>
          <w:rFonts w:ascii="TimesNewRomanPSMT" w:hAnsi="TimesNewRomanPSMT" w:cs="TimesNewRomanPSMT"/>
          <w:lang w:eastAsia="fr-FR"/>
        </w:rPr>
        <w:br/>
        <w:t>“MP 16</w:t>
      </w:r>
      <w:r>
        <w:rPr>
          <w:rFonts w:ascii="TimesNewRomanPSMT" w:hAnsi="TimesNewRomanPSMT" w:cs="TimesNewRomanPSMT"/>
          <w:lang w:eastAsia="fr-FR"/>
        </w:rPr>
        <w:tab/>
      </w:r>
      <w:r>
        <w:rPr>
          <w:rFonts w:ascii="TimesNewRomanPSMT" w:hAnsi="TimesNewRomanPSMT" w:cs="TimesNewRomanPSMT"/>
          <w:i/>
          <w:lang w:eastAsia="fr-FR"/>
        </w:rPr>
        <w:t>(Reserved)</w:t>
      </w:r>
      <w:r>
        <w:rPr>
          <w:rFonts w:ascii="TimesNewRomanPSMT" w:hAnsi="TimesNewRomanPSMT" w:cs="TimesNewRomanPSMT"/>
          <w:lang w:eastAsia="fr-FR"/>
        </w:rPr>
        <w:t>;</w:t>
      </w:r>
      <w:proofErr w:type="gramStart"/>
      <w:r>
        <w:rPr>
          <w:rFonts w:ascii="TimesNewRomanPSMT" w:hAnsi="TimesNewRomanPSMT" w:cs="TimesNewRomanPSMT"/>
          <w:lang w:eastAsia="fr-FR"/>
        </w:rPr>
        <w:t>”.</w:t>
      </w:r>
      <w:proofErr w:type="gramEnd"/>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H1G"/>
        <w:rPr>
          <w:sz w:val="20"/>
        </w:rPr>
      </w:pPr>
      <w:r w:rsidRPr="00A37BED">
        <w:rPr>
          <w:sz w:val="20"/>
          <w:lang w:val="fr-CH"/>
        </w:rPr>
        <w:tab/>
      </w:r>
      <w:r w:rsidRPr="00A37BED">
        <w:rPr>
          <w:sz w:val="20"/>
          <w:lang w:val="fr-CH"/>
        </w:rPr>
        <w:tab/>
      </w:r>
      <w:r>
        <w:rPr>
          <w:sz w:val="20"/>
        </w:rPr>
        <w:t>Chapter 4.2</w:t>
      </w:r>
    </w:p>
    <w:p w:rsidR="009F409E" w:rsidRDefault="009F409E" w:rsidP="009F409E">
      <w:pPr>
        <w:pStyle w:val="SingleTxtG"/>
      </w:pPr>
      <w:r>
        <w:t>4.2.5.3, TP7, TP24 and TP36</w:t>
      </w:r>
      <w:r>
        <w:tab/>
      </w:r>
      <w:proofErr w:type="gramStart"/>
      <w:r>
        <w:t>The</w:t>
      </w:r>
      <w:proofErr w:type="gramEnd"/>
      <w:r>
        <w:t xml:space="preserve"> </w:t>
      </w:r>
      <w:r>
        <w:rPr>
          <w:szCs w:val="24"/>
        </w:rPr>
        <w:t>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H1G"/>
        <w:rPr>
          <w:sz w:val="20"/>
        </w:rPr>
      </w:pPr>
      <w:r w:rsidRPr="00A37BED">
        <w:rPr>
          <w:sz w:val="20"/>
          <w:lang w:val="fr-CH"/>
        </w:rPr>
        <w:tab/>
      </w:r>
      <w:r w:rsidRPr="00A37BED">
        <w:rPr>
          <w:sz w:val="20"/>
          <w:lang w:val="fr-CH"/>
        </w:rPr>
        <w:tab/>
      </w:r>
      <w:r>
        <w:rPr>
          <w:sz w:val="20"/>
        </w:rPr>
        <w:t>Chapter 4.3</w:t>
      </w:r>
    </w:p>
    <w:p w:rsidR="009F409E" w:rsidRDefault="009F409E" w:rsidP="009F409E">
      <w:pPr>
        <w:pStyle w:val="SingleTxtG"/>
      </w:pPr>
      <w:r>
        <w:t>(RID:) 4.3.2.1.7</w:t>
      </w:r>
      <w:r>
        <w:tab/>
        <w:t>In the texts adopted by the 5th session of the RID Committee of Experts' standing working group (document OTIF/RID/CE/GTP/2015-A, Annex I), in the second sub-paragraph remove the separation into columns, so that the term “without delay” applies to both columns.</w:t>
      </w:r>
    </w:p>
    <w:p w:rsidR="009F409E" w:rsidRDefault="009F409E" w:rsidP="009F409E">
      <w:pPr>
        <w:pStyle w:val="SingleTxtG"/>
      </w:pPr>
      <w:r>
        <w:t>(</w:t>
      </w:r>
      <w:proofErr w:type="gramStart"/>
      <w:r>
        <w:t>ADR:</w:t>
      </w:r>
      <w:proofErr w:type="gramEnd"/>
      <w:r>
        <w:t>) 4.3.2.1.7</w:t>
      </w:r>
      <w:r>
        <w:tab/>
        <w:t>In the second paragraph, after “shall be transferred”, insert: “without delay”.</w:t>
      </w:r>
    </w:p>
    <w:p w:rsidR="009F409E" w:rsidRDefault="009F409E" w:rsidP="009F409E">
      <w:pPr>
        <w:pStyle w:val="SingleTxtG"/>
        <w:ind w:left="0"/>
        <w:rPr>
          <w:i/>
        </w:rPr>
      </w:pPr>
      <w:r>
        <w:rPr>
          <w:i/>
        </w:rPr>
        <w:t xml:space="preserve">(Reference documents: informal documents INF.5 and INF.61) </w:t>
      </w:r>
    </w:p>
    <w:p w:rsidR="009F409E" w:rsidRDefault="009F409E" w:rsidP="009F409E">
      <w:pPr>
        <w:pStyle w:val="SingleTxtG"/>
        <w:rPr>
          <w:bCs/>
        </w:rPr>
      </w:pPr>
      <w:r>
        <w:t>4.3.2.3</w:t>
      </w:r>
      <w:r>
        <w:tab/>
      </w:r>
      <w:r>
        <w:rPr>
          <w:bCs/>
        </w:rPr>
        <w:t>Insert a new 4.3.2.3.7 to read as follows:</w:t>
      </w:r>
    </w:p>
    <w:p w:rsidR="009F409E" w:rsidRDefault="009F409E" w:rsidP="009F409E">
      <w:pPr>
        <w:pStyle w:val="SingleTxtG"/>
        <w:rPr>
          <w:bCs/>
        </w:rPr>
      </w:pPr>
      <w:r>
        <w:rPr>
          <w:bCs/>
        </w:rPr>
        <w:t>“4.3.2.3.7</w:t>
      </w:r>
      <w:r>
        <w:rPr>
          <w:bCs/>
        </w:rPr>
        <w:tab/>
        <w:t>Tank-wagons, demountable tanks, battery-wagons (RID) / fixed tanks (tank-vehicles), demountable tanks, battery-vehicles (ADR), tank-containers, tank swap bodies and MEGCs may not be filled or offered for carriage after the deadline for the test or inspection required by 6.8.2.4.2, 6.8.3.4.6 and 6.8.3.4.10 has expired.</w:t>
      </w:r>
    </w:p>
    <w:p w:rsidR="009F409E" w:rsidRDefault="009F409E" w:rsidP="009F409E">
      <w:pPr>
        <w:pStyle w:val="SingleTxtG"/>
        <w:rPr>
          <w:bCs/>
        </w:rPr>
      </w:pPr>
      <w:r>
        <w:rPr>
          <w:bCs/>
        </w:rPr>
        <w:t>However, tank-wagons, demountable tanks, battery-wagons (RID) / fixed tanks (tank-vehicles), demountable tanks, battery-vehicles (ADR), tank-containers, tank swap bodies and MEGCs filled prior to the date of expiry of the last periodic inspection may be carried:</w:t>
      </w:r>
    </w:p>
    <w:p w:rsidR="009F409E" w:rsidRDefault="009F409E" w:rsidP="009F409E">
      <w:pPr>
        <w:pStyle w:val="SingleTxtG"/>
        <w:rPr>
          <w:bCs/>
        </w:rPr>
      </w:pPr>
      <w:r>
        <w:rPr>
          <w:bCs/>
        </w:rPr>
        <w:t>(a)</w:t>
      </w:r>
      <w:r>
        <w:rPr>
          <w:bCs/>
        </w:rPr>
        <w:tab/>
      </w:r>
      <w:proofErr w:type="gramStart"/>
      <w:r>
        <w:rPr>
          <w:bCs/>
        </w:rPr>
        <w:t>for</w:t>
      </w:r>
      <w:proofErr w:type="gramEnd"/>
      <w:r>
        <w:rPr>
          <w:bCs/>
        </w:rPr>
        <w:t xml:space="preserve"> a period not to exceed one month after the expiry of these deadlines;</w:t>
      </w:r>
    </w:p>
    <w:p w:rsidR="009F409E" w:rsidRDefault="009F409E" w:rsidP="009F409E">
      <w:pPr>
        <w:pStyle w:val="SingleTxtG"/>
        <w:rPr>
          <w:bCs/>
        </w:rPr>
      </w:pPr>
      <w:r>
        <w:rPr>
          <w:bCs/>
        </w:rPr>
        <w:t>(b)</w:t>
      </w:r>
      <w:r>
        <w:rPr>
          <w:bCs/>
        </w:rPr>
        <w:tab/>
        <w:t xml:space="preserve">unless otherwise approved by the competent authority, for a period not to exceed three months after the expiry of these deadlines in order to allow the return of dangerous goods for proper disposal or recycling. Reference to this exemption shall be mentioned in the transport </w:t>
      </w:r>
      <w:r>
        <w:t>document</w:t>
      </w:r>
      <w:r>
        <w:rPr>
          <w:bCs/>
        </w:rPr>
        <w:t>.</w:t>
      </w:r>
      <w:proofErr w:type="gramStart"/>
      <w:r>
        <w:rPr>
          <w:bCs/>
        </w:rPr>
        <w:t>”.</w:t>
      </w:r>
      <w:proofErr w:type="gramEnd"/>
    </w:p>
    <w:p w:rsidR="009F409E" w:rsidRDefault="009F409E" w:rsidP="009F409E">
      <w:pPr>
        <w:pStyle w:val="SingleTxtG"/>
        <w:ind w:left="0"/>
        <w:rPr>
          <w:i/>
        </w:rPr>
      </w:pPr>
      <w:r>
        <w:rPr>
          <w:i/>
        </w:rPr>
        <w:t>(Reference documents: informal documents INF.21 and INF.61)</w:t>
      </w:r>
    </w:p>
    <w:p w:rsidR="009F409E" w:rsidRDefault="009F409E" w:rsidP="009F409E">
      <w:pPr>
        <w:pStyle w:val="H1G"/>
        <w:rPr>
          <w:sz w:val="20"/>
        </w:rPr>
      </w:pPr>
      <w:r>
        <w:rPr>
          <w:sz w:val="20"/>
        </w:rPr>
        <w:tab/>
      </w:r>
      <w:r>
        <w:rPr>
          <w:sz w:val="20"/>
        </w:rPr>
        <w:tab/>
        <w:t>Chapter 5.2</w:t>
      </w:r>
    </w:p>
    <w:p w:rsidR="009F409E" w:rsidRDefault="009F409E" w:rsidP="009F409E">
      <w:pPr>
        <w:pStyle w:val="SingleTxtG"/>
        <w:tabs>
          <w:tab w:val="left" w:pos="1854"/>
        </w:tabs>
      </w:pPr>
      <w:r>
        <w:t>5.2.1.7.4</w:t>
      </w:r>
      <w:r>
        <w:tab/>
        <w:t>In paragraph (c), replace “with the international vehicle registration code (VRI-Code)” by “with the distinguishing sign used on vehicles in international road traffic”. Amend footnote 2 to read as follows:</w:t>
      </w:r>
    </w:p>
    <w:p w:rsidR="009F409E" w:rsidRDefault="009F409E" w:rsidP="009F409E">
      <w:pPr>
        <w:pStyle w:val="SingleTxtG"/>
        <w:tabs>
          <w:tab w:val="left" w:pos="1854"/>
        </w:tabs>
      </w:pPr>
      <w:r>
        <w:t>“</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Default="009F409E" w:rsidP="009F409E">
      <w:pPr>
        <w:pStyle w:val="SingleTxtG"/>
        <w:ind w:left="0"/>
        <w:rPr>
          <w:i/>
          <w:lang w:val="fr-FR"/>
        </w:rPr>
      </w:pPr>
      <w:r>
        <w:rPr>
          <w:i/>
          <w:lang w:val="fr-FR"/>
        </w:rPr>
        <w:t xml:space="preserve">(Reference document: </w:t>
      </w:r>
      <w:proofErr w:type="spellStart"/>
      <w:r>
        <w:rPr>
          <w:i/>
          <w:lang w:val="fr-FR"/>
        </w:rPr>
        <w:t>informal</w:t>
      </w:r>
      <w:proofErr w:type="spellEnd"/>
      <w:r>
        <w:rPr>
          <w:i/>
          <w:lang w:val="fr-FR"/>
        </w:rPr>
        <w:t xml:space="preserve"> document INF.41)</w:t>
      </w:r>
    </w:p>
    <w:p w:rsidR="009F409E" w:rsidRDefault="009F409E" w:rsidP="009F409E">
      <w:pPr>
        <w:pStyle w:val="SingleTxtG"/>
      </w:pPr>
      <w:r>
        <w:t>5.2.2.2.2</w:t>
      </w:r>
      <w:r>
        <w:tab/>
        <w:t>Amend the title of label No. 4.1 to read as follows:</w:t>
      </w:r>
    </w:p>
    <w:p w:rsidR="009F409E" w:rsidRDefault="009F409E" w:rsidP="009F409E">
      <w:pPr>
        <w:pStyle w:val="SingleTxtG"/>
      </w:pPr>
      <w:r>
        <w:lastRenderedPageBreak/>
        <w:t>“</w:t>
      </w:r>
      <w:r>
        <w:rPr>
          <w:b/>
        </w:rPr>
        <w:t>CLASS 4.1 HAZARD Flammable solids, self-reactive substances, polymerizing substances and solid desensitized explosives</w:t>
      </w:r>
      <w:r>
        <w: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INF.7)</w:t>
      </w:r>
    </w:p>
    <w:p w:rsidR="009F409E" w:rsidRDefault="009F409E" w:rsidP="009F409E">
      <w:pPr>
        <w:pStyle w:val="H1G"/>
        <w:rPr>
          <w:sz w:val="20"/>
        </w:rPr>
      </w:pPr>
      <w:r w:rsidRPr="00A37BED">
        <w:rPr>
          <w:sz w:val="20"/>
          <w:lang w:val="fr-CH"/>
        </w:rPr>
        <w:tab/>
      </w:r>
      <w:r w:rsidRPr="00A37BED">
        <w:rPr>
          <w:sz w:val="20"/>
          <w:lang w:val="fr-CH"/>
        </w:rPr>
        <w:tab/>
      </w:r>
      <w:r>
        <w:rPr>
          <w:sz w:val="20"/>
        </w:rPr>
        <w:t>Chapter 5.4</w:t>
      </w:r>
    </w:p>
    <w:p w:rsidR="009F409E" w:rsidRDefault="009F409E" w:rsidP="009F409E">
      <w:pPr>
        <w:pStyle w:val="SingleTxtG"/>
      </w:pPr>
      <w:r>
        <w:t>5.4.1.1.11</w:t>
      </w:r>
      <w:r>
        <w:tab/>
        <w:t>Amend to read as follows:</w:t>
      </w:r>
    </w:p>
    <w:p w:rsidR="009F409E" w:rsidRDefault="009F409E" w:rsidP="009F409E">
      <w:pPr>
        <w:pStyle w:val="SingleTxtG"/>
      </w:pPr>
      <w:r>
        <w:t>“5.4.1.1.11</w:t>
      </w:r>
      <w:r>
        <w:tab/>
      </w:r>
      <w:r>
        <w:rPr>
          <w:bCs/>
          <w:i/>
        </w:rPr>
        <w:t xml:space="preserve">Special provisions for the carriage of IBCs, tanks, battery-wagons (RID) / battery-vehicles (ADR), portable tanks and MEGCs after the date of expiry of </w:t>
      </w:r>
      <w:r>
        <w:rPr>
          <w:i/>
        </w:rPr>
        <w:t>the</w:t>
      </w:r>
      <w:r>
        <w:rPr>
          <w:bCs/>
          <w:i/>
        </w:rPr>
        <w:t xml:space="preserve"> last periodic test or inspection</w:t>
      </w:r>
    </w:p>
    <w:p w:rsidR="009F409E" w:rsidRDefault="009F409E" w:rsidP="009F409E">
      <w:pPr>
        <w:pStyle w:val="SingleTxtG"/>
      </w:pPr>
      <w:r>
        <w:t>For carriage in accordance with 4.1.2.2 (b), 4.3.2.3.7 (b), 6.7.2.19.6 (b), 6.7.3.15.6 (b) or 6.7.4.14.6 (b), a statement to this effect shall be included in the transport document, as follows:</w:t>
      </w:r>
    </w:p>
    <w:p w:rsidR="009F409E" w:rsidRDefault="009F409E" w:rsidP="009F409E">
      <w:pPr>
        <w:pStyle w:val="SingleTxtG"/>
      </w:pPr>
      <w:r>
        <w:t>“CARRIAGE IN ACCORDANCE WITH 4.1.2.2 (b)”,</w:t>
      </w:r>
    </w:p>
    <w:p w:rsidR="009F409E" w:rsidRDefault="009F409E" w:rsidP="009F409E">
      <w:pPr>
        <w:pStyle w:val="SingleTxtG"/>
      </w:pPr>
      <w:r>
        <w:t>“CARRIAGE IN ACCORDANCE WITH 4.3.2.3.7 (b)”,</w:t>
      </w:r>
    </w:p>
    <w:p w:rsidR="009F409E" w:rsidRDefault="009F409E" w:rsidP="009F409E">
      <w:pPr>
        <w:pStyle w:val="SingleTxtG"/>
      </w:pPr>
      <w:r>
        <w:t>“CARRIAGE IN ACCORDANCE WITH 6.7.2.19.6 (b)”,</w:t>
      </w:r>
    </w:p>
    <w:p w:rsidR="009F409E" w:rsidRDefault="009F409E" w:rsidP="009F409E">
      <w:pPr>
        <w:pStyle w:val="SingleTxtG"/>
      </w:pPr>
      <w:r>
        <w:t xml:space="preserve">“CARRIAGE IN ACCORDANCE WITH 6.7.3.15.6 (b)”; or </w:t>
      </w:r>
    </w:p>
    <w:p w:rsidR="009F409E" w:rsidRDefault="009F409E" w:rsidP="009F409E">
      <w:pPr>
        <w:pStyle w:val="SingleTxtG"/>
      </w:pPr>
      <w:r>
        <w:t>“CARRIAGE IN ACCORDANCE WITH 6.7.4.14.6 (b)” as appropriate.</w:t>
      </w:r>
    </w:p>
    <w:p w:rsidR="009F409E" w:rsidRDefault="009F409E" w:rsidP="009F409E">
      <w:pPr>
        <w:pStyle w:val="SingleTxtG"/>
        <w:ind w:left="0"/>
        <w:rPr>
          <w:i/>
        </w:rPr>
      </w:pPr>
      <w:r>
        <w:rPr>
          <w:i/>
        </w:rPr>
        <w:t xml:space="preserve">(Reference documents: informal documents INF.21 and INF.61) </w:t>
      </w:r>
    </w:p>
    <w:p w:rsidR="009F409E" w:rsidRDefault="009F409E" w:rsidP="009F409E">
      <w:pPr>
        <w:pStyle w:val="SingleTxtG"/>
        <w:tabs>
          <w:tab w:val="left" w:pos="1854"/>
        </w:tabs>
      </w:pPr>
      <w:r>
        <w:t>(</w:t>
      </w:r>
      <w:proofErr w:type="gramStart"/>
      <w:r>
        <w:t>RID:</w:t>
      </w:r>
      <w:proofErr w:type="gramEnd"/>
      <w:r>
        <w:t>) 5.4.1.2.1</w:t>
      </w:r>
      <w:r>
        <w:tab/>
        <w:t>In paragraph (e), replace “(distinguishing sign of the states for motor vehicles in international traffic)” by “(distinguishing sign used on vehicles in international road traffic</w:t>
      </w:r>
      <w:r>
        <w:rPr>
          <w:vertAlign w:val="superscript"/>
        </w:rPr>
        <w:t>8</w:t>
      </w:r>
      <w:r>
        <w:t>”.</w:t>
      </w:r>
    </w:p>
    <w:p w:rsidR="009F409E" w:rsidRDefault="009F409E" w:rsidP="009F409E">
      <w:pPr>
        <w:pStyle w:val="SingleTxtG"/>
        <w:tabs>
          <w:tab w:val="left" w:pos="1854"/>
        </w:tabs>
      </w:pPr>
      <w:r>
        <w:t>In Note 2, replace “indicated by the distinguishing sign for motor vehicles in international traffic” by “indicated by the distinguishing sign used on vehicles in international road traffic”.</w:t>
      </w:r>
    </w:p>
    <w:p w:rsidR="009F409E" w:rsidRDefault="009F409E" w:rsidP="009F409E">
      <w:pPr>
        <w:pStyle w:val="SingleTxtG"/>
        <w:tabs>
          <w:tab w:val="left" w:pos="1854"/>
        </w:tabs>
      </w:pPr>
      <w:r>
        <w:t>Amend footnote 8 to read as follows:</w:t>
      </w:r>
    </w:p>
    <w:p w:rsidR="009F409E" w:rsidRDefault="009F409E" w:rsidP="009F409E">
      <w:pPr>
        <w:pStyle w:val="SingleTxtG"/>
        <w:tabs>
          <w:tab w:val="left" w:pos="1854"/>
        </w:tabs>
      </w:pPr>
      <w:r>
        <w:t>“</w:t>
      </w:r>
      <w:r>
        <w:rPr>
          <w:b/>
          <w:vertAlign w:val="superscript"/>
        </w:rPr>
        <w:t>8</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tabs>
          <w:tab w:val="left" w:pos="1854"/>
        </w:tabs>
      </w:pPr>
      <w:r>
        <w:t>(ADR/ADN:) 5.4.1.2.1</w:t>
      </w:r>
      <w:r>
        <w:tab/>
        <w:t>In Note 2, replace “indicated by the distinguishing sign for motor vehicles in international traffic” by “indicated by the distinguishing sign used on vehicles in international road traffic”. Amend footnote 3 to read as follows:</w:t>
      </w:r>
    </w:p>
    <w:p w:rsidR="009F409E" w:rsidRDefault="009F409E" w:rsidP="009F409E">
      <w:pPr>
        <w:pStyle w:val="SingleTxtG"/>
        <w:tabs>
          <w:tab w:val="left" w:pos="1854"/>
        </w:tabs>
      </w:pPr>
      <w:r>
        <w:t>“</w:t>
      </w:r>
      <w:r>
        <w:rPr>
          <w:b/>
          <w:vertAlign w:val="superscript"/>
        </w:rPr>
        <w:t>3</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tabs>
          <w:tab w:val="left" w:pos="1418"/>
          <w:tab w:val="left" w:pos="1843"/>
        </w:tabs>
        <w:spacing w:before="120" w:after="120"/>
        <w:ind w:left="1134" w:right="1134"/>
        <w:jc w:val="both"/>
      </w:pPr>
      <w:r>
        <w:t>(</w:t>
      </w:r>
      <w:proofErr w:type="gramStart"/>
      <w:r>
        <w:t>RID:</w:t>
      </w:r>
      <w:proofErr w:type="gramEnd"/>
      <w:r>
        <w:t>)</w:t>
      </w:r>
    </w:p>
    <w:p w:rsidR="009F409E" w:rsidRDefault="009F409E" w:rsidP="009F409E">
      <w:pPr>
        <w:pStyle w:val="SingleTxtG"/>
      </w:pPr>
      <w:r>
        <w:t>5.4.2</w:t>
      </w:r>
      <w:r>
        <w:tab/>
        <w:t>In the texts adopted by the 5</w:t>
      </w:r>
      <w:r>
        <w:rPr>
          <w:vertAlign w:val="superscript"/>
        </w:rPr>
        <w:t>th</w:t>
      </w:r>
      <w:r>
        <w:t xml:space="preserve"> session of the RID Committee of Experts' standing working group (document OTIF/RID/CE/GTP/2015-A, Annex I), delete the square brackets.</w:t>
      </w:r>
    </w:p>
    <w:p w:rsidR="009F409E" w:rsidRPr="00A37BED" w:rsidRDefault="009F409E" w:rsidP="009F409E">
      <w:pPr>
        <w:pStyle w:val="SingleTxtG"/>
        <w:ind w:left="0"/>
        <w:rPr>
          <w:i/>
          <w:lang w:val="fr-CH"/>
        </w:rPr>
      </w:pPr>
      <w:r w:rsidRPr="00A37BED">
        <w:rPr>
          <w:i/>
          <w:lang w:val="fr-CH"/>
        </w:rPr>
        <w:t>(Document de référence: document informel INF.5)</w:t>
      </w:r>
    </w:p>
    <w:p w:rsidR="009F409E" w:rsidRDefault="009F409E" w:rsidP="009F409E">
      <w:pPr>
        <w:tabs>
          <w:tab w:val="left" w:pos="1418"/>
          <w:tab w:val="left" w:pos="1843"/>
        </w:tabs>
        <w:spacing w:before="120" w:after="120"/>
        <w:ind w:left="1134" w:right="1134"/>
        <w:jc w:val="both"/>
      </w:pPr>
      <w:r>
        <w:lastRenderedPageBreak/>
        <w:t>(</w:t>
      </w:r>
      <w:proofErr w:type="gramStart"/>
      <w:r>
        <w:t>ADR:</w:t>
      </w:r>
      <w:proofErr w:type="gramEnd"/>
      <w:r>
        <w:t>)</w:t>
      </w:r>
    </w:p>
    <w:p w:rsidR="009F409E" w:rsidRDefault="009F409E" w:rsidP="009F409E">
      <w:pPr>
        <w:pStyle w:val="SingleTxtG"/>
      </w:pPr>
      <w:r>
        <w:t>5.4.2</w:t>
      </w:r>
      <w:r>
        <w:tab/>
        <w:t>Amend the title to read as follows: “Container/vehicle packing certificate”.</w:t>
      </w:r>
    </w:p>
    <w:p w:rsidR="009F409E" w:rsidRDefault="009F409E" w:rsidP="009F409E">
      <w:pPr>
        <w:pStyle w:val="SingleTxtG"/>
        <w:ind w:firstLine="567"/>
      </w:pPr>
      <w:r>
        <w:t>At the end of the first paragraph, add the following sentence: “If the carriage of dangerous goods in a vehicle precedes a voyage by sea, a container/vehicle packing certificate conforming to section 5.4.2 of the IMDG Code may be provided with the transport document.</w:t>
      </w:r>
      <w:proofErr w:type="gramStart"/>
      <w:r>
        <w:t>”.</w:t>
      </w:r>
      <w:proofErr w:type="gramEnd"/>
    </w:p>
    <w:p w:rsidR="009F409E" w:rsidRDefault="009F409E" w:rsidP="009F409E">
      <w:pPr>
        <w:pStyle w:val="SingleTxtG"/>
        <w:ind w:firstLine="567"/>
      </w:pPr>
      <w:r>
        <w:t>In the second sentence of the second paragraph, after “container”, insert: “or vehicle”.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w:t>
      </w:r>
    </w:p>
    <w:p w:rsidR="009F409E" w:rsidRDefault="009F409E" w:rsidP="009F409E">
      <w:pPr>
        <w:tabs>
          <w:tab w:val="left" w:pos="1418"/>
          <w:tab w:val="left" w:pos="1843"/>
        </w:tabs>
        <w:spacing w:before="120" w:after="120"/>
        <w:ind w:left="1134" w:right="1134"/>
        <w:jc w:val="both"/>
      </w:pPr>
      <w:r>
        <w:t>(RID/</w:t>
      </w:r>
      <w:proofErr w:type="gramStart"/>
      <w:r>
        <w:t>ADR:</w:t>
      </w:r>
      <w:proofErr w:type="gramEnd"/>
      <w:r>
        <w:t>)</w:t>
      </w:r>
    </w:p>
    <w:p w:rsidR="009F409E" w:rsidRDefault="009F409E" w:rsidP="009F409E">
      <w:pPr>
        <w:pStyle w:val="SingleTxtG"/>
      </w:pPr>
      <w:r>
        <w:t>5.4.2</w:t>
      </w:r>
      <w:r>
        <w:tab/>
        <w:t>At the end of footnote 11/5, replace “(“IMO/ILO/UNECE Guidelines for Packing of Cargo Transport Units (CTUs)”)” by “(“IMO/ILO/UNECE Code of Practice for Packing of Cargo Transport Units (CTU Code)”)”.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INF.19)</w:t>
      </w:r>
    </w:p>
    <w:p w:rsidR="009F409E" w:rsidRDefault="009F409E" w:rsidP="009F409E">
      <w:pPr>
        <w:pStyle w:val="SingleTxtG"/>
      </w:pPr>
      <w:r>
        <w:t>5.4.3.4</w:t>
      </w:r>
      <w:r>
        <w:tab/>
      </w:r>
      <w:r>
        <w:tab/>
        <w:t>In the model of the instructions in writing, amend the description of the hazards of label 4.1 in column 1 to read as follows: “Flammable solids, self-reactive substances, polymerizing substances and solid desensitized explosives”.</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INF.7)</w:t>
      </w:r>
    </w:p>
    <w:p w:rsidR="009F409E" w:rsidRDefault="009F409E" w:rsidP="009F409E">
      <w:pPr>
        <w:pStyle w:val="H1G"/>
        <w:rPr>
          <w:sz w:val="20"/>
        </w:rPr>
      </w:pPr>
      <w:r w:rsidRPr="00A37BED">
        <w:rPr>
          <w:sz w:val="20"/>
          <w:lang w:val="fr-CH"/>
        </w:rPr>
        <w:tab/>
      </w:r>
      <w:r w:rsidRPr="00A37BED">
        <w:rPr>
          <w:sz w:val="20"/>
          <w:lang w:val="fr-CH"/>
        </w:rPr>
        <w:tab/>
      </w:r>
      <w:r>
        <w:rPr>
          <w:sz w:val="20"/>
        </w:rPr>
        <w:t>Chapter 6.1</w:t>
      </w:r>
    </w:p>
    <w:p w:rsidR="009F409E" w:rsidRDefault="009F409E" w:rsidP="009F409E">
      <w:pPr>
        <w:pStyle w:val="SingleTxtG"/>
      </w:pPr>
      <w:r>
        <w:rPr>
          <w:rFonts w:ascii="TimesNewRomanPSMT" w:hAnsi="TimesNewRomanPSMT" w:cs="TimesNewRomanPSMT"/>
          <w:lang w:eastAsia="fr-FR"/>
        </w:rPr>
        <w:t xml:space="preserve">6.1.1.1 </w:t>
      </w:r>
      <w:proofErr w:type="gramStart"/>
      <w:r>
        <w:rPr>
          <w:rFonts w:ascii="TimesNewRomanPSMT" w:hAnsi="TimesNewRomanPSMT" w:cs="TimesNewRomanPSMT"/>
          <w:lang w:eastAsia="fr-FR"/>
        </w:rPr>
        <w:t>e</w:t>
      </w:r>
      <w:proofErr w:type="gramEnd"/>
      <w:r>
        <w:rPr>
          <w:rFonts w:ascii="TimesNewRomanPSMT" w:hAnsi="TimesNewRomanPSMT" w:cs="TimesNewRomanPSMT"/>
          <w:lang w:eastAsia="fr-FR"/>
        </w:rPr>
        <w:t xml:space="preserve">) and </w:t>
      </w:r>
      <w:r>
        <w:rPr>
          <w:lang w:eastAsia="fr-FR"/>
        </w:rPr>
        <w:t>6.1.2.4</w:t>
      </w:r>
      <w:r>
        <w:rPr>
          <w:lang w:eastAsia="fr-FR"/>
        </w:rPr>
        <w:tab/>
      </w:r>
      <w:r>
        <w:tab/>
        <w:t>The 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tabs>
          <w:tab w:val="left" w:pos="1854"/>
        </w:tabs>
      </w:pPr>
      <w:r>
        <w:t>6.1.3.1 (f)</w:t>
      </w:r>
      <w:r>
        <w:tab/>
        <w:t>Replace “indicated by the distinguishing sign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tabs>
          <w:tab w:val="left" w:pos="1854"/>
        </w:tabs>
      </w:pPr>
      <w:r>
        <w:t>6.1.3.8 (h)</w:t>
      </w:r>
      <w:r>
        <w:tab/>
        <w:t>Replace “indicated by the distinguishing sign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rPr>
          <w:lang w:eastAsia="fr-FR"/>
        </w:rPr>
        <w:t xml:space="preserve">6.1.4.2.2, 6.1.4.3.2, 6.1.4.4.2 and </w:t>
      </w:r>
      <w:r>
        <w:rPr>
          <w:rFonts w:ascii="TimesNewRomanPSMT" w:hAnsi="TimesNewRomanPSMT" w:cs="TimesNewRomanPSMT"/>
          <w:lang w:eastAsia="fr-FR"/>
        </w:rPr>
        <w:t>6.1.4.5.4</w:t>
      </w:r>
      <w:r>
        <w:tab/>
      </w:r>
      <w:proofErr w:type="gramStart"/>
      <w:r>
        <w:t>The</w:t>
      </w:r>
      <w:proofErr w:type="gramEnd"/>
      <w:r>
        <w:t xml:space="preserve"> amendments do not apply to the English text.</w:t>
      </w:r>
    </w:p>
    <w:p w:rsidR="009F409E" w:rsidRPr="00A37BED" w:rsidRDefault="009F409E" w:rsidP="009F409E">
      <w:pPr>
        <w:pStyle w:val="SingleTxtG"/>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H1G"/>
        <w:rPr>
          <w:sz w:val="20"/>
        </w:rPr>
      </w:pPr>
      <w:r w:rsidRPr="00A37BED">
        <w:rPr>
          <w:sz w:val="20"/>
          <w:lang w:val="fr-CH"/>
        </w:rPr>
        <w:tab/>
      </w:r>
      <w:r w:rsidRPr="00A37BED">
        <w:rPr>
          <w:sz w:val="20"/>
          <w:lang w:val="fr-CH"/>
        </w:rPr>
        <w:tab/>
      </w:r>
      <w:r>
        <w:rPr>
          <w:sz w:val="20"/>
        </w:rPr>
        <w:t>Chapter 6.2</w:t>
      </w:r>
    </w:p>
    <w:p w:rsidR="009F409E" w:rsidRDefault="009F409E" w:rsidP="009F409E">
      <w:pPr>
        <w:tabs>
          <w:tab w:val="left" w:pos="1418"/>
          <w:tab w:val="left" w:pos="1843"/>
        </w:tabs>
        <w:spacing w:before="120" w:after="120"/>
        <w:ind w:left="1134" w:right="1134"/>
        <w:jc w:val="both"/>
        <w:rPr>
          <w:szCs w:val="24"/>
        </w:rPr>
      </w:pPr>
      <w:r>
        <w:t>6.2.1.3.6.4.4</w:t>
      </w:r>
      <w:r>
        <w:tab/>
        <w:t xml:space="preserve">The </w:t>
      </w:r>
      <w:r>
        <w:rPr>
          <w:szCs w:val="24"/>
        </w:rPr>
        <w:t>amendment does not apply to the English text.</w:t>
      </w:r>
    </w:p>
    <w:p w:rsidR="009F409E" w:rsidRPr="00A37BED" w:rsidRDefault="009F409E" w:rsidP="009F409E">
      <w:pPr>
        <w:pStyle w:val="SingleTxtG"/>
        <w:ind w:left="0"/>
        <w:rPr>
          <w:i/>
          <w:lang w:val="fr-CH"/>
        </w:rPr>
      </w:pPr>
      <w:r w:rsidRPr="00A37BED">
        <w:rPr>
          <w:i/>
          <w:lang w:val="fr-CH"/>
        </w:rPr>
        <w:lastRenderedPageBreak/>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tabs>
          <w:tab w:val="left" w:pos="1418"/>
          <w:tab w:val="left" w:pos="1843"/>
        </w:tabs>
        <w:spacing w:before="120" w:after="120"/>
        <w:ind w:left="1134" w:right="1134"/>
        <w:jc w:val="both"/>
      </w:pPr>
      <w:r>
        <w:t>6.2.2</w:t>
      </w:r>
      <w:r>
        <w:tab/>
        <w:t>The Note at the end becomes Note 1. Add a new Note 2 to read as follows:</w:t>
      </w:r>
    </w:p>
    <w:p w:rsidR="009F409E" w:rsidRDefault="009F409E" w:rsidP="009F409E">
      <w:pPr>
        <w:tabs>
          <w:tab w:val="left" w:pos="1418"/>
          <w:tab w:val="left" w:pos="1843"/>
        </w:tabs>
        <w:spacing w:before="120" w:after="120"/>
        <w:ind w:left="1134" w:right="1134"/>
        <w:jc w:val="both"/>
      </w:pPr>
      <w:r>
        <w:t>“</w:t>
      </w:r>
      <w:r>
        <w:rPr>
          <w:b/>
          <w:i/>
        </w:rPr>
        <w:t>NOTE 2:</w:t>
      </w:r>
      <w:r>
        <w:rPr>
          <w:i/>
        </w:rPr>
        <w:tab/>
        <w:t xml:space="preserve">When EN ISO versions of the following ISO standards are available, they may be used </w:t>
      </w:r>
      <w:r>
        <w:rPr>
          <w:i/>
        </w:rPr>
        <w:tab/>
        <w:t>to fulfil the requirements of 6.2.2.1, 6.2.2.2, 6.2.2.3 and 6.2.2.4.</w:t>
      </w:r>
      <w:proofErr w:type="gramStart"/>
      <w:r>
        <w:t>”.</w:t>
      </w:r>
      <w:proofErr w:type="gramEnd"/>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tabs>
          <w:tab w:val="left" w:pos="1418"/>
          <w:tab w:val="left" w:pos="1843"/>
        </w:tabs>
        <w:spacing w:before="120" w:after="120"/>
        <w:ind w:left="1134" w:right="1134"/>
        <w:jc w:val="both"/>
      </w:pPr>
      <w:r>
        <w:t>6.2.2.3</w:t>
      </w:r>
      <w:r>
        <w:tab/>
        <w:t>For standard “</w:t>
      </w:r>
      <w:r>
        <w:rPr>
          <w:szCs w:val="22"/>
        </w:rPr>
        <w:t>ISO 10297:2006”, in column (2), delete the Note.</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SingleTxtG"/>
        <w:tabs>
          <w:tab w:val="left" w:pos="1854"/>
        </w:tabs>
      </w:pPr>
      <w:r>
        <w:t>6.2.2.7.2 (c)</w:t>
      </w:r>
      <w:r>
        <w:tab/>
        <w:t>Replace “indicated by the distinguishing signs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tabs>
          <w:tab w:val="left" w:pos="1854"/>
        </w:tabs>
      </w:pPr>
      <w:r>
        <w:t>6.2.2.7.4 (n)</w:t>
      </w:r>
      <w:r>
        <w:tab/>
        <w:t>Replace “indicated by the distinguishing signs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tabs>
          <w:tab w:val="left" w:pos="1854"/>
        </w:tabs>
      </w:pPr>
      <w:r>
        <w:t>6.2.2.7.7 (a)</w:t>
      </w:r>
      <w:r>
        <w:tab/>
        <w:t>Replace “indicated by the distinguishing signs of motor vehicles in international traffic” by “indicated by the distinguishing sign used on vehicles in international road traffic”. Amend footnote 4/3 to read as follows: “</w:t>
      </w:r>
      <w:r>
        <w:rPr>
          <w:vertAlign w:val="superscript"/>
        </w:rPr>
        <w:t>4/3</w:t>
      </w:r>
      <w:r>
        <w:tab/>
      </w:r>
      <w:proofErr w:type="gramStart"/>
      <w:r>
        <w:t>Distinguishing</w:t>
      </w:r>
      <w:proofErr w:type="gramEnd"/>
      <w:r>
        <w:t xml:space="preserve">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tabs>
          <w:tab w:val="left" w:pos="1854"/>
        </w:tabs>
      </w:pPr>
      <w:r>
        <w:t xml:space="preserve">6.2.2.9.2 </w:t>
      </w:r>
      <w:proofErr w:type="gramStart"/>
      <w:r>
        <w:t>(c)</w:t>
      </w:r>
      <w:proofErr w:type="gramEnd"/>
      <w:r>
        <w:t xml:space="preserve"> and (h)</w:t>
      </w:r>
      <w:r>
        <w:tab/>
        <w:t>Replace “indicated by the distinguishing signs of motor vehicles in international traffic” by “indicated by the distinguishing sign used on vehicles in international road traffic”. Amend footnote 6/3 to read as follows: “</w:t>
      </w:r>
      <w:r>
        <w:rPr>
          <w:vertAlign w:val="superscript"/>
        </w:rPr>
        <w:t>6/3</w:t>
      </w:r>
      <w:r>
        <w:tab/>
      </w:r>
      <w:proofErr w:type="gramStart"/>
      <w:r>
        <w:t>Distinguishing</w:t>
      </w:r>
      <w:proofErr w:type="gramEnd"/>
      <w:r>
        <w:t xml:space="preserve">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tabs>
          <w:tab w:val="left" w:pos="1854"/>
        </w:tabs>
      </w:pPr>
      <w:r>
        <w:t>6.2.2.9.4 (a)</w:t>
      </w:r>
      <w:r>
        <w:tab/>
        <w:t>Replace “indicated by the distinguishing sign of motor vehicles in international traffic” by “indicated by the distinguishing sign used on vehicles in international road traffic”. Amend footnote 6/3 to read as follows: “6/3</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t>6.2.2.10.2</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tabs>
          <w:tab w:val="left" w:pos="1418"/>
          <w:tab w:val="left" w:pos="1843"/>
        </w:tabs>
        <w:spacing w:before="120" w:after="120"/>
        <w:ind w:left="1134" w:right="1134"/>
        <w:jc w:val="both"/>
      </w:pPr>
      <w:r>
        <w:lastRenderedPageBreak/>
        <w:t>6.2.3.5.1</w:t>
      </w:r>
      <w:r>
        <w:tab/>
      </w:r>
      <w:r>
        <w:tab/>
        <w:t>The Note becomes Note 1. Add the following Notes 2 and 3:</w:t>
      </w:r>
    </w:p>
    <w:p w:rsidR="009F409E" w:rsidRDefault="009F409E" w:rsidP="009F409E">
      <w:pPr>
        <w:pStyle w:val="SingleTxtG"/>
        <w:rPr>
          <w:i/>
        </w:rPr>
      </w:pPr>
      <w:r>
        <w:t>“</w:t>
      </w:r>
      <w:r>
        <w:rPr>
          <w:b/>
          <w:i/>
        </w:rPr>
        <w:t>NOTE 2:</w:t>
      </w:r>
      <w:r>
        <w:rPr>
          <w:i/>
        </w:rPr>
        <w:tab/>
        <w:t>For seamless steel cylinders and tubes the check of 6.2.1.6.1 (b) and the hydraulic pressure test of 6.2.1.6.1 (d) may be replaced by a procedure conforming to EN ISO 16148:[2016] “Gas cylinders – Refillable seamless steel gas cylinders and tubes – Acoustic emission examination (AT) and follow-up ultrasonic examination (UT) for periodic inspection and testing”.</w:t>
      </w:r>
    </w:p>
    <w:p w:rsidR="009F409E" w:rsidRDefault="009F409E" w:rsidP="009F409E">
      <w:pPr>
        <w:pStyle w:val="SingleTxtG"/>
      </w:pPr>
      <w:r>
        <w:rPr>
          <w:b/>
          <w:i/>
        </w:rPr>
        <w:t>NOTE 3:</w:t>
      </w:r>
      <w:r>
        <w:rPr>
          <w:i/>
        </w:rPr>
        <w:tab/>
        <w:t>The check of 6.2.1.6.1 (b) and the hydraulic pressure test of 6.2.1.6.1 (d) may be replaced by ultrasonic examination carried out in accordance with EN 1802:2002 for seamless aluminium alloy gas cylinders and in accordance with EN 1968:2002 + A1:2005 for seamless steel gas cylinders.</w:t>
      </w:r>
      <w:r>
        <w: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SingleTxtG"/>
        <w:tabs>
          <w:tab w:val="left" w:pos="1854"/>
        </w:tabs>
      </w:pPr>
      <w:r>
        <w:t>6.2.3.9.7.3 (a)</w:t>
      </w:r>
      <w:r>
        <w:tab/>
        <w:t>Replace “indicated by the distinguishing sign of motor vehicles in international traffic” by “indicated by the distinguishing sign used on vehicles in international road traffic”. Amend footnote 7/3 to read as follows: “</w:t>
      </w:r>
      <w:r>
        <w:rPr>
          <w:b/>
          <w:vertAlign w:val="superscript"/>
        </w:rPr>
        <w:t>7/3</w:t>
      </w:r>
      <w:r>
        <w:tab/>
      </w:r>
      <w:proofErr w:type="gramStart"/>
      <w:r>
        <w:t>Distinguishing</w:t>
      </w:r>
      <w:proofErr w:type="gramEnd"/>
      <w:r>
        <w:t xml:space="preserve">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tabs>
          <w:tab w:val="left" w:pos="1418"/>
        </w:tabs>
        <w:spacing w:before="120" w:after="120"/>
        <w:ind w:left="1134" w:right="1134"/>
        <w:jc w:val="both"/>
      </w:pPr>
      <w:r>
        <w:t>6.2.4.1</w:t>
      </w:r>
      <w:r>
        <w:tab/>
      </w:r>
      <w:r>
        <w:tab/>
        <w:t>Amend the Table, under “for design and construction”, as follows:</w:t>
      </w:r>
    </w:p>
    <w:p w:rsidR="009F409E" w:rsidRDefault="009F409E" w:rsidP="009F409E">
      <w:pPr>
        <w:widowControl w:val="0"/>
        <w:tabs>
          <w:tab w:val="left" w:pos="1418"/>
        </w:tabs>
        <w:spacing w:before="120" w:after="120"/>
        <w:ind w:left="1134" w:right="1134"/>
        <w:jc w:val="both"/>
        <w:rPr>
          <w:rFonts w:cs="Arial"/>
          <w:szCs w:val="22"/>
        </w:rPr>
      </w:pPr>
      <w:r>
        <w:rPr>
          <w:rFonts w:cs="Arial"/>
          <w:szCs w:val="22"/>
        </w:rPr>
        <w:t>–</w:t>
      </w:r>
      <w:r>
        <w:rPr>
          <w:rFonts w:cs="Arial"/>
          <w:szCs w:val="22"/>
        </w:rPr>
        <w:tab/>
        <w:t>For standard “</w:t>
      </w:r>
      <w:r>
        <w:t>EN 12205:2001</w:t>
      </w:r>
      <w:r>
        <w:rPr>
          <w:rFonts w:cs="Arial"/>
          <w:szCs w:val="22"/>
        </w:rPr>
        <w:t>”, in column (4), replace “Until further notice” by “Between 1 January 2005 and 31 December 2017”.</w:t>
      </w:r>
    </w:p>
    <w:p w:rsidR="009F409E" w:rsidRDefault="009F409E" w:rsidP="009F409E">
      <w:pPr>
        <w:widowControl w:val="0"/>
        <w:tabs>
          <w:tab w:val="left" w:pos="1418"/>
        </w:tabs>
        <w:spacing w:before="120" w:after="120"/>
        <w:ind w:left="1134" w:right="1134"/>
        <w:jc w:val="both"/>
        <w:rPr>
          <w:rFonts w:cs="Arial"/>
          <w:szCs w:val="22"/>
        </w:rPr>
      </w:pPr>
      <w:r>
        <w:rPr>
          <w:rFonts w:cs="Arial"/>
          <w:szCs w:val="22"/>
        </w:rPr>
        <w:t>–</w:t>
      </w:r>
      <w:r>
        <w:rPr>
          <w:rFonts w:cs="Arial"/>
          <w:szCs w:val="22"/>
        </w:rPr>
        <w:tab/>
        <w:t>For standard “</w:t>
      </w:r>
      <w:r>
        <w:t>EN 12205:2001</w:t>
      </w:r>
      <w:r>
        <w:rPr>
          <w:rFonts w:cs="Arial"/>
          <w:szCs w:val="22"/>
        </w:rPr>
        <w:t>”, in column (5), insert: “31 December 2018”.</w:t>
      </w:r>
    </w:p>
    <w:p w:rsidR="009F409E" w:rsidRDefault="009F409E" w:rsidP="009F409E">
      <w:pPr>
        <w:widowControl w:val="0"/>
        <w:tabs>
          <w:tab w:val="left" w:pos="1418"/>
        </w:tabs>
        <w:spacing w:before="120" w:after="120"/>
        <w:ind w:left="1134" w:right="1134"/>
        <w:jc w:val="both"/>
        <w:rPr>
          <w:rFonts w:cs="Arial"/>
          <w:szCs w:val="22"/>
        </w:rPr>
      </w:pPr>
      <w:r>
        <w:rPr>
          <w:rFonts w:cs="Arial"/>
          <w:szCs w:val="22"/>
        </w:rPr>
        <w:t>–</w:t>
      </w:r>
      <w:r>
        <w:rPr>
          <w:rFonts w:cs="Arial"/>
          <w:szCs w:val="22"/>
        </w:rPr>
        <w:tab/>
        <w:t>After standard “</w:t>
      </w:r>
      <w:r>
        <w:t>EN 12205:2001</w:t>
      </w:r>
      <w:r>
        <w:rPr>
          <w:rFonts w:cs="Arial"/>
          <w:szCs w:val="22"/>
        </w:rPr>
        <w:t>”,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544"/>
        <w:gridCol w:w="1437"/>
        <w:gridCol w:w="956"/>
        <w:gridCol w:w="664"/>
      </w:tblGrid>
      <w:tr w:rsidR="009F409E" w:rsidTr="009F409E">
        <w:trPr>
          <w:cantSplit/>
        </w:trPr>
        <w:tc>
          <w:tcPr>
            <w:tcW w:w="1679"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sz w:val="18"/>
                <w:szCs w:val="18"/>
              </w:rPr>
              <w:t>EN ISO</w:t>
            </w:r>
          </w:p>
          <w:p w:rsidR="009F409E" w:rsidRDefault="009F409E">
            <w:pPr>
              <w:widowControl w:val="0"/>
              <w:rPr>
                <w:rFonts w:cs="Arial"/>
                <w:sz w:val="18"/>
                <w:szCs w:val="18"/>
              </w:rPr>
            </w:pPr>
            <w:r>
              <w:rPr>
                <w:rFonts w:cs="Arial"/>
                <w:sz w:val="18"/>
                <w:szCs w:val="18"/>
              </w:rPr>
              <w:t>11118:2015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bCs/>
                <w:sz w:val="18"/>
                <w:szCs w:val="18"/>
              </w:rPr>
            </w:pPr>
            <w:r>
              <w:rPr>
                <w:rFonts w:cs="Arial"/>
                <w:bCs/>
                <w:sz w:val="18"/>
                <w:szCs w:val="18"/>
              </w:rPr>
              <w:t>Gas cylinders – Non-refillable metallic gas cylinders – Specification and test methods</w:t>
            </w:r>
          </w:p>
        </w:tc>
        <w:tc>
          <w:tcPr>
            <w:tcW w:w="1437"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sz w:val="18"/>
                <w:szCs w:val="18"/>
              </w:rPr>
              <w:t>6.2.3.1, 6.2.3.3 and 6.2.3.4</w:t>
            </w:r>
          </w:p>
        </w:tc>
        <w:tc>
          <w:tcPr>
            <w:tcW w:w="956"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9F409E" w:rsidRDefault="009F409E">
            <w:pPr>
              <w:widowControl w:val="0"/>
              <w:rPr>
                <w:rFonts w:cs="Arial"/>
                <w:sz w:val="18"/>
                <w:szCs w:val="18"/>
              </w:rPr>
            </w:pPr>
          </w:p>
        </w:tc>
      </w:tr>
    </w:tbl>
    <w:p w:rsidR="009F409E" w:rsidRDefault="009F409E" w:rsidP="009F409E">
      <w:pPr>
        <w:widowControl w:val="0"/>
        <w:spacing w:before="120" w:after="120"/>
        <w:ind w:left="1134" w:right="1134"/>
        <w:jc w:val="both"/>
        <w:rPr>
          <w:rFonts w:cs="Arial"/>
          <w:szCs w:val="22"/>
        </w:rPr>
      </w:pPr>
      <w:r>
        <w:rPr>
          <w:rFonts w:cs="Arial"/>
          <w:szCs w:val="22"/>
        </w:rPr>
        <w:t>Amend the Table, under “for closures”, as follows:</w:t>
      </w:r>
    </w:p>
    <w:p w:rsidR="009F409E" w:rsidRDefault="009F409E" w:rsidP="009F409E">
      <w:pPr>
        <w:widowControl w:val="0"/>
        <w:spacing w:before="120" w:after="120"/>
        <w:ind w:left="1134" w:right="1134"/>
        <w:jc w:val="both"/>
        <w:rPr>
          <w:rFonts w:cs="Arial"/>
          <w:szCs w:val="22"/>
        </w:rPr>
      </w:pPr>
      <w:r>
        <w:rPr>
          <w:rFonts w:cs="Arial"/>
          <w:szCs w:val="22"/>
        </w:rPr>
        <w:t>–</w:t>
      </w:r>
      <w:r>
        <w:rPr>
          <w:rFonts w:cs="Arial"/>
          <w:szCs w:val="22"/>
        </w:rPr>
        <w:tab/>
        <w:t>For standard “</w:t>
      </w:r>
      <w:r>
        <w:t>EN 13340:2001</w:t>
      </w:r>
      <w:r>
        <w:rPr>
          <w:rFonts w:cs="Arial"/>
          <w:szCs w:val="22"/>
        </w:rPr>
        <w:t>”, in column (4), replace “Until further notice” by “Between 1 January 2011 and 31 December 2017”.</w:t>
      </w:r>
    </w:p>
    <w:p w:rsidR="009F409E" w:rsidRDefault="009F409E" w:rsidP="009F409E">
      <w:pPr>
        <w:widowControl w:val="0"/>
        <w:spacing w:before="120" w:after="120"/>
        <w:ind w:left="1134" w:right="1134"/>
        <w:jc w:val="both"/>
        <w:rPr>
          <w:rFonts w:cs="Arial"/>
          <w:szCs w:val="22"/>
        </w:rPr>
      </w:pPr>
      <w:r>
        <w:rPr>
          <w:rFonts w:cs="Arial"/>
          <w:szCs w:val="22"/>
        </w:rPr>
        <w:t>–</w:t>
      </w:r>
      <w:r>
        <w:rPr>
          <w:rFonts w:cs="Arial"/>
          <w:szCs w:val="22"/>
        </w:rPr>
        <w:tab/>
        <w:t>For standard “</w:t>
      </w:r>
      <w:r>
        <w:t>EN 13340:2001</w:t>
      </w:r>
      <w:r>
        <w:rPr>
          <w:rFonts w:cs="Arial"/>
          <w:szCs w:val="22"/>
        </w:rPr>
        <w:t>”, in column (5), insert: “31 December 2018”.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widowControl w:val="0"/>
        <w:spacing w:before="120" w:after="120"/>
        <w:ind w:left="1134" w:right="1134" w:hanging="425"/>
        <w:jc w:val="both"/>
        <w:rPr>
          <w:rFonts w:cs="Arial"/>
          <w:szCs w:val="22"/>
        </w:rPr>
      </w:pPr>
      <w:r>
        <w:rPr>
          <w:rFonts w:cs="Arial"/>
          <w:szCs w:val="22"/>
        </w:rPr>
        <w:t>6.2.4.2</w:t>
      </w:r>
      <w:r>
        <w:rPr>
          <w:rFonts w:cs="Arial"/>
          <w:szCs w:val="22"/>
        </w:rPr>
        <w:tab/>
        <w:t>Amend the Table as follows:</w:t>
      </w:r>
    </w:p>
    <w:p w:rsidR="009F409E" w:rsidRDefault="009F409E" w:rsidP="009F409E">
      <w:pPr>
        <w:widowControl w:val="0"/>
        <w:spacing w:before="120" w:after="120"/>
        <w:ind w:left="1134" w:right="1134" w:hanging="425"/>
        <w:jc w:val="both"/>
        <w:rPr>
          <w:rFonts w:cs="Arial"/>
          <w:szCs w:val="22"/>
        </w:rPr>
      </w:pPr>
      <w:r>
        <w:rPr>
          <w:rFonts w:cs="Arial"/>
          <w:szCs w:val="22"/>
        </w:rPr>
        <w:t>–</w:t>
      </w:r>
      <w:r>
        <w:rPr>
          <w:rFonts w:cs="Arial"/>
          <w:szCs w:val="22"/>
        </w:rPr>
        <w:tab/>
        <w:t>Delete the whole row for standard “EN 12863:2002 + A1:2005”.</w:t>
      </w:r>
    </w:p>
    <w:p w:rsidR="009F409E" w:rsidRDefault="009F409E" w:rsidP="009F409E">
      <w:pPr>
        <w:widowControl w:val="0"/>
        <w:spacing w:before="120" w:after="120"/>
        <w:ind w:left="1134" w:right="1134" w:hanging="425"/>
        <w:jc w:val="both"/>
        <w:rPr>
          <w:rFonts w:cs="Arial"/>
          <w:szCs w:val="22"/>
        </w:rPr>
      </w:pPr>
      <w:r>
        <w:rPr>
          <w:rFonts w:cs="Arial"/>
          <w:szCs w:val="22"/>
        </w:rPr>
        <w:t>–</w:t>
      </w:r>
      <w:r>
        <w:rPr>
          <w:rFonts w:cs="Arial"/>
          <w:szCs w:val="22"/>
        </w:rPr>
        <w:tab/>
        <w:t>For standard “EN ISO 10462:2013”, in column (3), replace “Mandatorily from 1 January 2017” by</w:t>
      </w:r>
    </w:p>
    <w:p w:rsidR="009F409E" w:rsidRDefault="009F409E" w:rsidP="009F409E">
      <w:pPr>
        <w:widowControl w:val="0"/>
        <w:spacing w:before="120" w:after="120"/>
        <w:ind w:left="1134" w:right="1134" w:hanging="425"/>
        <w:jc w:val="both"/>
        <w:rPr>
          <w:rFonts w:cs="Arial"/>
          <w:szCs w:val="22"/>
        </w:rPr>
      </w:pPr>
      <w:proofErr w:type="gramStart"/>
      <w:r>
        <w:rPr>
          <w:rFonts w:cs="Arial"/>
          <w:szCs w:val="22"/>
        </w:rPr>
        <w:t>“Until further notice”.</w:t>
      </w:r>
      <w:proofErr w:type="gramEnd"/>
    </w:p>
    <w:p w:rsidR="009F409E" w:rsidRDefault="009F409E" w:rsidP="009F409E">
      <w:pPr>
        <w:widowControl w:val="0"/>
        <w:spacing w:before="120" w:after="120"/>
        <w:ind w:left="1134" w:right="1134" w:hanging="425"/>
        <w:jc w:val="both"/>
        <w:rPr>
          <w:rFonts w:cs="Arial"/>
          <w:szCs w:val="22"/>
        </w:rPr>
      </w:pPr>
      <w:r>
        <w:rPr>
          <w:rFonts w:cs="Arial"/>
          <w:szCs w:val="22"/>
        </w:rPr>
        <w:t>–</w:t>
      </w:r>
      <w:r>
        <w:rPr>
          <w:rFonts w:cs="Arial"/>
          <w:szCs w:val="22"/>
        </w:rPr>
        <w:tab/>
        <w:t>For standard “EN ISO 11623:2002 (except clause 4)”, in column (3), replace “Until further notice” by</w:t>
      </w:r>
    </w:p>
    <w:p w:rsidR="009F409E" w:rsidRDefault="009F409E" w:rsidP="009F409E">
      <w:pPr>
        <w:widowControl w:val="0"/>
        <w:spacing w:before="120" w:after="120"/>
        <w:ind w:left="1134" w:right="1134" w:hanging="425"/>
        <w:jc w:val="both"/>
        <w:rPr>
          <w:rFonts w:cs="Arial"/>
          <w:szCs w:val="22"/>
        </w:rPr>
      </w:pPr>
      <w:r>
        <w:rPr>
          <w:rFonts w:cs="Arial"/>
          <w:szCs w:val="22"/>
        </w:rPr>
        <w:t>“Until 31 December 2018”.</w:t>
      </w:r>
    </w:p>
    <w:p w:rsidR="009F409E" w:rsidRDefault="009F409E" w:rsidP="009F409E">
      <w:pPr>
        <w:widowControl w:val="0"/>
        <w:spacing w:before="120" w:after="120"/>
        <w:ind w:left="1134" w:right="1134" w:hanging="425"/>
        <w:jc w:val="both"/>
        <w:rPr>
          <w:rFonts w:cs="Arial"/>
          <w:szCs w:val="22"/>
        </w:rPr>
      </w:pPr>
      <w:r>
        <w:rPr>
          <w:rFonts w:cs="Arial"/>
          <w:szCs w:val="22"/>
        </w:rPr>
        <w:t>–</w:t>
      </w:r>
      <w:r>
        <w:rPr>
          <w:rFonts w:cs="Arial"/>
          <w:szCs w:val="22"/>
        </w:rPr>
        <w:tab/>
        <w:t>After standard “EN ISO 11623:2002 (except clause 4)”, insert the following new row:</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341"/>
        <w:gridCol w:w="1559"/>
      </w:tblGrid>
      <w:tr w:rsidR="009F409E" w:rsidTr="009F409E">
        <w:tc>
          <w:tcPr>
            <w:tcW w:w="1440"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rPr>
                <w:rFonts w:cs="Arial"/>
                <w:bCs/>
                <w:sz w:val="18"/>
                <w:szCs w:val="18"/>
              </w:rPr>
            </w:pPr>
            <w:r>
              <w:rPr>
                <w:rFonts w:cs="Arial"/>
                <w:bCs/>
                <w:sz w:val="18"/>
                <w:szCs w:val="18"/>
              </w:rPr>
              <w:t>EN ISO 11623:2015</w:t>
            </w:r>
          </w:p>
        </w:tc>
        <w:tc>
          <w:tcPr>
            <w:tcW w:w="5342"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rPr>
                <w:rFonts w:cs="Arial"/>
                <w:bCs/>
                <w:sz w:val="18"/>
                <w:szCs w:val="18"/>
              </w:rPr>
            </w:pPr>
            <w:r>
              <w:rPr>
                <w:rFonts w:cs="Arial"/>
                <w:bCs/>
                <w:sz w:val="18"/>
                <w:szCs w:val="18"/>
              </w:rPr>
              <w:t>Gas cylinders – Composite construction – Periodic inspection and testing</w:t>
            </w:r>
          </w:p>
        </w:tc>
        <w:tc>
          <w:tcPr>
            <w:tcW w:w="1559"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jc w:val="center"/>
              <w:rPr>
                <w:rFonts w:cs="Arial"/>
                <w:sz w:val="18"/>
                <w:szCs w:val="18"/>
              </w:rPr>
            </w:pPr>
            <w:r>
              <w:rPr>
                <w:rFonts w:cs="Arial"/>
                <w:sz w:val="18"/>
                <w:szCs w:val="18"/>
              </w:rPr>
              <w:t>Mandatorily from 1 January 2019</w:t>
            </w:r>
          </w:p>
        </w:tc>
      </w:tr>
    </w:tbl>
    <w:p w:rsidR="009F409E" w:rsidRDefault="009F409E" w:rsidP="009F409E">
      <w:pPr>
        <w:widowControl w:val="0"/>
        <w:spacing w:before="120" w:after="120"/>
        <w:ind w:left="1134" w:right="1134"/>
        <w:rPr>
          <w:rFonts w:cs="Arial"/>
          <w:szCs w:val="22"/>
        </w:rPr>
      </w:pPr>
      <w:r>
        <w:rPr>
          <w:rFonts w:cs="Arial"/>
          <w:szCs w:val="22"/>
        </w:rPr>
        <w:lastRenderedPageBreak/>
        <w:t>–</w:t>
      </w:r>
      <w:r>
        <w:rPr>
          <w:rFonts w:cs="Arial"/>
          <w:szCs w:val="22"/>
        </w:rPr>
        <w:tab/>
        <w:t>For standard “</w:t>
      </w:r>
      <w:r>
        <w:rPr>
          <w:rFonts w:cs="Arial"/>
          <w:bCs/>
          <w:szCs w:val="22"/>
        </w:rPr>
        <w:t xml:space="preserve">EN 1440:2008 + A1:2012 </w:t>
      </w:r>
      <w:r>
        <w:rPr>
          <w:szCs w:val="18"/>
        </w:rPr>
        <w:t>(except Annexes G and H)</w:t>
      </w:r>
      <w:r>
        <w:rPr>
          <w:rFonts w:cs="Arial"/>
          <w:bCs/>
          <w:szCs w:val="22"/>
        </w:rPr>
        <w:t xml:space="preserve">”, </w:t>
      </w:r>
      <w:r>
        <w:rPr>
          <w:rFonts w:cs="Arial"/>
          <w:szCs w:val="22"/>
        </w:rPr>
        <w:t>in column (3), replace “Until further notice” by</w:t>
      </w:r>
    </w:p>
    <w:p w:rsidR="009F409E" w:rsidRDefault="009F409E" w:rsidP="009F409E">
      <w:pPr>
        <w:widowControl w:val="0"/>
        <w:spacing w:before="120" w:after="120"/>
        <w:ind w:left="1134" w:right="1134"/>
        <w:rPr>
          <w:rFonts w:cs="Arial"/>
          <w:szCs w:val="22"/>
        </w:rPr>
      </w:pPr>
      <w:r>
        <w:rPr>
          <w:rFonts w:cs="Arial"/>
          <w:szCs w:val="22"/>
        </w:rPr>
        <w:t>“Until 31 December 2018”.</w:t>
      </w:r>
    </w:p>
    <w:p w:rsidR="009F409E" w:rsidRDefault="009F409E" w:rsidP="009F409E">
      <w:pPr>
        <w:widowControl w:val="0"/>
        <w:spacing w:before="120" w:after="120"/>
        <w:ind w:left="1134" w:right="1134"/>
        <w:rPr>
          <w:rFonts w:cs="Arial"/>
          <w:bCs/>
          <w:szCs w:val="22"/>
        </w:rPr>
      </w:pPr>
      <w:r>
        <w:rPr>
          <w:rFonts w:cs="Arial"/>
          <w:szCs w:val="22"/>
        </w:rPr>
        <w:t>–</w:t>
      </w:r>
      <w:r>
        <w:rPr>
          <w:rFonts w:cs="Arial"/>
          <w:szCs w:val="22"/>
        </w:rPr>
        <w:tab/>
        <w:t>After standard “</w:t>
      </w:r>
      <w:r>
        <w:rPr>
          <w:rFonts w:cs="Arial"/>
          <w:bCs/>
          <w:szCs w:val="22"/>
        </w:rPr>
        <w:t xml:space="preserve">EN 1440:2008 + A1:2012 </w:t>
      </w:r>
      <w:r>
        <w:rPr>
          <w:szCs w:val="18"/>
        </w:rPr>
        <w:t>(except Annexes G and H)</w:t>
      </w:r>
      <w:r>
        <w:rPr>
          <w:rFonts w:cs="Arial"/>
          <w:bCs/>
          <w:szCs w:val="22"/>
        </w:rPr>
        <w:t>”, insert the following new rows:</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341"/>
        <w:gridCol w:w="1559"/>
      </w:tblGrid>
      <w:tr w:rsidR="009F409E" w:rsidTr="009F409E">
        <w:tc>
          <w:tcPr>
            <w:tcW w:w="1440"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rPr>
                <w:rFonts w:cs="Arial"/>
                <w:bCs/>
                <w:sz w:val="18"/>
                <w:szCs w:val="18"/>
              </w:rPr>
            </w:pPr>
            <w:r>
              <w:rPr>
                <w:rFonts w:cs="Arial"/>
                <w:bCs/>
                <w:sz w:val="18"/>
                <w:szCs w:val="18"/>
              </w:rPr>
              <w:t>EN 1440:2016 (except Annex C)</w:t>
            </w:r>
          </w:p>
        </w:tc>
        <w:tc>
          <w:tcPr>
            <w:tcW w:w="5342"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rPr>
                <w:rFonts w:cs="Arial"/>
                <w:bCs/>
                <w:sz w:val="18"/>
                <w:szCs w:val="18"/>
              </w:rPr>
            </w:pPr>
            <w:r>
              <w:rPr>
                <w:rFonts w:cs="Arial"/>
                <w:bCs/>
                <w:sz w:val="18"/>
                <w:szCs w:val="18"/>
              </w:rPr>
              <w:t>LPG equipment and accessories – Transportable refillable traditional welded and brazed steel Liquefied Petroleum Gas (LPG) cylinders – Periodic inspection</w:t>
            </w:r>
          </w:p>
        </w:tc>
        <w:tc>
          <w:tcPr>
            <w:tcW w:w="1559"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jc w:val="center"/>
              <w:rPr>
                <w:rFonts w:cs="Arial"/>
                <w:sz w:val="18"/>
                <w:szCs w:val="18"/>
              </w:rPr>
            </w:pPr>
            <w:r>
              <w:rPr>
                <w:rFonts w:cs="Arial"/>
                <w:sz w:val="18"/>
                <w:szCs w:val="18"/>
              </w:rPr>
              <w:t>Mandatorily from 1 January 2019</w:t>
            </w:r>
          </w:p>
        </w:tc>
      </w:tr>
      <w:tr w:rsidR="009F409E" w:rsidTr="009F409E">
        <w:tc>
          <w:tcPr>
            <w:tcW w:w="1440"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rPr>
                <w:rFonts w:cs="Arial"/>
                <w:sz w:val="18"/>
                <w:szCs w:val="18"/>
              </w:rPr>
            </w:pPr>
            <w:r>
              <w:rPr>
                <w:rFonts w:cs="Arial"/>
                <w:bCs/>
                <w:sz w:val="18"/>
                <w:szCs w:val="18"/>
              </w:rPr>
              <w:t>EN 16728:2016 (except clause 3.5, Annex F and Annex G)</w:t>
            </w:r>
          </w:p>
        </w:tc>
        <w:tc>
          <w:tcPr>
            <w:tcW w:w="5342"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rPr>
                <w:rFonts w:cs="Arial"/>
                <w:sz w:val="18"/>
                <w:szCs w:val="18"/>
              </w:rPr>
            </w:pPr>
            <w:r>
              <w:rPr>
                <w:rFonts w:cs="Arial"/>
                <w:bCs/>
                <w:sz w:val="18"/>
                <w:szCs w:val="18"/>
              </w:rPr>
              <w:t>LPG equipment and accessories – Transportable refillable LPG cylinders other than traditional welded and brazed steel cylinders – Periodic inspection</w:t>
            </w:r>
          </w:p>
        </w:tc>
        <w:tc>
          <w:tcPr>
            <w:tcW w:w="1559" w:type="dxa"/>
            <w:tcBorders>
              <w:top w:val="single" w:sz="4" w:space="0" w:color="auto"/>
              <w:left w:val="single" w:sz="4" w:space="0" w:color="auto"/>
              <w:bottom w:val="single" w:sz="4" w:space="0" w:color="auto"/>
              <w:right w:val="single" w:sz="4" w:space="0" w:color="auto"/>
            </w:tcBorders>
            <w:hideMark/>
          </w:tcPr>
          <w:p w:rsidR="009F409E" w:rsidRDefault="009F409E">
            <w:pPr>
              <w:widowControl w:val="0"/>
              <w:jc w:val="center"/>
              <w:rPr>
                <w:rFonts w:cs="Arial"/>
                <w:sz w:val="18"/>
                <w:szCs w:val="18"/>
              </w:rPr>
            </w:pPr>
            <w:r>
              <w:rPr>
                <w:rFonts w:cs="Arial"/>
                <w:sz w:val="18"/>
                <w:szCs w:val="18"/>
              </w:rPr>
              <w:t>Mandatorily from 1 January 2019</w:t>
            </w:r>
          </w:p>
        </w:tc>
      </w:tr>
    </w:tbl>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Chapter 6.3</w:t>
      </w:r>
    </w:p>
    <w:p w:rsidR="009F409E" w:rsidRDefault="009F409E" w:rsidP="009F409E">
      <w:pPr>
        <w:pStyle w:val="SingleTxtG"/>
      </w:pPr>
      <w:r>
        <w:t>6.3.1.1</w:t>
      </w:r>
      <w:r>
        <w:tab/>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SingleTxtG"/>
        <w:tabs>
          <w:tab w:val="left" w:pos="1854"/>
        </w:tabs>
      </w:pPr>
      <w:r>
        <w:t>6.3.4.2 (e)</w:t>
      </w:r>
      <w:r>
        <w:tab/>
        <w:t>Replace “indicated by the distinguishing sign for motor vehicles in international traffic” by “indicated by the distinguishing sign used on vehicles in international road traffic”. Amend footnote 2 to read as follows: “</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H1G"/>
        <w:rPr>
          <w:sz w:val="20"/>
        </w:rPr>
      </w:pPr>
      <w:r w:rsidRPr="00A37BED">
        <w:rPr>
          <w:sz w:val="20"/>
          <w:lang w:val="fr-CH"/>
        </w:rPr>
        <w:tab/>
      </w:r>
      <w:r w:rsidRPr="00A37BED">
        <w:rPr>
          <w:sz w:val="20"/>
          <w:lang w:val="fr-CH"/>
        </w:rPr>
        <w:tab/>
      </w:r>
      <w:r>
        <w:rPr>
          <w:sz w:val="20"/>
        </w:rPr>
        <w:t>Chapter 6.4</w:t>
      </w:r>
    </w:p>
    <w:p w:rsidR="009F409E" w:rsidRDefault="009F409E" w:rsidP="009F409E">
      <w:pPr>
        <w:pStyle w:val="SingleTxtG"/>
      </w:pPr>
      <w:r>
        <w:rPr>
          <w:rFonts w:ascii="TimesNewRomanPSMT" w:hAnsi="TimesNewRomanPSMT" w:cs="TimesNewRomanPSMT"/>
          <w:lang w:eastAsia="fr-FR"/>
        </w:rPr>
        <w:t>6.4.5.4.4 c)</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tabs>
          <w:tab w:val="left" w:pos="1854"/>
        </w:tabs>
      </w:pPr>
      <w:r>
        <w:t>6.4.23.11</w:t>
      </w:r>
      <w:r>
        <w:tab/>
        <w:t>In paragraph (a), replace “the international vehicle registration identification code” by “the distinguishing sign used on vehicles in international road traffic”. Amend footnote 1 to read as follows: “</w:t>
      </w:r>
      <w:r>
        <w:rPr>
          <w:b/>
          <w:vertAlign w:val="superscript"/>
        </w:rPr>
        <w:t>1</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Default="009F409E" w:rsidP="009F409E">
      <w:pPr>
        <w:pStyle w:val="SingleTxtG"/>
        <w:ind w:left="0"/>
        <w:rPr>
          <w:i/>
          <w:lang w:val="fr-FR"/>
        </w:rPr>
      </w:pPr>
      <w:r>
        <w:rPr>
          <w:i/>
          <w:lang w:val="fr-FR"/>
        </w:rPr>
        <w:t xml:space="preserve">(Reference document: </w:t>
      </w:r>
      <w:proofErr w:type="spellStart"/>
      <w:r>
        <w:rPr>
          <w:i/>
          <w:lang w:val="fr-FR"/>
        </w:rPr>
        <w:t>informal</w:t>
      </w:r>
      <w:proofErr w:type="spellEnd"/>
      <w:r>
        <w:rPr>
          <w:i/>
          <w:lang w:val="fr-FR"/>
        </w:rPr>
        <w:t xml:space="preserve"> document INF.41)</w:t>
      </w:r>
    </w:p>
    <w:p w:rsidR="009F409E" w:rsidRDefault="009F409E" w:rsidP="009F409E">
      <w:pPr>
        <w:pStyle w:val="H1G"/>
        <w:rPr>
          <w:sz w:val="20"/>
        </w:rPr>
      </w:pPr>
      <w:r>
        <w:rPr>
          <w:sz w:val="20"/>
          <w:lang w:val="fr-FR"/>
        </w:rPr>
        <w:tab/>
      </w:r>
      <w:r>
        <w:rPr>
          <w:sz w:val="20"/>
          <w:lang w:val="fr-FR"/>
        </w:rPr>
        <w:tab/>
      </w:r>
      <w:r>
        <w:rPr>
          <w:sz w:val="20"/>
        </w:rPr>
        <w:t>Chapter 6.5</w:t>
      </w:r>
    </w:p>
    <w:p w:rsidR="009F409E" w:rsidRDefault="009F409E" w:rsidP="009F409E">
      <w:pPr>
        <w:pStyle w:val="SingleTxtG"/>
      </w:pPr>
      <w:r>
        <w:rPr>
          <w:lang w:eastAsia="fr-FR"/>
        </w:rPr>
        <w:t>6.5.1.4.4</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tabs>
          <w:tab w:val="left" w:pos="1854"/>
        </w:tabs>
      </w:pPr>
      <w:r>
        <w:t>6.5.2.1.1 (e)</w:t>
      </w:r>
      <w:r>
        <w:tab/>
        <w:t>Replace “indicated by the distinguishing sign for motor vehicles in international traffic” by “indicated by the distinguishing sign used on vehicles in international road traffic”. Amend footnote 2 to read as follows: “</w:t>
      </w:r>
      <w:r>
        <w:rPr>
          <w:b/>
          <w:vertAlign w:val="superscript"/>
        </w:rPr>
        <w:t>2</w:t>
      </w:r>
      <w:r>
        <w:tab/>
        <w:t xml:space="preserve">Distinguishing sign of the State of registration used on motor vehicles and trailers in international road traffic, </w:t>
      </w:r>
      <w:r>
        <w:lastRenderedPageBreak/>
        <w:t>e.g. in accordance with the Geneva Convention on Road Traffic of 1949 or the Vienna Convention on Road Traffic of 1968.</w:t>
      </w:r>
      <w:proofErr w:type="gramStart"/>
      <w:r>
        <w:t>”.</w:t>
      </w:r>
      <w:proofErr w:type="gramEnd"/>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tabs>
          <w:tab w:val="left" w:pos="1418"/>
          <w:tab w:val="left" w:pos="1843"/>
        </w:tabs>
        <w:spacing w:before="120" w:after="120"/>
        <w:ind w:left="1134" w:right="1134"/>
        <w:jc w:val="both"/>
        <w:rPr>
          <w:szCs w:val="24"/>
        </w:rPr>
      </w:pPr>
      <w:r>
        <w:rPr>
          <w:szCs w:val="24"/>
        </w:rPr>
        <w:t>6.5.5.1.7</w:t>
      </w:r>
      <w:r>
        <w:tab/>
      </w:r>
      <w:r>
        <w:tab/>
        <w:t xml:space="preserve">The </w:t>
      </w:r>
      <w:r>
        <w:rPr>
          <w:szCs w:val="24"/>
        </w:rPr>
        <w:t>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pPr>
      <w:r>
        <w:rPr>
          <w:lang w:eastAsia="fr-FR"/>
        </w:rPr>
        <w:t>(</w:t>
      </w:r>
      <w:proofErr w:type="gramStart"/>
      <w:r>
        <w:rPr>
          <w:lang w:eastAsia="fr-FR"/>
        </w:rPr>
        <w:t>ADR:</w:t>
      </w:r>
      <w:proofErr w:type="gramEnd"/>
      <w:r>
        <w:rPr>
          <w:lang w:eastAsia="fr-FR"/>
        </w:rPr>
        <w:t>) 6.5.5.4.17 and 6.5.5.5.3</w:t>
      </w:r>
      <w:r>
        <w:tab/>
        <w:t>The 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H1G"/>
        <w:rPr>
          <w:sz w:val="20"/>
        </w:rPr>
      </w:pPr>
      <w:r w:rsidRPr="00A37BED">
        <w:rPr>
          <w:sz w:val="20"/>
          <w:lang w:val="fr-CH"/>
        </w:rPr>
        <w:tab/>
      </w:r>
      <w:r w:rsidRPr="00A37BED">
        <w:rPr>
          <w:sz w:val="20"/>
          <w:lang w:val="fr-CH"/>
        </w:rPr>
        <w:tab/>
      </w:r>
      <w:r>
        <w:rPr>
          <w:sz w:val="20"/>
        </w:rPr>
        <w:t>Chapter 6.6</w:t>
      </w:r>
    </w:p>
    <w:p w:rsidR="009F409E" w:rsidRDefault="009F409E" w:rsidP="009F409E">
      <w:pPr>
        <w:pStyle w:val="SingleTxtG"/>
        <w:tabs>
          <w:tab w:val="left" w:pos="1854"/>
        </w:tabs>
      </w:pPr>
      <w:r>
        <w:t>6.6.3.1 (e)</w:t>
      </w:r>
      <w:r>
        <w:tab/>
        <w:t>Replace “indicated by the distinguishing sign for motor vehicles in international traffic” by “indicated by the distinguishing sign used on vehicles in international road traffic”. Amend footnote 2 to read as follows: “</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t>6.6.5.1.7</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INF.15)</w:t>
      </w:r>
    </w:p>
    <w:p w:rsidR="009F409E" w:rsidRDefault="009F409E" w:rsidP="009F409E">
      <w:pPr>
        <w:pStyle w:val="H1G"/>
        <w:rPr>
          <w:sz w:val="20"/>
        </w:rPr>
      </w:pPr>
      <w:r w:rsidRPr="00A37BED">
        <w:rPr>
          <w:sz w:val="20"/>
          <w:lang w:val="fr-CH"/>
        </w:rPr>
        <w:tab/>
      </w:r>
      <w:r w:rsidRPr="00A37BED">
        <w:rPr>
          <w:sz w:val="20"/>
          <w:lang w:val="fr-CH"/>
        </w:rPr>
        <w:tab/>
      </w:r>
      <w:r>
        <w:rPr>
          <w:sz w:val="20"/>
        </w:rPr>
        <w:t>Chapter 6.7</w:t>
      </w:r>
    </w:p>
    <w:p w:rsidR="009F409E" w:rsidRDefault="009F409E" w:rsidP="009F409E">
      <w:pPr>
        <w:pStyle w:val="SingleTxtG"/>
      </w:pPr>
      <w:r>
        <w:rPr>
          <w:lang w:eastAsia="fr-FR"/>
        </w:rPr>
        <w:t>6.7.2.2.1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6.7.2.2.7</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6.7.2.4.1 (</w:t>
      </w:r>
      <w:proofErr w:type="gramStart"/>
      <w:r>
        <w:rPr>
          <w:lang w:eastAsia="fr-FR"/>
        </w:rPr>
        <w:t>b</w:t>
      </w:r>
      <w:proofErr w:type="gramEnd"/>
      <w:r>
        <w:rPr>
          <w:lang w:eastAsia="fr-FR"/>
        </w:rPr>
        <w:t>)</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6.7.2.10.1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pPr>
      <w:r>
        <w:rPr>
          <w:lang w:eastAsia="fr-FR"/>
        </w:rPr>
        <w:t>6.7.2.15.1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tabs>
          <w:tab w:val="left" w:pos="1854"/>
        </w:tabs>
      </w:pPr>
      <w:r>
        <w:t>6.7.2.18.1</w:t>
      </w:r>
      <w:r>
        <w:tab/>
        <w:t>In the fourth sentence, replace “i.e. the distinguishing sign for use in international traffic as prescribed by the Convention on Road Traffic, Vienna 1968” by “indicated by the distinguishing sign used on vehicles in international road traffic</w:t>
      </w:r>
      <w:r>
        <w:rPr>
          <w:vertAlign w:val="superscript"/>
        </w:rPr>
        <w:t>2</w:t>
      </w:r>
      <w:r>
        <w:t>”. Footnote 2 reads as follows: “</w:t>
      </w:r>
      <w:r>
        <w:rPr>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r>
        <w:t xml:space="preserve"> In Chapter 6.7, renumber subsequent footnotes accordingly.</w:t>
      </w:r>
    </w:p>
    <w:p w:rsidR="009F409E" w:rsidRDefault="009F409E" w:rsidP="009F409E">
      <w:pPr>
        <w:pStyle w:val="SingleTxtG"/>
        <w:tabs>
          <w:tab w:val="left" w:pos="1854"/>
        </w:tabs>
      </w:pPr>
      <w:r>
        <w:t>(</w:t>
      </w:r>
      <w:proofErr w:type="gramStart"/>
      <w:r>
        <w:t>RID:</w:t>
      </w:r>
      <w:proofErr w:type="gramEnd"/>
      <w:r>
        <w:t>) Current footnotes 2 to 6 become footnotes 3 to 7.</w:t>
      </w:r>
    </w:p>
    <w:p w:rsidR="009F409E" w:rsidRDefault="009F409E" w:rsidP="009F409E">
      <w:pPr>
        <w:pStyle w:val="SingleTxtG"/>
        <w:tabs>
          <w:tab w:val="left" w:pos="1854"/>
        </w:tabs>
      </w:pPr>
      <w:r>
        <w:t>(</w:t>
      </w:r>
      <w:proofErr w:type="gramStart"/>
      <w:r>
        <w:t>ADR:</w:t>
      </w:r>
      <w:proofErr w:type="gramEnd"/>
      <w:r>
        <w:t>) Renumber subsequent footnotes accordingly.</w:t>
      </w:r>
    </w:p>
    <w:p w:rsidR="009F409E" w:rsidRPr="00A37BED" w:rsidRDefault="009F409E" w:rsidP="009F409E">
      <w:pPr>
        <w:pStyle w:val="SingleTxtG"/>
        <w:ind w:left="0"/>
        <w:rPr>
          <w:i/>
          <w:lang w:val="fr-CH"/>
        </w:rPr>
      </w:pPr>
      <w:r w:rsidRPr="00A37BED">
        <w:rPr>
          <w:i/>
          <w:lang w:val="fr-CH"/>
        </w:rPr>
        <w:lastRenderedPageBreak/>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rPr>
          <w:lang w:eastAsia="fr-FR"/>
        </w:rPr>
        <w:t>6.7.2.19.10</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 xml:space="preserve">6.7.2.20.1 </w:t>
      </w:r>
      <w:proofErr w:type="gramStart"/>
      <w:r>
        <w:rPr>
          <w:lang w:eastAsia="fr-FR"/>
        </w:rPr>
        <w:t>and</w:t>
      </w:r>
      <w:proofErr w:type="gramEnd"/>
      <w:r>
        <w:rPr>
          <w:lang w:eastAsia="fr-FR"/>
        </w:rPr>
        <w:t xml:space="preserve"> Figure 6.7.2.20.1</w:t>
      </w:r>
      <w:r>
        <w:tab/>
        <w:t>The 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6.7.3.1</w:t>
      </w:r>
      <w:r>
        <w:rPr>
          <w:lang w:eastAsia="fr-FR"/>
        </w:rPr>
        <w:tab/>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6.7.3.2.1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6.7.3.4.1 (</w:t>
      </w:r>
      <w:proofErr w:type="gramStart"/>
      <w:r>
        <w:rPr>
          <w:lang w:eastAsia="fr-FR"/>
        </w:rPr>
        <w:t>b</w:t>
      </w:r>
      <w:proofErr w:type="gramEnd"/>
      <w:r>
        <w:rPr>
          <w:lang w:eastAsia="fr-FR"/>
        </w:rPr>
        <w:t>)</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6.7.3.11.1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tabs>
          <w:tab w:val="left" w:pos="1854"/>
        </w:tabs>
      </w:pPr>
      <w:r>
        <w:t>6.7.3.14.1</w:t>
      </w:r>
      <w:r>
        <w:tab/>
        <w:t>In the fourth sentence, replace “i.e. the distinguishing sign for use in international traffic, as prescribed by the Convention on Road Traffic, Vienna 1968” by “indicated by the distinguishing sign used on vehicles in international road traffic</w:t>
      </w:r>
      <w:r>
        <w:rPr>
          <w:vertAlign w:val="superscript"/>
        </w:rPr>
        <w:t>8/2</w:t>
      </w:r>
      <w:r>
        <w:t>”. Footnote 8/2 reads as follows: “</w:t>
      </w:r>
      <w:r>
        <w:rPr>
          <w:vertAlign w:val="superscript"/>
        </w:rPr>
        <w:t>8/2</w:t>
      </w:r>
      <w:r>
        <w:tab/>
      </w:r>
      <w:proofErr w:type="gramStart"/>
      <w:r>
        <w:t>Distinguishing</w:t>
      </w:r>
      <w:proofErr w:type="gramEnd"/>
      <w:r>
        <w:t xml:space="preserve"> sign of the State of registration used on motor vehicles and trailers in international road traffic, e.g. in accordance with the Geneva Convention on Road Traffic of 1949 or the Vienna Convention on Road Traffic of 1968.”</w:t>
      </w:r>
    </w:p>
    <w:p w:rsidR="009F409E" w:rsidRDefault="009F409E" w:rsidP="009F409E">
      <w:pPr>
        <w:pStyle w:val="SingleTxtG"/>
        <w:tabs>
          <w:tab w:val="left" w:pos="1854"/>
        </w:tabs>
      </w:pPr>
      <w:r>
        <w:t>(</w:t>
      </w:r>
      <w:proofErr w:type="gramStart"/>
      <w:r>
        <w:t>RID:</w:t>
      </w:r>
      <w:proofErr w:type="gramEnd"/>
      <w:r>
        <w:t>) Current footnotes 7 to 11 become footnotes 9 to 13.</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rPr>
          <w:lang w:eastAsia="fr-FR"/>
        </w:rPr>
        <w:t>6.7.3.15.10</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 xml:space="preserve">6.7.3.16.1 </w:t>
      </w:r>
      <w:proofErr w:type="gramStart"/>
      <w:r>
        <w:rPr>
          <w:lang w:eastAsia="fr-FR"/>
        </w:rPr>
        <w:t>and</w:t>
      </w:r>
      <w:proofErr w:type="gramEnd"/>
      <w:r>
        <w:rPr>
          <w:lang w:eastAsia="fr-FR"/>
        </w:rPr>
        <w:t xml:space="preserve"> Figure 6.7.3.16.1</w:t>
      </w:r>
      <w:r>
        <w:tab/>
        <w:t>The 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6.7.4.1</w:t>
      </w:r>
      <w:r>
        <w:tab/>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6.7.4.2.1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6.7.4.4.1 (</w:t>
      </w:r>
      <w:proofErr w:type="gramStart"/>
      <w:r>
        <w:rPr>
          <w:lang w:eastAsia="fr-FR"/>
        </w:rPr>
        <w:t>b</w:t>
      </w:r>
      <w:proofErr w:type="gramEnd"/>
      <w:r>
        <w:rPr>
          <w:lang w:eastAsia="fr-FR"/>
        </w:rPr>
        <w:t>)</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6.7.4.10.1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tabs>
          <w:tab w:val="left" w:pos="1854"/>
        </w:tabs>
      </w:pPr>
      <w:r>
        <w:t>6.7.4.13.1</w:t>
      </w:r>
      <w:r>
        <w:tab/>
        <w:t>In the fourth sentence, replace “i.e. the distinguishing sign for use in international traffic as presented by the Convention on Road Traffic, Vienna 1968” by “indicated by the distinguishing sign for use in international road traffic</w:t>
      </w:r>
      <w:r>
        <w:rPr>
          <w:vertAlign w:val="superscript"/>
        </w:rPr>
        <w:t>14/2</w:t>
      </w:r>
      <w:r>
        <w:t>”. Footnote 14/2 reads as follows: “</w:t>
      </w:r>
      <w:r>
        <w:rPr>
          <w:vertAlign w:val="superscript"/>
        </w:rPr>
        <w:t>14</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Default="009F409E" w:rsidP="009F409E">
      <w:pPr>
        <w:pStyle w:val="SingleTxtG"/>
        <w:tabs>
          <w:tab w:val="left" w:pos="1854"/>
        </w:tabs>
      </w:pPr>
      <w:r>
        <w:lastRenderedPageBreak/>
        <w:t>(</w:t>
      </w:r>
      <w:proofErr w:type="gramStart"/>
      <w:r>
        <w:t>RID:</w:t>
      </w:r>
      <w:proofErr w:type="gramEnd"/>
      <w:r>
        <w:t>) Current footnotes 12 to 14 become footnotes 15 to 17.</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rPr>
          <w:lang w:eastAsia="fr-FR"/>
        </w:rPr>
        <w:t>6.7.4.14.11</w:t>
      </w:r>
      <w:r>
        <w:tab/>
      </w:r>
      <w:proofErr w:type="gramStart"/>
      <w:r>
        <w:t>The</w:t>
      </w:r>
      <w:proofErr w:type="gramEnd"/>
      <w:r>
        <w:t xml:space="preserv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 xml:space="preserve">6.7.4.15.1 </w:t>
      </w:r>
      <w:proofErr w:type="gramStart"/>
      <w:r>
        <w:rPr>
          <w:lang w:eastAsia="fr-FR"/>
        </w:rPr>
        <w:t>and</w:t>
      </w:r>
      <w:proofErr w:type="gramEnd"/>
      <w:r>
        <w:rPr>
          <w:lang w:eastAsia="fr-FR"/>
        </w:rPr>
        <w:t xml:space="preserve"> Figure 6.7.4.15.1</w:t>
      </w:r>
      <w:r>
        <w:tab/>
        <w:t>The amendments do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6.7.5.3.2</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INF.44)</w:t>
      </w:r>
    </w:p>
    <w:p w:rsidR="009F409E" w:rsidRDefault="009F409E" w:rsidP="009F409E">
      <w:pPr>
        <w:pStyle w:val="SingleTxtG"/>
      </w:pPr>
      <w:r>
        <w:rPr>
          <w:lang w:eastAsia="fr-FR"/>
        </w:rPr>
        <w:t>6.7.5.8.1</w:t>
      </w:r>
      <w:r>
        <w:tab/>
        <w:t>The amendment does not apply to the English text.</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INF.61)</w:t>
      </w:r>
    </w:p>
    <w:p w:rsidR="009F409E" w:rsidRDefault="009F409E" w:rsidP="009F409E">
      <w:pPr>
        <w:pStyle w:val="SingleTxtG"/>
        <w:tabs>
          <w:tab w:val="left" w:pos="1854"/>
        </w:tabs>
      </w:pPr>
      <w:r>
        <w:t>6.7.5.11.1</w:t>
      </w:r>
      <w:r>
        <w:tab/>
        <w:t>In the fourth sentence, replace “i.e. the distinguishing sign for use in international traffic, as prescribed by the Convention on Road Traffic, Vienna 1968” by “indicated by the distinguishing sign used on vehicles in international road traffic</w:t>
      </w:r>
      <w:r>
        <w:rPr>
          <w:vertAlign w:val="superscript"/>
        </w:rPr>
        <w:t>18/2</w:t>
      </w:r>
      <w:r>
        <w:t>”. Footnote 18/2 reads as follows: “</w:t>
      </w:r>
      <w:r>
        <w:rPr>
          <w:vertAlign w:val="superscript"/>
        </w:rPr>
        <w:t>18/2</w:t>
      </w:r>
      <w:r>
        <w:tab/>
        <w:t>Distinguishing sign of the State of registration used on motor vehicles and trailers in international road traffic, e.g. in accordance with the Geneva Convention on Road Traffic of 1949 or the Vienna Convention on Road Traffic of 1968.</w:t>
      </w:r>
      <w:proofErr w:type="gramStart"/>
      <w:r>
        <w:t>”.</w:t>
      </w:r>
      <w:proofErr w:type="gramEnd"/>
    </w:p>
    <w:p w:rsidR="009F409E" w:rsidRDefault="009F409E" w:rsidP="009F409E">
      <w:pPr>
        <w:pStyle w:val="SingleTxtG"/>
        <w:tabs>
          <w:tab w:val="left" w:pos="1854"/>
        </w:tabs>
      </w:pPr>
      <w:r>
        <w:t>(</w:t>
      </w:r>
      <w:proofErr w:type="gramStart"/>
      <w:r>
        <w:t>RID:</w:t>
      </w:r>
      <w:proofErr w:type="gramEnd"/>
      <w:r>
        <w:t>) Current footnotes 15 and 16 become footnotes 19 and 20.</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H1G"/>
        <w:rPr>
          <w:sz w:val="20"/>
        </w:rPr>
      </w:pPr>
      <w:r w:rsidRPr="00A37BED">
        <w:rPr>
          <w:sz w:val="20"/>
          <w:lang w:val="fr-CH"/>
        </w:rPr>
        <w:tab/>
      </w:r>
      <w:r w:rsidRPr="00A37BED">
        <w:rPr>
          <w:sz w:val="20"/>
          <w:lang w:val="fr-CH"/>
        </w:rPr>
        <w:tab/>
      </w:r>
      <w:r>
        <w:rPr>
          <w:sz w:val="20"/>
        </w:rPr>
        <w:t>Chapter 6.8</w:t>
      </w:r>
    </w:p>
    <w:p w:rsidR="009F409E" w:rsidRDefault="009F409E" w:rsidP="009F409E">
      <w:pPr>
        <w:pStyle w:val="SingleTxtG"/>
      </w:pPr>
      <w:r>
        <w:t>6.8.2.1.23</w:t>
      </w:r>
      <w:r>
        <w:tab/>
        <w:t>Amend to read as follows:</w:t>
      </w:r>
    </w:p>
    <w:p w:rsidR="009F409E" w:rsidRDefault="009F409E" w:rsidP="009F409E">
      <w:pPr>
        <w:pStyle w:val="SingleTxtG"/>
      </w:pPr>
      <w:r>
        <w:t>“6.8.2.1.23</w:t>
      </w:r>
      <w:r>
        <w:tab/>
        <w:t>The ability of the manufacturer to perform welding operations shall be verified and confirmed by either the competent authority or by the body designated by this authority, which issues the type approval. A weld quality assurance system shall be operated by the manufacturer. Welding shall be performed by qualified welders using a qualified welding process whose effectiveness (including any heat treatments required) has been demonstrated by tests. Non-destructive tests shall be carried out by radiography or by ultrasound and shall confirm that the quality of the welding is appropriate to the stresses.</w:t>
      </w:r>
    </w:p>
    <w:p w:rsidR="009F409E" w:rsidRDefault="009F409E" w:rsidP="009F409E">
      <w:pPr>
        <w:pStyle w:val="SingleTxtG"/>
      </w:pPr>
      <w:r>
        <w:t xml:space="preserve">The following checks shall be carried out for welds made by each welding process used by the manufacturer in accordance with the value of the coefficient </w:t>
      </w:r>
      <w:r>
        <w:rPr>
          <w:rFonts w:cs="Arial"/>
        </w:rPr>
        <w:t>λ</w:t>
      </w:r>
      <w:r>
        <w:t xml:space="preserve"> used in determining the thickness of the shell in 6.8.2.1.17:</w:t>
      </w:r>
    </w:p>
    <w:p w:rsidR="009F409E" w:rsidRDefault="009F409E" w:rsidP="009F409E">
      <w:pPr>
        <w:pStyle w:val="SingleTxtG"/>
      </w:pPr>
      <w:r>
        <w:rPr>
          <w:rFonts w:cs="Arial"/>
        </w:rPr>
        <w:t>λ = 0.8:</w:t>
      </w:r>
      <w:r>
        <w:rPr>
          <w:rFonts w:cs="Arial"/>
        </w:rPr>
        <w:tab/>
      </w:r>
      <w:r>
        <w:t>All weld beads shall so far as possible be inspected visually on both faces and shall be subjected to non-destructive checks. The non-destructive checks shall include all weld “Tee” junctions and all inserts used to avoid welds crossing. The total length of welds to be examined shall not be less than:</w:t>
      </w:r>
    </w:p>
    <w:p w:rsidR="009F409E" w:rsidRDefault="009F409E" w:rsidP="009F409E">
      <w:pPr>
        <w:pStyle w:val="SingleTxtG"/>
      </w:pPr>
      <w:r>
        <w:t>10% of the length of all the longitudinal welds,</w:t>
      </w:r>
    </w:p>
    <w:p w:rsidR="009F409E" w:rsidRDefault="009F409E" w:rsidP="009F409E">
      <w:pPr>
        <w:pStyle w:val="SingleTxtG"/>
      </w:pPr>
      <w:r>
        <w:t xml:space="preserve">10% of the length of all the circumferential welds, </w:t>
      </w:r>
    </w:p>
    <w:p w:rsidR="009F409E" w:rsidRDefault="009F409E" w:rsidP="009F409E">
      <w:pPr>
        <w:pStyle w:val="SingleTxtG"/>
      </w:pPr>
      <w:r>
        <w:t xml:space="preserve">10% of the length of all the circumferential welds in the tank ends, and </w:t>
      </w:r>
    </w:p>
    <w:p w:rsidR="009F409E" w:rsidRDefault="009F409E" w:rsidP="009F409E">
      <w:pPr>
        <w:pStyle w:val="SingleTxtG"/>
      </w:pPr>
      <w:proofErr w:type="gramStart"/>
      <w:r>
        <w:t>10% of the length of all the radial welds in the tank ends.</w:t>
      </w:r>
      <w:proofErr w:type="gramEnd"/>
    </w:p>
    <w:p w:rsidR="009F409E" w:rsidRDefault="009F409E" w:rsidP="009F409E">
      <w:pPr>
        <w:pStyle w:val="SingleTxtG"/>
        <w:rPr>
          <w:rFonts w:cs="Arial"/>
        </w:rPr>
      </w:pPr>
      <w:r>
        <w:rPr>
          <w:rFonts w:cs="Arial"/>
        </w:rPr>
        <w:t>λ = 0.9:</w:t>
      </w:r>
      <w:r>
        <w:rPr>
          <w:rFonts w:cs="Arial"/>
        </w:rPr>
        <w:tab/>
        <w:t xml:space="preserve">All weld beads shall so far as possible be inspected visually on both faces and shall be subjected to non-destructive checks. The non-destructive checks shall include all </w:t>
      </w:r>
      <w:r>
        <w:rPr>
          <w:rFonts w:cs="Arial"/>
        </w:rPr>
        <w:lastRenderedPageBreak/>
        <w:t>connections, inserts used to avoid welds crossing, and welds for the assembly of large-diameter items of equipment. The total length of welds to be examined shall not be less than:</w:t>
      </w:r>
    </w:p>
    <w:p w:rsidR="009F409E" w:rsidRDefault="009F409E" w:rsidP="009F409E">
      <w:pPr>
        <w:pStyle w:val="SingleTxtG"/>
        <w:rPr>
          <w:rFonts w:cs="Arial"/>
        </w:rPr>
      </w:pPr>
      <w:r>
        <w:rPr>
          <w:rFonts w:cs="Arial"/>
        </w:rPr>
        <w:t>100% of the length of all the longitudinal welds,</w:t>
      </w:r>
    </w:p>
    <w:p w:rsidR="009F409E" w:rsidRDefault="009F409E" w:rsidP="009F409E">
      <w:pPr>
        <w:pStyle w:val="SingleTxtG"/>
        <w:rPr>
          <w:rFonts w:cs="Arial"/>
        </w:rPr>
      </w:pPr>
      <w:r>
        <w:rPr>
          <w:rFonts w:cs="Arial"/>
        </w:rPr>
        <w:t>25% of the length of all the circumferential welds,</w:t>
      </w:r>
    </w:p>
    <w:p w:rsidR="009F409E" w:rsidRDefault="009F409E" w:rsidP="009F409E">
      <w:pPr>
        <w:pStyle w:val="SingleTxtG"/>
        <w:rPr>
          <w:rFonts w:cs="Arial"/>
        </w:rPr>
      </w:pPr>
      <w:r>
        <w:rPr>
          <w:rFonts w:cs="Arial"/>
        </w:rPr>
        <w:t xml:space="preserve">25% of the length of all the circumferential welds in the tank ends, and </w:t>
      </w:r>
    </w:p>
    <w:p w:rsidR="009F409E" w:rsidRDefault="009F409E" w:rsidP="009F409E">
      <w:pPr>
        <w:pStyle w:val="SingleTxtG"/>
        <w:rPr>
          <w:rFonts w:cs="Arial"/>
        </w:rPr>
      </w:pPr>
      <w:proofErr w:type="gramStart"/>
      <w:r>
        <w:rPr>
          <w:rFonts w:cs="Arial"/>
        </w:rPr>
        <w:t>25% of the length of all the radial welds in the tank ends.</w:t>
      </w:r>
      <w:proofErr w:type="gramEnd"/>
    </w:p>
    <w:p w:rsidR="009F409E" w:rsidRDefault="009F409E" w:rsidP="009F409E">
      <w:pPr>
        <w:pStyle w:val="SingleTxtG"/>
        <w:rPr>
          <w:rFonts w:cs="Arial"/>
        </w:rPr>
      </w:pPr>
      <w:r>
        <w:rPr>
          <w:rFonts w:cs="Arial"/>
        </w:rPr>
        <w:t>λ = 1:</w:t>
      </w:r>
      <w:r>
        <w:rPr>
          <w:rFonts w:cs="Arial"/>
        </w:rPr>
        <w:tab/>
      </w:r>
      <w:r>
        <w:t>All weld beads throughout their length shall be subjected to non-destructive checks and shall so far as possible be inspected visually on both faces. A weld test-piece shall be taken.</w:t>
      </w:r>
    </w:p>
    <w:p w:rsidR="009F409E" w:rsidRDefault="009F409E" w:rsidP="009F409E">
      <w:pPr>
        <w:pStyle w:val="SingleTxtG"/>
        <w:rPr>
          <w:rFonts w:cs="Arial"/>
        </w:rPr>
      </w:pPr>
      <w:r>
        <w:rPr>
          <w:rFonts w:cs="Arial"/>
        </w:rPr>
        <w:t>In the cases of either λ = 0.8 or λ = 0.9, when the presence of an unacceptable defect is detected in a portion of a weld, the non-destructive checks shall be extended to a portion of equal length on both sides of the portion that contains the defect. If the non-destructive checks detect an additional defect that is unacceptable, non-destructive checks shall be extended to all remaining welds of the same type of welding process.</w:t>
      </w:r>
    </w:p>
    <w:p w:rsidR="009F409E" w:rsidRDefault="009F409E" w:rsidP="009F409E">
      <w:pPr>
        <w:pStyle w:val="SingleTxtG"/>
        <w:rPr>
          <w:rFonts w:cs="Arial"/>
        </w:rPr>
      </w:pPr>
      <w:r>
        <w:rPr>
          <w:rFonts w:cs="Arial"/>
        </w:rPr>
        <w:t>Where either the competent authority or a body designated by this authority has doubts regarding the quality of welds, including the welds made to repair any defects revealed by the non-destructive checks, it may require additional checks.”</w:t>
      </w:r>
    </w:p>
    <w:p w:rsidR="009F409E" w:rsidRDefault="009F409E" w:rsidP="009F409E">
      <w:pPr>
        <w:pStyle w:val="SingleTxtG"/>
        <w:ind w:left="0"/>
        <w:rPr>
          <w:i/>
        </w:rPr>
      </w:pPr>
      <w:r>
        <w:rPr>
          <w:i/>
        </w:rPr>
        <w:t>(Reference documents: ECE/TRANS/WP.15/AC.1/2016/13, informal documents INF.17, INF.49 and INF.61)</w:t>
      </w:r>
    </w:p>
    <w:p w:rsidR="009F409E" w:rsidRDefault="009F409E" w:rsidP="009F409E">
      <w:pPr>
        <w:tabs>
          <w:tab w:val="left" w:pos="1418"/>
        </w:tabs>
        <w:spacing w:before="120" w:after="120"/>
        <w:ind w:left="1134" w:right="1134"/>
        <w:jc w:val="both"/>
      </w:pPr>
      <w:r>
        <w:t>(</w:t>
      </w:r>
      <w:proofErr w:type="gramStart"/>
      <w:r>
        <w:t>RID:</w:t>
      </w:r>
      <w:proofErr w:type="gramEnd"/>
      <w:r>
        <w:t>)</w:t>
      </w:r>
    </w:p>
    <w:p w:rsidR="009F409E" w:rsidRDefault="009F409E" w:rsidP="009F409E">
      <w:pPr>
        <w:tabs>
          <w:tab w:val="left" w:pos="1418"/>
        </w:tabs>
        <w:spacing w:before="120" w:after="120"/>
        <w:ind w:left="1134" w:right="1134"/>
        <w:jc w:val="both"/>
      </w:pPr>
      <w:r>
        <w:t>6.8.2.1.29</w:t>
      </w:r>
      <w:r>
        <w:tab/>
      </w:r>
      <w:proofErr w:type="gramStart"/>
      <w:r>
        <w:t>In</w:t>
      </w:r>
      <w:proofErr w:type="gramEnd"/>
      <w:r>
        <w:t xml:space="preserve"> footnote 6, replace “</w:t>
      </w:r>
      <w:r>
        <w:rPr>
          <w:bCs/>
          <w:iCs/>
        </w:rPr>
        <w:t xml:space="preserve">standard EN 15273-2:2009” by </w:t>
      </w:r>
      <w:r>
        <w:t>“</w:t>
      </w:r>
      <w:r>
        <w:rPr>
          <w:bCs/>
          <w:iCs/>
        </w:rPr>
        <w:t>standard EN 15273-2:2013”.</w:t>
      </w:r>
    </w:p>
    <w:p w:rsidR="009F409E" w:rsidRDefault="009F409E" w:rsidP="009F409E">
      <w:pPr>
        <w:pStyle w:val="SingleTxtG"/>
        <w:tabs>
          <w:tab w:val="left" w:pos="1854"/>
        </w:tabs>
      </w:pPr>
      <w:r>
        <w:t>6.8.2.3.1</w:t>
      </w:r>
      <w:r>
        <w:tab/>
      </w:r>
      <w:r>
        <w:tab/>
        <w:t>In the second indent on the right hand column, replace “distinguishing sign” by “distinguishing sign used on vehicles in international road traffic”. Amend footnote 9/8 to read as follows: “9/8</w:t>
      </w:r>
      <w:r>
        <w:tab/>
      </w:r>
      <w:proofErr w:type="gramStart"/>
      <w:r>
        <w:t>Distinguishing</w:t>
      </w:r>
      <w:proofErr w:type="gramEnd"/>
      <w:r>
        <w:t xml:space="preserve"> sign of the State of registration used on motor vehicles and trailers in international road traffic, e.g. in accordance with the Geneva Convention on Road Traffic of 1949 or the Vienna Convention on Road Traffic of 1968.”</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INF.41)</w:t>
      </w:r>
    </w:p>
    <w:p w:rsidR="009F409E" w:rsidRDefault="009F409E" w:rsidP="009F409E">
      <w:pPr>
        <w:pStyle w:val="SingleTxtG"/>
      </w:pPr>
      <w:r>
        <w:t>(</w:t>
      </w:r>
      <w:proofErr w:type="gramStart"/>
      <w:r>
        <w:t>ADR:</w:t>
      </w:r>
      <w:proofErr w:type="gramEnd"/>
      <w:r>
        <w:t>)</w:t>
      </w:r>
    </w:p>
    <w:p w:rsidR="009F409E" w:rsidRDefault="009F409E" w:rsidP="009F409E">
      <w:pPr>
        <w:pStyle w:val="SingleTxtG"/>
      </w:pPr>
      <w:r>
        <w:t>6.8.2.4.1</w:t>
      </w:r>
      <w:r>
        <w:tab/>
        <w:t>Amend the fourth paragraph from below in the left-hand column to read:</w:t>
      </w:r>
    </w:p>
    <w:tbl>
      <w:tblPr>
        <w:tblW w:w="0" w:type="auto"/>
        <w:tblInd w:w="1134" w:type="dxa"/>
        <w:tblLook w:val="04A0" w:firstRow="1" w:lastRow="0" w:firstColumn="1" w:lastColumn="0" w:noHBand="0" w:noVBand="1"/>
      </w:tblPr>
      <w:tblGrid>
        <w:gridCol w:w="4220"/>
        <w:gridCol w:w="4001"/>
      </w:tblGrid>
      <w:tr w:rsidR="009F409E" w:rsidTr="009F409E">
        <w:tc>
          <w:tcPr>
            <w:tcW w:w="4220" w:type="dxa"/>
            <w:tcBorders>
              <w:top w:val="nil"/>
              <w:left w:val="nil"/>
              <w:bottom w:val="nil"/>
              <w:right w:val="single" w:sz="4" w:space="0" w:color="auto"/>
            </w:tcBorders>
            <w:hideMark/>
          </w:tcPr>
          <w:p w:rsidR="009F409E" w:rsidRDefault="009F409E">
            <w:pPr>
              <w:tabs>
                <w:tab w:val="left" w:pos="1418"/>
                <w:tab w:val="left" w:pos="1843"/>
              </w:tabs>
            </w:pPr>
            <w:r>
              <w:t>“The test shall be carried out on each compartment at a pressure at least equal to:</w:t>
            </w:r>
          </w:p>
          <w:p w:rsidR="009F409E" w:rsidRDefault="009F409E">
            <w:pPr>
              <w:tabs>
                <w:tab w:val="left" w:pos="347"/>
                <w:tab w:val="left" w:pos="1418"/>
                <w:tab w:val="left" w:pos="1843"/>
              </w:tabs>
              <w:ind w:left="347" w:hanging="347"/>
            </w:pPr>
            <w:r>
              <w:t>–</w:t>
            </w:r>
            <w:r>
              <w:tab/>
              <w:t>1.3 times the maximum working pressure; or</w:t>
            </w:r>
          </w:p>
          <w:p w:rsidR="009F409E" w:rsidRDefault="009F409E">
            <w:pPr>
              <w:tabs>
                <w:tab w:val="left" w:pos="347"/>
                <w:tab w:val="left" w:pos="1418"/>
                <w:tab w:val="left" w:pos="1843"/>
              </w:tabs>
              <w:ind w:left="347" w:hanging="347"/>
            </w:pPr>
            <w:r>
              <w:t>–</w:t>
            </w:r>
            <w:r>
              <w:tab/>
              <w:t>1.3 times the static pressure of the substance to be carried but not less than 1.3 times the static pressure of water with a minimum of 20 </w:t>
            </w:r>
            <w:proofErr w:type="spellStart"/>
            <w:r>
              <w:t>kPa</w:t>
            </w:r>
            <w:proofErr w:type="spellEnd"/>
            <w:r>
              <w:t xml:space="preserve"> (0.2 bar) for gravity-discharge tanks according to 6.8.2.1.14 (a).”.</w:t>
            </w:r>
          </w:p>
        </w:tc>
        <w:tc>
          <w:tcPr>
            <w:tcW w:w="4001" w:type="dxa"/>
            <w:tcBorders>
              <w:top w:val="nil"/>
              <w:left w:val="single" w:sz="4" w:space="0" w:color="auto"/>
              <w:bottom w:val="nil"/>
              <w:right w:val="nil"/>
            </w:tcBorders>
          </w:tcPr>
          <w:p w:rsidR="009F409E" w:rsidRDefault="009F409E">
            <w:pPr>
              <w:tabs>
                <w:tab w:val="left" w:pos="1418"/>
                <w:tab w:val="left" w:pos="1843"/>
              </w:tabs>
            </w:pPr>
          </w:p>
        </w:tc>
      </w:tr>
    </w:tbl>
    <w:p w:rsidR="009F409E" w:rsidRDefault="009F409E" w:rsidP="009F409E">
      <w:pPr>
        <w:pStyle w:val="SingleTxtG"/>
        <w:ind w:left="0"/>
        <w:rPr>
          <w:i/>
        </w:rPr>
      </w:pPr>
      <w:r>
        <w:rPr>
          <w:i/>
        </w:rPr>
        <w:t>(Reference documents: ECE/TRANS/WP.15/AC.1/2016/17 and informal documents INF.49 and INF.61)</w:t>
      </w:r>
    </w:p>
    <w:p w:rsidR="009F409E" w:rsidRDefault="009F409E" w:rsidP="009F409E">
      <w:pPr>
        <w:tabs>
          <w:tab w:val="left" w:pos="1418"/>
        </w:tabs>
        <w:spacing w:before="120" w:after="120"/>
        <w:ind w:left="1134" w:right="1134"/>
        <w:jc w:val="both"/>
      </w:pPr>
      <w:r>
        <w:t>6.8.2.4.3</w:t>
      </w:r>
      <w:r>
        <w:tab/>
        <w:t>Amend the penultimate paragraph of 6.8.2.4.3 to read as follows:</w:t>
      </w:r>
    </w:p>
    <w:p w:rsidR="009F409E" w:rsidRDefault="009F409E" w:rsidP="009F409E">
      <w:pPr>
        <w:tabs>
          <w:tab w:val="left" w:pos="1418"/>
        </w:tabs>
        <w:spacing w:before="120" w:after="120"/>
        <w:ind w:left="1134" w:right="1134"/>
        <w:jc w:val="both"/>
      </w:pPr>
      <w:r>
        <w:t xml:space="preserve">“For tanks equipped with breather devices and a safety device to prevent the contents spilling out if the tank overturns, the </w:t>
      </w:r>
      <w:proofErr w:type="spellStart"/>
      <w:r>
        <w:t>leakproofness</w:t>
      </w:r>
      <w:proofErr w:type="spellEnd"/>
      <w:r>
        <w:t xml:space="preserve"> test shall be carried out at a pressure at least equal to the static pressure of the densest substance to be carried, the static pressure of water or 20 </w:t>
      </w:r>
      <w:proofErr w:type="spellStart"/>
      <w:r>
        <w:t>kPa</w:t>
      </w:r>
      <w:proofErr w:type="spellEnd"/>
      <w:r>
        <w:t xml:space="preserve"> (0.2 bar) whichever is the highest.”</w:t>
      </w:r>
    </w:p>
    <w:p w:rsidR="009F409E" w:rsidRDefault="009F409E" w:rsidP="009F409E">
      <w:pPr>
        <w:pStyle w:val="SingleTxtG"/>
        <w:ind w:left="0"/>
        <w:rPr>
          <w:i/>
        </w:rPr>
      </w:pPr>
      <w:r>
        <w:rPr>
          <w:i/>
        </w:rPr>
        <w:lastRenderedPageBreak/>
        <w:t>(Reference documents: ECE/TRANS/WP.15/AC.1/2016/17 and informal documents INF.49 and INF.61)</w:t>
      </w:r>
    </w:p>
    <w:p w:rsidR="009F409E" w:rsidRDefault="009F409E" w:rsidP="009F409E">
      <w:pPr>
        <w:tabs>
          <w:tab w:val="left" w:pos="1418"/>
        </w:tabs>
        <w:spacing w:before="120" w:after="120"/>
        <w:ind w:left="1134" w:right="1134"/>
        <w:jc w:val="both"/>
      </w:pPr>
      <w:r>
        <w:t>(</w:t>
      </w:r>
      <w:proofErr w:type="gramStart"/>
      <w:r>
        <w:t>ADR:</w:t>
      </w:r>
      <w:proofErr w:type="gramEnd"/>
      <w:r>
        <w:t xml:space="preserve">) </w:t>
      </w:r>
    </w:p>
    <w:p w:rsidR="009F409E" w:rsidRDefault="009F409E" w:rsidP="009F409E">
      <w:pPr>
        <w:tabs>
          <w:tab w:val="left" w:pos="1418"/>
        </w:tabs>
        <w:spacing w:before="120" w:after="120"/>
        <w:ind w:left="1134" w:right="1134"/>
        <w:jc w:val="both"/>
      </w:pPr>
      <w:r>
        <w:t>6.8.2.6.1</w:t>
      </w:r>
      <w:r>
        <w:tab/>
        <w:t>Amend the Table as follows:</w:t>
      </w:r>
    </w:p>
    <w:p w:rsidR="009F409E" w:rsidRDefault="009F409E" w:rsidP="009F409E">
      <w:pPr>
        <w:widowControl w:val="0"/>
        <w:tabs>
          <w:tab w:val="left" w:pos="1418"/>
        </w:tabs>
        <w:spacing w:before="120" w:after="120"/>
        <w:ind w:left="1134" w:right="1134"/>
        <w:jc w:val="both"/>
      </w:pPr>
      <w:r>
        <w:t>–</w:t>
      </w:r>
      <w:r>
        <w:tab/>
      </w:r>
      <w:r>
        <w:tab/>
        <w:t xml:space="preserve">For standard “EN 14025:2013”, </w:t>
      </w:r>
      <w:r>
        <w:rPr>
          <w:rFonts w:cs="Arial"/>
          <w:szCs w:val="22"/>
        </w:rPr>
        <w:t>in column (4), replace “Until further notice” by “Between 1 January 2015 and 31 December 2018”.</w:t>
      </w:r>
    </w:p>
    <w:p w:rsidR="009F409E" w:rsidRDefault="009F409E" w:rsidP="009F409E">
      <w:pPr>
        <w:widowControl w:val="0"/>
        <w:tabs>
          <w:tab w:val="left" w:pos="1418"/>
        </w:tabs>
        <w:spacing w:before="120" w:after="120"/>
        <w:ind w:left="1134" w:right="1134"/>
        <w:jc w:val="both"/>
        <w:rPr>
          <w:rFonts w:cs="Arial"/>
          <w:szCs w:val="22"/>
        </w:rPr>
      </w:pPr>
      <w:r>
        <w:rPr>
          <w:rFonts w:cs="Arial"/>
          <w:szCs w:val="22"/>
        </w:rPr>
        <w:t>–</w:t>
      </w:r>
      <w:r>
        <w:rPr>
          <w:rFonts w:cs="Arial"/>
          <w:szCs w:val="22"/>
        </w:rPr>
        <w:tab/>
      </w:r>
      <w:r>
        <w:rPr>
          <w:rFonts w:cs="Arial"/>
          <w:szCs w:val="22"/>
        </w:rPr>
        <w:tab/>
        <w:t xml:space="preserve">After standard </w:t>
      </w:r>
      <w:r>
        <w:t>“EN 14025:2013”, insert the following new standard:</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956"/>
        <w:gridCol w:w="664"/>
      </w:tblGrid>
      <w:tr w:rsidR="009F409E" w:rsidTr="009F409E">
        <w:tc>
          <w:tcPr>
            <w:tcW w:w="1679" w:type="dxa"/>
            <w:tcBorders>
              <w:top w:val="single" w:sz="4" w:space="0" w:color="auto"/>
              <w:left w:val="single" w:sz="4" w:space="0" w:color="auto"/>
              <w:bottom w:val="single" w:sz="4" w:space="0" w:color="auto"/>
              <w:right w:val="single" w:sz="4" w:space="0" w:color="auto"/>
            </w:tcBorders>
            <w:vAlign w:val="center"/>
            <w:hideMark/>
          </w:tcPr>
          <w:p w:rsidR="009F409E" w:rsidRPr="00A37BED" w:rsidRDefault="009F409E">
            <w:pPr>
              <w:widowControl w:val="0"/>
              <w:rPr>
                <w:rFonts w:cs="Arial"/>
                <w:sz w:val="18"/>
                <w:szCs w:val="18"/>
                <w:lang w:val="fr-CH"/>
              </w:rPr>
            </w:pPr>
            <w:r w:rsidRPr="00A37BED">
              <w:rPr>
                <w:sz w:val="18"/>
                <w:szCs w:val="18"/>
                <w:lang w:val="fr-CH"/>
              </w:rPr>
              <w:t>EN 14025:2013</w:t>
            </w:r>
            <w:r w:rsidRPr="00A37BED">
              <w:rPr>
                <w:rFonts w:cs="Arial"/>
                <w:sz w:val="18"/>
                <w:szCs w:val="18"/>
                <w:lang w:val="fr-CH"/>
              </w:rPr>
              <w:t>+</w:t>
            </w:r>
          </w:p>
          <w:p w:rsidR="009F409E" w:rsidRPr="00A37BED" w:rsidRDefault="009F409E">
            <w:pPr>
              <w:widowControl w:val="0"/>
              <w:rPr>
                <w:rFonts w:cs="Arial"/>
                <w:sz w:val="18"/>
                <w:szCs w:val="18"/>
                <w:lang w:val="fr-CH"/>
              </w:rPr>
            </w:pPr>
            <w:r w:rsidRPr="00A37BED">
              <w:rPr>
                <w:rFonts w:cs="Arial"/>
                <w:sz w:val="18"/>
                <w:szCs w:val="18"/>
                <w:lang w:val="fr-CH"/>
              </w:rPr>
              <w:t>A1</w:t>
            </w:r>
            <w:proofErr w:type="gramStart"/>
            <w:r w:rsidRPr="00A37BED">
              <w:rPr>
                <w:rFonts w:cs="Arial"/>
                <w:sz w:val="18"/>
                <w:szCs w:val="18"/>
                <w:lang w:val="fr-CH"/>
              </w:rPr>
              <w:t>:[</w:t>
            </w:r>
            <w:proofErr w:type="gramEnd"/>
            <w:r w:rsidRPr="00A37BED">
              <w:rPr>
                <w:rFonts w:cs="Arial"/>
                <w:sz w:val="18"/>
                <w:szCs w:val="18"/>
                <w:lang w:val="fr-CH"/>
              </w:rPr>
              <w:t>2016] (</w:t>
            </w:r>
            <w:proofErr w:type="spellStart"/>
            <w:r w:rsidRPr="00A37BED">
              <w:rPr>
                <w:rFonts w:cs="Arial"/>
                <w:sz w:val="18"/>
                <w:szCs w:val="18"/>
                <w:lang w:val="fr-CH"/>
              </w:rPr>
              <w:t>except</w:t>
            </w:r>
            <w:proofErr w:type="spellEnd"/>
            <w:r w:rsidRPr="00A37BED">
              <w:rPr>
                <w:rFonts w:cs="Arial"/>
                <w:sz w:val="18"/>
                <w:szCs w:val="18"/>
                <w:lang w:val="fr-CH"/>
              </w:rPr>
              <w:t xml:space="preserve"> </w:t>
            </w:r>
            <w:proofErr w:type="spellStart"/>
            <w:r w:rsidRPr="00A37BED">
              <w:rPr>
                <w:rFonts w:cs="Arial"/>
                <w:sz w:val="18"/>
                <w:szCs w:val="18"/>
                <w:lang w:val="fr-CH"/>
              </w:rPr>
              <w:t>Annex</w:t>
            </w:r>
            <w:proofErr w:type="spellEnd"/>
            <w:r w:rsidRPr="00A37BED">
              <w:rPr>
                <w:rFonts w:cs="Arial"/>
                <w:sz w:val="18"/>
                <w:szCs w:val="18"/>
                <w:lang w:val="fr-CH"/>
              </w:rPr>
              <w:t xml:space="preserve">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bCs/>
                <w:sz w:val="18"/>
                <w:szCs w:val="18"/>
              </w:rPr>
              <w:t>Tanks for the transport of dangerous goods – Metallic pressure tanks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sz w:val="18"/>
                <w:szCs w:val="18"/>
              </w:rPr>
              <w:t>6.8.2.1 and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9F409E" w:rsidRDefault="009F409E">
            <w:pPr>
              <w:widowControl w:val="0"/>
              <w:rPr>
                <w:rFonts w:cs="Arial"/>
                <w:sz w:val="18"/>
                <w:szCs w:val="18"/>
              </w:rPr>
            </w:pPr>
          </w:p>
        </w:tc>
      </w:tr>
    </w:tbl>
    <w:p w:rsidR="009F409E" w:rsidRDefault="009F409E" w:rsidP="009F409E">
      <w:pPr>
        <w:spacing w:before="120" w:after="120"/>
        <w:ind w:left="1134"/>
      </w:pPr>
      <w:r>
        <w:t>–</w:t>
      </w:r>
      <w:r>
        <w:tab/>
        <w:t>For standard “EN 14595:2005”, in column (4), replace “Until further notice” by “Between 1 January 2007 and 31 December 2018”.</w:t>
      </w:r>
    </w:p>
    <w:p w:rsidR="009F409E" w:rsidRDefault="009F409E" w:rsidP="009F409E">
      <w:pPr>
        <w:spacing w:before="120" w:after="120"/>
        <w:ind w:left="1134"/>
      </w:pPr>
      <w:r>
        <w:t>–</w:t>
      </w:r>
      <w:r>
        <w:tab/>
        <w:t>After standard “EN 14595:2005”,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3969"/>
        <w:gridCol w:w="1012"/>
        <w:gridCol w:w="956"/>
        <w:gridCol w:w="664"/>
      </w:tblGrid>
      <w:tr w:rsidR="009F409E" w:rsidTr="009F409E">
        <w:tc>
          <w:tcPr>
            <w:tcW w:w="1679"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sz w:val="18"/>
                <w:szCs w:val="18"/>
              </w:rPr>
              <w:t>EN 14595</w:t>
            </w:r>
            <w:r>
              <w:rPr>
                <w:rFonts w:cs="Arial"/>
                <w:sz w:val="18"/>
                <w:szCs w:val="18"/>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bCs/>
                <w:sz w:val="18"/>
                <w:szCs w:val="18"/>
              </w:rPr>
              <w:t>Tanks for transport of dangerous goods – Service equipment – Breather device</w:t>
            </w:r>
          </w:p>
        </w:tc>
        <w:tc>
          <w:tcPr>
            <w:tcW w:w="1012"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rPr>
                <w:rFonts w:cs="Arial"/>
                <w:sz w:val="18"/>
                <w:szCs w:val="18"/>
              </w:rPr>
            </w:pPr>
            <w:r>
              <w:rPr>
                <w:rFonts w:cs="Arial"/>
                <w:sz w:val="18"/>
                <w:szCs w:val="18"/>
              </w:rPr>
              <w:t>6.8.2.2 and 6.8.2.4.1</w:t>
            </w:r>
          </w:p>
        </w:tc>
        <w:tc>
          <w:tcPr>
            <w:tcW w:w="956" w:type="dxa"/>
            <w:tcBorders>
              <w:top w:val="single" w:sz="4" w:space="0" w:color="auto"/>
              <w:left w:val="single" w:sz="4" w:space="0" w:color="auto"/>
              <w:bottom w:val="single" w:sz="4" w:space="0" w:color="auto"/>
              <w:right w:val="single" w:sz="4" w:space="0" w:color="auto"/>
            </w:tcBorders>
            <w:vAlign w:val="center"/>
            <w:hideMark/>
          </w:tcPr>
          <w:p w:rsidR="009F409E" w:rsidRDefault="009F409E">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9F409E" w:rsidRDefault="009F409E">
            <w:pPr>
              <w:widowControl w:val="0"/>
              <w:rPr>
                <w:rFonts w:cs="Arial"/>
                <w:sz w:val="18"/>
                <w:szCs w:val="18"/>
              </w:rPr>
            </w:pPr>
          </w:p>
        </w:tc>
      </w:tr>
    </w:tbl>
    <w:p w:rsidR="009F409E" w:rsidRDefault="009F409E" w:rsidP="009F409E">
      <w:pPr>
        <w:tabs>
          <w:tab w:val="left" w:pos="1418"/>
          <w:tab w:val="left" w:pos="1843"/>
        </w:tabs>
        <w:spacing w:before="120" w:after="120"/>
        <w:ind w:left="1134" w:right="1134"/>
        <w:jc w:val="both"/>
      </w:pPr>
      <w:r>
        <w:t>6.8.3.1.5</w:t>
      </w:r>
      <w:r>
        <w:tab/>
        <w:t>Amend the first sentence to read:</w:t>
      </w:r>
    </w:p>
    <w:p w:rsidR="009F409E" w:rsidRDefault="009F409E" w:rsidP="009F409E">
      <w:pPr>
        <w:tabs>
          <w:tab w:val="left" w:pos="1418"/>
          <w:tab w:val="left" w:pos="1843"/>
        </w:tabs>
        <w:spacing w:before="120" w:after="120"/>
        <w:ind w:left="1134" w:right="1134"/>
        <w:jc w:val="both"/>
      </w:pPr>
      <w:r>
        <w:t>“Elements and their fastenings</w:t>
      </w:r>
    </w:p>
    <w:tbl>
      <w:tblPr>
        <w:tblW w:w="0" w:type="auto"/>
        <w:tblInd w:w="1134" w:type="dxa"/>
        <w:tblLook w:val="04A0" w:firstRow="1" w:lastRow="0" w:firstColumn="1" w:lastColumn="0" w:noHBand="0" w:noVBand="1"/>
      </w:tblPr>
      <w:tblGrid>
        <w:gridCol w:w="4220"/>
        <w:gridCol w:w="4001"/>
      </w:tblGrid>
      <w:tr w:rsidR="009F409E" w:rsidTr="009F409E">
        <w:tc>
          <w:tcPr>
            <w:tcW w:w="4220" w:type="dxa"/>
            <w:tcBorders>
              <w:top w:val="nil"/>
              <w:left w:val="nil"/>
              <w:bottom w:val="nil"/>
              <w:right w:val="single" w:sz="4" w:space="0" w:color="auto"/>
            </w:tcBorders>
            <w:hideMark/>
          </w:tcPr>
          <w:p w:rsidR="009F409E" w:rsidRDefault="009F409E">
            <w:pPr>
              <w:tabs>
                <w:tab w:val="left" w:pos="347"/>
                <w:tab w:val="left" w:pos="1418"/>
                <w:tab w:val="left" w:pos="1843"/>
              </w:tabs>
              <w:ind w:left="347" w:hanging="347"/>
            </w:pPr>
            <w:r>
              <w:t>of battery wagons / battery vehicles</w:t>
            </w:r>
          </w:p>
        </w:tc>
        <w:tc>
          <w:tcPr>
            <w:tcW w:w="4001" w:type="dxa"/>
            <w:tcBorders>
              <w:top w:val="nil"/>
              <w:left w:val="single" w:sz="4" w:space="0" w:color="auto"/>
              <w:bottom w:val="nil"/>
              <w:right w:val="nil"/>
            </w:tcBorders>
            <w:hideMark/>
          </w:tcPr>
          <w:p w:rsidR="009F409E" w:rsidRDefault="009F409E">
            <w:pPr>
              <w:tabs>
                <w:tab w:val="left" w:pos="1418"/>
                <w:tab w:val="left" w:pos="1843"/>
              </w:tabs>
            </w:pPr>
            <w:r>
              <w:t>and the frame of MEGCs</w:t>
            </w:r>
          </w:p>
        </w:tc>
      </w:tr>
    </w:tbl>
    <w:p w:rsidR="009F409E" w:rsidRDefault="009F409E" w:rsidP="009F409E">
      <w:pPr>
        <w:tabs>
          <w:tab w:val="left" w:pos="1418"/>
          <w:tab w:val="left" w:pos="1843"/>
        </w:tabs>
        <w:spacing w:before="120" w:after="120"/>
        <w:ind w:left="1134" w:right="1134"/>
        <w:jc w:val="both"/>
      </w:pPr>
      <w:proofErr w:type="gramStart"/>
      <w:r>
        <w:t>shall</w:t>
      </w:r>
      <w:proofErr w:type="gramEnd"/>
      <w:r>
        <w:t xml:space="preserve"> be capable of absorbing under the maximum permissible load the forces de-fined in 6.8.2.1.2.”.</w:t>
      </w:r>
    </w:p>
    <w:p w:rsidR="009F409E" w:rsidRDefault="009F409E" w:rsidP="009F409E">
      <w:pPr>
        <w:pStyle w:val="SingleTxtG"/>
        <w:ind w:left="0"/>
      </w:pPr>
      <w:r>
        <w:rPr>
          <w:i/>
        </w:rPr>
        <w:t>(Reference documents: ECE/TRANS/WP.15/AC.1/2016/11 and informal document INF.61)</w:t>
      </w:r>
      <w:r>
        <w:t xml:space="preserve"> </w:t>
      </w:r>
    </w:p>
    <w:p w:rsidR="009F409E" w:rsidRDefault="009F409E" w:rsidP="009F409E">
      <w:pPr>
        <w:tabs>
          <w:tab w:val="left" w:pos="1418"/>
          <w:tab w:val="left" w:pos="1843"/>
        </w:tabs>
        <w:spacing w:before="120" w:after="120"/>
        <w:ind w:left="1134" w:right="1134"/>
        <w:jc w:val="both"/>
      </w:pPr>
      <w:r>
        <w:t>(</w:t>
      </w:r>
      <w:proofErr w:type="gramStart"/>
      <w:r>
        <w:t>RID:</w:t>
      </w:r>
      <w:proofErr w:type="gramEnd"/>
      <w:r>
        <w:t>)</w:t>
      </w:r>
    </w:p>
    <w:p w:rsidR="009F409E" w:rsidRDefault="009F409E" w:rsidP="009F409E">
      <w:pPr>
        <w:tabs>
          <w:tab w:val="left" w:pos="1418"/>
          <w:tab w:val="left" w:pos="1843"/>
        </w:tabs>
        <w:spacing w:before="120" w:after="120"/>
        <w:ind w:left="1134" w:right="1134"/>
        <w:jc w:val="both"/>
        <w:rPr>
          <w:rFonts w:cs="Arial"/>
          <w:szCs w:val="22"/>
        </w:rPr>
      </w:pPr>
      <w:r>
        <w:t>6.8.4, special provision TE22</w:t>
      </w:r>
      <w:r>
        <w:tab/>
        <w:t xml:space="preserve">In the fourth subparagraph, replace “standard </w:t>
      </w:r>
      <w:r>
        <w:rPr>
          <w:rFonts w:cs="Arial"/>
          <w:szCs w:val="22"/>
        </w:rPr>
        <w:t xml:space="preserve">EN 15551:2009 </w:t>
      </w:r>
      <w:r>
        <w:t>(Railway applications – Freight wagons – Buffers)</w:t>
      </w:r>
      <w:r>
        <w:rPr>
          <w:rFonts w:cs="Arial"/>
          <w:szCs w:val="22"/>
        </w:rPr>
        <w:t xml:space="preserve">” by </w:t>
      </w:r>
      <w:r>
        <w:t xml:space="preserve">“standard </w:t>
      </w:r>
      <w:r>
        <w:rPr>
          <w:rFonts w:cs="Arial"/>
          <w:szCs w:val="22"/>
        </w:rPr>
        <w:t>EN 15551:2009 + A1:2010 (Railway applications – Railway rolling stock – Buffers)”.</w:t>
      </w:r>
    </w:p>
    <w:p w:rsidR="009F409E" w:rsidRDefault="009F409E" w:rsidP="009F409E">
      <w:pPr>
        <w:tabs>
          <w:tab w:val="left" w:pos="1418"/>
          <w:tab w:val="left" w:pos="1843"/>
        </w:tabs>
        <w:spacing w:before="120" w:after="120"/>
        <w:ind w:left="1134" w:right="1134"/>
        <w:jc w:val="both"/>
        <w:rPr>
          <w:rFonts w:cs="Arial"/>
          <w:szCs w:val="22"/>
        </w:rPr>
      </w:pPr>
      <w:r>
        <w:rPr>
          <w:rFonts w:cs="Arial"/>
          <w:szCs w:val="22"/>
        </w:rPr>
        <w:t>(</w:t>
      </w:r>
      <w:proofErr w:type="gramStart"/>
      <w:r>
        <w:rPr>
          <w:rFonts w:cs="Arial"/>
          <w:szCs w:val="22"/>
        </w:rPr>
        <w:t>RID:</w:t>
      </w:r>
      <w:proofErr w:type="gramEnd"/>
      <w:r>
        <w:rPr>
          <w:rFonts w:cs="Arial"/>
          <w:szCs w:val="22"/>
        </w:rPr>
        <w:t>)</w:t>
      </w:r>
    </w:p>
    <w:p w:rsidR="009F409E" w:rsidRDefault="009F409E" w:rsidP="009F409E">
      <w:pPr>
        <w:tabs>
          <w:tab w:val="left" w:pos="1418"/>
          <w:tab w:val="left" w:pos="1843"/>
        </w:tabs>
        <w:spacing w:before="120" w:after="120"/>
        <w:ind w:left="1134" w:right="1134"/>
        <w:jc w:val="both"/>
        <w:rPr>
          <w:rFonts w:cs="Arial"/>
          <w:szCs w:val="22"/>
        </w:rPr>
      </w:pPr>
      <w:r>
        <w:t xml:space="preserve">6.8.4, special provision </w:t>
      </w:r>
      <w:r>
        <w:rPr>
          <w:rFonts w:cs="Arial"/>
          <w:szCs w:val="22"/>
        </w:rPr>
        <w:t>TE25</w:t>
      </w:r>
      <w:r>
        <w:rPr>
          <w:rFonts w:cs="Arial"/>
          <w:szCs w:val="22"/>
        </w:rPr>
        <w:tab/>
        <w:t xml:space="preserve">In paragraph (a), in the ninth indent, replace “EN 15551:2011 Railway applications – Railway rolling stock – Buffers” by </w:t>
      </w:r>
      <w:r>
        <w:t>“</w:t>
      </w:r>
      <w:r>
        <w:rPr>
          <w:rFonts w:cs="Arial"/>
          <w:szCs w:val="22"/>
        </w:rPr>
        <w:t>EN 15551:2009 + A1:2010 (Railway applications – Railway rolling stock – Buffers)”.</w:t>
      </w:r>
    </w:p>
    <w:p w:rsidR="009F409E" w:rsidRDefault="009F409E" w:rsidP="009F409E">
      <w:pPr>
        <w:tabs>
          <w:tab w:val="left" w:pos="1418"/>
          <w:tab w:val="left" w:pos="1843"/>
        </w:tabs>
        <w:spacing w:before="120" w:after="120"/>
        <w:ind w:left="1134" w:right="1134"/>
        <w:jc w:val="both"/>
      </w:pPr>
      <w:r>
        <w:t>(</w:t>
      </w:r>
      <w:proofErr w:type="gramStart"/>
      <w:r>
        <w:t>ADR:</w:t>
      </w:r>
      <w:proofErr w:type="gramEnd"/>
      <w:r>
        <w:t>)</w:t>
      </w:r>
    </w:p>
    <w:p w:rsidR="009F409E" w:rsidRDefault="009F409E" w:rsidP="009F409E">
      <w:pPr>
        <w:tabs>
          <w:tab w:val="left" w:pos="1418"/>
          <w:tab w:val="left" w:pos="1843"/>
        </w:tabs>
        <w:spacing w:before="120" w:after="120"/>
        <w:ind w:left="1134" w:right="1134"/>
        <w:jc w:val="both"/>
      </w:pPr>
      <w:r>
        <w:t>6.8.4, special provision TT11</w:t>
      </w:r>
      <w:r>
        <w:tab/>
        <w:t>In the paragraph after the Table, amend “EN 14025:2013” to read: “EN 14025:2013 + A1</w:t>
      </w:r>
      <w:proofErr w:type="gramStart"/>
      <w:r>
        <w:t>:[</w:t>
      </w:r>
      <w:proofErr w:type="gramEnd"/>
      <w:r>
        <w:t>2016]”.</w:t>
      </w:r>
    </w:p>
    <w:p w:rsidR="009F409E" w:rsidRPr="00A37BED" w:rsidRDefault="009F409E" w:rsidP="009F409E">
      <w:pPr>
        <w:pStyle w:val="SingleTxtG"/>
        <w:ind w:left="0"/>
        <w:rPr>
          <w:i/>
          <w:lang w:val="fr-CH"/>
        </w:rPr>
      </w:pPr>
      <w:r w:rsidRPr="00A37BED">
        <w:rPr>
          <w:i/>
          <w:lang w:val="fr-CH"/>
        </w:rPr>
        <w:t xml:space="preserve">(Reference document: </w:t>
      </w:r>
      <w:proofErr w:type="spellStart"/>
      <w:r w:rsidRPr="00A37BED">
        <w:rPr>
          <w:i/>
          <w:lang w:val="fr-CH"/>
        </w:rPr>
        <w:t>informal</w:t>
      </w:r>
      <w:proofErr w:type="spellEnd"/>
      <w:r w:rsidRPr="00A37BED">
        <w:rPr>
          <w:i/>
          <w:lang w:val="fr-CH"/>
        </w:rPr>
        <w:t xml:space="preserve"> document INF.57)</w:t>
      </w:r>
    </w:p>
    <w:p w:rsidR="009F409E" w:rsidRDefault="009F409E" w:rsidP="009F409E">
      <w:pPr>
        <w:pStyle w:val="H1G"/>
        <w:rPr>
          <w:sz w:val="20"/>
        </w:rPr>
      </w:pPr>
      <w:r w:rsidRPr="00A37BED">
        <w:rPr>
          <w:sz w:val="20"/>
          <w:lang w:val="fr-CH"/>
        </w:rPr>
        <w:tab/>
      </w:r>
      <w:r w:rsidRPr="00A37BED">
        <w:rPr>
          <w:sz w:val="20"/>
          <w:lang w:val="fr-CH"/>
        </w:rPr>
        <w:tab/>
      </w:r>
      <w:r>
        <w:rPr>
          <w:sz w:val="20"/>
        </w:rPr>
        <w:t>Chapter 7.1</w:t>
      </w:r>
    </w:p>
    <w:p w:rsidR="009F409E" w:rsidRDefault="009F409E" w:rsidP="009F409E">
      <w:pPr>
        <w:tabs>
          <w:tab w:val="left" w:pos="1418"/>
          <w:tab w:val="left" w:pos="1843"/>
        </w:tabs>
        <w:spacing w:before="120" w:after="120"/>
        <w:ind w:left="1134" w:right="1134"/>
        <w:jc w:val="both"/>
      </w:pPr>
      <w:r>
        <w:rPr>
          <w:b/>
        </w:rPr>
        <w:t>7.1.3</w:t>
      </w:r>
      <w:r>
        <w:tab/>
        <w:t>At the beginning, after “portable tanks”, insert: “, MEGCs,</w:t>
      </w:r>
      <w:proofErr w:type="gramStart"/>
      <w:r>
        <w:t>”.</w:t>
      </w:r>
      <w:proofErr w:type="gramEnd"/>
      <w:r>
        <w:t xml:space="preserve"> At the end, after “portable tank”, insert: “, MEGC”.</w:t>
      </w:r>
    </w:p>
    <w:p w:rsidR="009F409E" w:rsidRDefault="009F409E" w:rsidP="009F409E">
      <w:pPr>
        <w:pStyle w:val="SingleTxtG"/>
        <w:ind w:left="0"/>
        <w:rPr>
          <w:i/>
        </w:rPr>
      </w:pPr>
      <w:r>
        <w:rPr>
          <w:i/>
        </w:rPr>
        <w:t>(Reference documents: ECE/TRANS/WP.15/AC.1/2016/11 and informal document INF.61)</w:t>
      </w:r>
    </w:p>
    <w:p w:rsidR="009F409E" w:rsidRDefault="009F409E">
      <w:pPr>
        <w:suppressAutoHyphens w:val="0"/>
        <w:spacing w:line="240" w:lineRule="auto"/>
        <w:rPr>
          <w:b/>
          <w:sz w:val="28"/>
        </w:rPr>
      </w:pPr>
      <w:r>
        <w:br w:type="page"/>
      </w:r>
    </w:p>
    <w:p w:rsidR="009F409E" w:rsidRPr="00EE291E" w:rsidRDefault="009F409E" w:rsidP="009F409E">
      <w:pPr>
        <w:pStyle w:val="HChG"/>
      </w:pPr>
      <w:r w:rsidRPr="00EE291E">
        <w:lastRenderedPageBreak/>
        <w:t xml:space="preserve">Annex </w:t>
      </w:r>
      <w:r>
        <w:t>IV</w:t>
      </w:r>
    </w:p>
    <w:p w:rsidR="009F409E" w:rsidRDefault="009F409E" w:rsidP="009F409E">
      <w:pPr>
        <w:pStyle w:val="HChG"/>
      </w:pPr>
      <w:r>
        <w:tab/>
      </w:r>
      <w:r>
        <w:tab/>
        <w:t>Draft amendments for entry into force on 1 January 2019</w:t>
      </w:r>
    </w:p>
    <w:p w:rsidR="009F409E" w:rsidRDefault="009F409E" w:rsidP="009F409E">
      <w:pPr>
        <w:pStyle w:val="H1G"/>
        <w:rPr>
          <w:sz w:val="20"/>
        </w:rPr>
      </w:pPr>
      <w:r>
        <w:rPr>
          <w:sz w:val="20"/>
        </w:rPr>
        <w:tab/>
      </w:r>
      <w:r>
        <w:rPr>
          <w:sz w:val="20"/>
        </w:rPr>
        <w:tab/>
        <w:t>Chapter 1.8</w:t>
      </w:r>
    </w:p>
    <w:p w:rsidR="009F409E" w:rsidRDefault="009F409E" w:rsidP="009F409E">
      <w:pPr>
        <w:tabs>
          <w:tab w:val="left" w:pos="1418"/>
          <w:tab w:val="left" w:pos="1843"/>
        </w:tabs>
        <w:spacing w:before="120" w:after="80"/>
        <w:ind w:left="1134" w:right="1134"/>
        <w:jc w:val="both"/>
      </w:pPr>
      <w:r>
        <w:t>1.8.3.1</w:t>
      </w:r>
      <w:r>
        <w:tab/>
        <w:t>Before “carriage”, insert: “consigning,</w:t>
      </w:r>
      <w:proofErr w:type="gramStart"/>
      <w:r>
        <w:t>”.</w:t>
      </w:r>
      <w:proofErr w:type="gramEnd"/>
    </w:p>
    <w:p w:rsidR="009F409E" w:rsidRDefault="009F409E" w:rsidP="009F409E">
      <w:pPr>
        <w:pStyle w:val="SingleTxtG"/>
        <w:ind w:left="0"/>
        <w:rPr>
          <w:i/>
        </w:rPr>
      </w:pPr>
      <w:r>
        <w:rPr>
          <w:i/>
        </w:rPr>
        <w:t>(Reference document: ECE/TRANS/WP.15/AC.1/2016/3, proposal 2)</w:t>
      </w:r>
    </w:p>
    <w:p w:rsidR="009F409E" w:rsidRDefault="009F409E" w:rsidP="009F409E">
      <w:pPr>
        <w:tabs>
          <w:tab w:val="left" w:pos="1418"/>
          <w:tab w:val="left" w:pos="1843"/>
        </w:tabs>
        <w:spacing w:before="120" w:after="80"/>
        <w:ind w:left="1134" w:right="1134"/>
        <w:jc w:val="both"/>
      </w:pPr>
      <w:r>
        <w:t>1.8.3.2</w:t>
      </w:r>
      <w:r>
        <w:tab/>
        <w:t>In paragraph (b)</w:t>
      </w:r>
      <w:proofErr w:type="gramStart"/>
      <w:r>
        <w:t>/(</w:t>
      </w:r>
      <w:proofErr w:type="gramEnd"/>
      <w:r>
        <w:t>a), replace “smaller than those” by “not exceeding those”.</w:t>
      </w:r>
    </w:p>
    <w:p w:rsidR="009F409E" w:rsidRDefault="009F409E" w:rsidP="009F409E">
      <w:pPr>
        <w:pStyle w:val="SingleTxtG"/>
        <w:ind w:left="0"/>
        <w:rPr>
          <w:i/>
        </w:rPr>
      </w:pPr>
      <w:r>
        <w:rPr>
          <w:i/>
        </w:rPr>
        <w:t>(Reference document: ECE/TRANS/WP.15/AC.1/2016/3, proposal 3)</w:t>
      </w:r>
    </w:p>
    <w:p w:rsidR="009F409E" w:rsidRDefault="009F409E" w:rsidP="009F409E">
      <w:pPr>
        <w:tabs>
          <w:tab w:val="left" w:pos="1418"/>
          <w:tab w:val="left" w:pos="1843"/>
        </w:tabs>
        <w:spacing w:before="120" w:after="80"/>
        <w:ind w:left="1134" w:right="1134"/>
        <w:jc w:val="both"/>
      </w:pPr>
      <w:r>
        <w:t>1.8.3.3</w:t>
      </w:r>
      <w:r>
        <w:tab/>
        <w:t>In the ninth indent of the third subparagraph, before “carriage”, insert: “consigning,</w:t>
      </w:r>
      <w:proofErr w:type="gramStart"/>
      <w:r>
        <w:t>”.</w:t>
      </w:r>
      <w:proofErr w:type="gramEnd"/>
    </w:p>
    <w:p w:rsidR="009F409E" w:rsidRDefault="009F409E" w:rsidP="009F409E">
      <w:pPr>
        <w:pStyle w:val="SingleTxtG"/>
        <w:ind w:left="0"/>
        <w:rPr>
          <w:i/>
        </w:rPr>
      </w:pPr>
      <w:r>
        <w:rPr>
          <w:i/>
        </w:rPr>
        <w:t>(Reference document: ECE/TRANS/WP.15/AC.1/2016/3, proposal 5)</w:t>
      </w:r>
    </w:p>
    <w:p w:rsidR="009F409E" w:rsidRDefault="009F409E" w:rsidP="009F409E">
      <w:pPr>
        <w:tabs>
          <w:tab w:val="left" w:pos="1418"/>
          <w:tab w:val="left" w:pos="1843"/>
        </w:tabs>
        <w:spacing w:before="120" w:after="80"/>
        <w:ind w:left="1134" w:right="1134"/>
        <w:jc w:val="both"/>
      </w:pPr>
      <w:r>
        <w:t>1.8.3.18</w:t>
      </w:r>
      <w:r>
        <w:tab/>
        <w:t>In the eighth entry of the certificate (“Valid until …”), before “packing”, insert: “consigning,</w:t>
      </w:r>
      <w:proofErr w:type="gramStart"/>
      <w:r>
        <w:t>”.</w:t>
      </w:r>
      <w:proofErr w:type="gramEnd"/>
    </w:p>
    <w:p w:rsidR="009F409E" w:rsidRDefault="009F409E" w:rsidP="009F409E">
      <w:pPr>
        <w:pStyle w:val="SingleTxtG"/>
        <w:ind w:left="0"/>
        <w:rPr>
          <w:i/>
        </w:rPr>
      </w:pPr>
      <w:r>
        <w:rPr>
          <w:i/>
        </w:rPr>
        <w:t>(Reference document: ECE/TRANS/WP.15/AC.1/2016/3, proposal 8)</w:t>
      </w:r>
    </w:p>
    <w:p w:rsidR="009F409E" w:rsidRDefault="009F409E" w:rsidP="009F409E">
      <w:pPr>
        <w:pStyle w:val="H1G"/>
        <w:rPr>
          <w:sz w:val="20"/>
        </w:rPr>
      </w:pPr>
      <w:r>
        <w:rPr>
          <w:sz w:val="20"/>
        </w:rPr>
        <w:tab/>
      </w:r>
      <w:r>
        <w:rPr>
          <w:sz w:val="20"/>
        </w:rPr>
        <w:tab/>
        <w:t>Chapter 4.1</w:t>
      </w:r>
    </w:p>
    <w:p w:rsidR="009F409E" w:rsidRDefault="009F409E" w:rsidP="009F409E">
      <w:pPr>
        <w:tabs>
          <w:tab w:val="left" w:pos="1418"/>
          <w:tab w:val="left" w:pos="1843"/>
        </w:tabs>
        <w:spacing w:before="120" w:after="120"/>
        <w:ind w:left="1134" w:right="1134"/>
        <w:jc w:val="both"/>
      </w:pPr>
      <w:r>
        <w:t>Under the heading, insert the following Note:</w:t>
      </w:r>
    </w:p>
    <w:p w:rsidR="009F409E" w:rsidRDefault="009F409E" w:rsidP="009F409E">
      <w:pPr>
        <w:tabs>
          <w:tab w:val="left" w:pos="1418"/>
          <w:tab w:val="left" w:pos="1843"/>
        </w:tabs>
        <w:spacing w:before="120" w:after="80"/>
        <w:ind w:left="1134" w:right="1134"/>
        <w:jc w:val="both"/>
      </w:pPr>
      <w:r>
        <w:t>“</w:t>
      </w:r>
      <w:r>
        <w:rPr>
          <w:b/>
          <w:i/>
        </w:rPr>
        <w:t>NOTE:</w:t>
      </w:r>
      <w:r>
        <w:rPr>
          <w:i/>
        </w:rPr>
        <w:tab/>
      </w:r>
      <w:r>
        <w:rPr>
          <w:i/>
        </w:rPr>
        <w:tab/>
        <w:t>Packagings, including IBCs and large packagings, marked in accordance with 6.1.3, 6.2.2.7, 6.2.2.8, 6.2.2.9, 6.2.2.10, 6.3.4, 6.5.2 or 6.6.3 but which were approved in a State which is not an RID Contracting State / a Contracting Party to ADR may nevertheless be used for carriage under RID/ADR.</w:t>
      </w:r>
      <w:r>
        <w:t>”.</w:t>
      </w:r>
    </w:p>
    <w:p w:rsidR="009F409E" w:rsidRDefault="009F409E" w:rsidP="009F409E">
      <w:pPr>
        <w:pStyle w:val="SingleTxtG"/>
        <w:ind w:left="0"/>
        <w:rPr>
          <w:i/>
        </w:rPr>
      </w:pPr>
      <w:r>
        <w:rPr>
          <w:i/>
        </w:rPr>
        <w:t>(Reference documents: ECE/TRANS/WP.15/AC.1/2016/7 and informal document INF.27)</w:t>
      </w:r>
    </w:p>
    <w:p w:rsidR="009F409E" w:rsidRDefault="009F409E" w:rsidP="009F409E">
      <w:pPr>
        <w:tabs>
          <w:tab w:val="left" w:pos="1418"/>
          <w:tab w:val="left" w:pos="1843"/>
        </w:tabs>
        <w:spacing w:before="120" w:after="80"/>
        <w:ind w:left="1134" w:right="1134"/>
        <w:jc w:val="both"/>
        <w:rPr>
          <w:i/>
        </w:rPr>
      </w:pPr>
      <w:r>
        <w:t>4.1.1.17</w:t>
      </w:r>
      <w:r>
        <w:tab/>
        <w:t>Delete and insert “</w:t>
      </w:r>
      <w:r>
        <w:rPr>
          <w:i/>
        </w:rPr>
        <w:t>(Deleted)</w:t>
      </w:r>
      <w:r>
        <w:t xml:space="preserve">”. </w:t>
      </w:r>
    </w:p>
    <w:p w:rsidR="009F409E" w:rsidRDefault="009F409E" w:rsidP="009F409E">
      <w:pPr>
        <w:pStyle w:val="SingleTxtG"/>
        <w:ind w:left="0"/>
        <w:rPr>
          <w:i/>
        </w:rPr>
      </w:pPr>
      <w:r>
        <w:rPr>
          <w:i/>
        </w:rPr>
        <w:t>(Reference documents: ECE/TRANS/WP.15/AC.1/2016/7 and informal document INF.27)</w:t>
      </w:r>
    </w:p>
    <w:p w:rsidR="009F409E" w:rsidRDefault="009F409E" w:rsidP="009F409E">
      <w:pPr>
        <w:pStyle w:val="H1G"/>
        <w:rPr>
          <w:sz w:val="20"/>
        </w:rPr>
      </w:pPr>
      <w:r>
        <w:rPr>
          <w:sz w:val="20"/>
        </w:rPr>
        <w:tab/>
      </w:r>
      <w:r>
        <w:rPr>
          <w:sz w:val="20"/>
        </w:rPr>
        <w:tab/>
        <w:t>Chapter 7.3</w:t>
      </w:r>
    </w:p>
    <w:p w:rsidR="009F409E" w:rsidRDefault="009F409E" w:rsidP="009F409E">
      <w:pPr>
        <w:tabs>
          <w:tab w:val="left" w:pos="1418"/>
          <w:tab w:val="left" w:pos="1843"/>
        </w:tabs>
        <w:spacing w:before="120" w:after="120"/>
        <w:ind w:left="1134" w:right="1134"/>
        <w:jc w:val="both"/>
      </w:pPr>
      <w:r>
        <w:t>7.3.2.10</w:t>
      </w:r>
      <w:r>
        <w:tab/>
      </w:r>
      <w:proofErr w:type="gramStart"/>
      <w:r>
        <w:t>Under</w:t>
      </w:r>
      <w:proofErr w:type="gramEnd"/>
      <w:r>
        <w:t xml:space="preserve"> the heading, insert the following Note:</w:t>
      </w:r>
    </w:p>
    <w:p w:rsidR="009F409E" w:rsidRDefault="009F409E" w:rsidP="009F409E">
      <w:pPr>
        <w:tabs>
          <w:tab w:val="left" w:pos="1418"/>
          <w:tab w:val="left" w:pos="1843"/>
        </w:tabs>
        <w:spacing w:before="120" w:after="80"/>
        <w:ind w:left="1134" w:right="1134"/>
        <w:jc w:val="both"/>
      </w:pPr>
      <w:r>
        <w:t>“</w:t>
      </w:r>
      <w:r>
        <w:rPr>
          <w:b/>
          <w:i/>
        </w:rPr>
        <w:t>NOTE:</w:t>
      </w:r>
      <w:r>
        <w:rPr>
          <w:b/>
          <w:i/>
        </w:rPr>
        <w:tab/>
      </w:r>
      <w:r>
        <w:rPr>
          <w:i/>
        </w:rPr>
        <w:t>Flexible bulk containers marked in accordance with 6.11.5.5 but which were approved in a State which is not an RID Contracting State / a Contracting Party to ADR/ADN may nevertheless be used for carriage under RID/ADR/ADN.</w:t>
      </w:r>
      <w:r>
        <w:t>”.</w:t>
      </w:r>
    </w:p>
    <w:p w:rsidR="009F409E" w:rsidRDefault="009F409E" w:rsidP="009F409E">
      <w:pPr>
        <w:pStyle w:val="SingleTxtG"/>
        <w:ind w:left="0"/>
        <w:rPr>
          <w:i/>
        </w:rPr>
      </w:pPr>
      <w:r>
        <w:rPr>
          <w:i/>
        </w:rPr>
        <w:t>(Reference documents: ECE/TRANS/WP.15/AC.1/2016/7 and informal document INF.27)</w:t>
      </w:r>
    </w:p>
    <w:p w:rsidR="009F409E" w:rsidRDefault="009F409E" w:rsidP="009F409E">
      <w:pPr>
        <w:tabs>
          <w:tab w:val="left" w:pos="1418"/>
          <w:tab w:val="left" w:pos="1843"/>
        </w:tabs>
        <w:spacing w:before="120" w:after="120"/>
        <w:ind w:left="1134" w:right="1134"/>
        <w:jc w:val="both"/>
      </w:pPr>
      <w:r>
        <w:t>7.3.3.1</w:t>
      </w:r>
      <w:r>
        <w:tab/>
        <w:t>After the first paragraph, insert a Note to read as follows:</w:t>
      </w:r>
    </w:p>
    <w:p w:rsidR="009F409E" w:rsidRDefault="009F409E" w:rsidP="009F409E">
      <w:pPr>
        <w:tabs>
          <w:tab w:val="left" w:pos="1418"/>
          <w:tab w:val="left" w:pos="1843"/>
        </w:tabs>
        <w:spacing w:before="120" w:after="80"/>
        <w:ind w:left="1134" w:right="1134"/>
        <w:jc w:val="both"/>
      </w:pPr>
      <w:r>
        <w:t>“</w:t>
      </w:r>
      <w:r>
        <w:rPr>
          <w:b/>
          <w:i/>
        </w:rPr>
        <w:t>NOTE:</w:t>
      </w:r>
      <w:r>
        <w:rPr>
          <w:b/>
          <w:i/>
        </w:rPr>
        <w:tab/>
      </w:r>
      <w:r>
        <w:rPr>
          <w:i/>
        </w:rPr>
        <w:t xml:space="preserve">Where a VC1 code is shown in column (17) of Table </w:t>
      </w:r>
      <w:proofErr w:type="gramStart"/>
      <w:r>
        <w:rPr>
          <w:i/>
        </w:rPr>
        <w:t>A</w:t>
      </w:r>
      <w:proofErr w:type="gramEnd"/>
      <w:r>
        <w:rPr>
          <w:i/>
        </w:rPr>
        <w:t xml:space="preserve"> of Chapter 3.2, a BK1 bulk container may therefore also be used for land transport provided the additional provisions in 7.3.3.2 are fulfilled. Where a VC2 code is shown in column (17) of Table A of Chapter 3.2, a BK2 bulk container may therefore also be used for land transport provided the additional provisions in 7.3.3.2 are fulfilled.</w:t>
      </w:r>
      <w:proofErr w:type="gramStart"/>
      <w:r>
        <w:t>”.</w:t>
      </w:r>
      <w:proofErr w:type="gramEnd"/>
    </w:p>
    <w:p w:rsidR="009F409E" w:rsidRDefault="009F409E" w:rsidP="009F409E">
      <w:pPr>
        <w:pStyle w:val="SingleTxtG"/>
        <w:ind w:left="0"/>
        <w:rPr>
          <w:i/>
        </w:rPr>
      </w:pPr>
      <w:r>
        <w:rPr>
          <w:i/>
        </w:rPr>
        <w:t>(Reference document: ECE/TRANS/WP.15/AC.1/2016/6, as amended)</w:t>
      </w:r>
    </w:p>
    <w:p w:rsidR="00A6129C" w:rsidRPr="002C6983" w:rsidRDefault="009F409E" w:rsidP="00F858BC">
      <w:pPr>
        <w:pStyle w:val="SingleTxtG"/>
        <w:spacing w:before="240" w:after="0"/>
        <w:jc w:val="center"/>
        <w:rPr>
          <w:b/>
        </w:rPr>
      </w:pPr>
      <w:r>
        <w:rPr>
          <w:u w:val="single"/>
        </w:rPr>
        <w:tab/>
      </w:r>
      <w:r>
        <w:rPr>
          <w:u w:val="single"/>
        </w:rPr>
        <w:tab/>
      </w:r>
      <w:r>
        <w:rPr>
          <w:u w:val="single"/>
        </w:rPr>
        <w:tab/>
      </w:r>
      <w:r>
        <w:rPr>
          <w:u w:val="single"/>
        </w:rPr>
        <w:tab/>
      </w:r>
    </w:p>
    <w:sectPr w:rsidR="00A6129C" w:rsidRPr="002C6983" w:rsidSect="002C698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ED" w:rsidRDefault="00A37BED"/>
  </w:endnote>
  <w:endnote w:type="continuationSeparator" w:id="0">
    <w:p w:rsidR="00A37BED" w:rsidRDefault="00A37BED"/>
  </w:endnote>
  <w:endnote w:type="continuationNotice" w:id="1">
    <w:p w:rsidR="00A37BED" w:rsidRDefault="00A37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ED" w:rsidRPr="002C6983" w:rsidRDefault="00A37BED" w:rsidP="002C6983">
    <w:pPr>
      <w:pStyle w:val="Footer"/>
      <w:tabs>
        <w:tab w:val="right" w:pos="9638"/>
      </w:tabs>
      <w:rPr>
        <w:sz w:val="18"/>
      </w:rPr>
    </w:pPr>
    <w:r w:rsidRPr="002C6983">
      <w:rPr>
        <w:b/>
        <w:sz w:val="18"/>
      </w:rPr>
      <w:fldChar w:fldCharType="begin"/>
    </w:r>
    <w:r w:rsidRPr="002C6983">
      <w:rPr>
        <w:b/>
        <w:sz w:val="18"/>
      </w:rPr>
      <w:instrText xml:space="preserve"> PAGE  \* MERGEFORMAT </w:instrText>
    </w:r>
    <w:r w:rsidRPr="002C6983">
      <w:rPr>
        <w:b/>
        <w:sz w:val="18"/>
      </w:rPr>
      <w:fldChar w:fldCharType="separate"/>
    </w:r>
    <w:r w:rsidR="0013522D">
      <w:rPr>
        <w:b/>
        <w:noProof/>
        <w:sz w:val="18"/>
      </w:rPr>
      <w:t>2</w:t>
    </w:r>
    <w:r w:rsidRPr="002C69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ED" w:rsidRPr="002C6983" w:rsidRDefault="00A37BED" w:rsidP="002C6983">
    <w:pPr>
      <w:pStyle w:val="Footer"/>
      <w:tabs>
        <w:tab w:val="right" w:pos="9638"/>
      </w:tabs>
      <w:rPr>
        <w:b/>
        <w:sz w:val="18"/>
      </w:rPr>
    </w:pPr>
    <w:r>
      <w:tab/>
    </w:r>
    <w:r w:rsidRPr="002C6983">
      <w:rPr>
        <w:b/>
        <w:sz w:val="18"/>
      </w:rPr>
      <w:fldChar w:fldCharType="begin"/>
    </w:r>
    <w:r w:rsidRPr="002C6983">
      <w:rPr>
        <w:b/>
        <w:sz w:val="18"/>
      </w:rPr>
      <w:instrText xml:space="preserve"> PAGE  \* MERGEFORMAT </w:instrText>
    </w:r>
    <w:r w:rsidRPr="002C6983">
      <w:rPr>
        <w:b/>
        <w:sz w:val="18"/>
      </w:rPr>
      <w:fldChar w:fldCharType="separate"/>
    </w:r>
    <w:r w:rsidR="0013522D">
      <w:rPr>
        <w:b/>
        <w:noProof/>
        <w:sz w:val="18"/>
      </w:rPr>
      <w:t>25</w:t>
    </w:r>
    <w:r w:rsidRPr="002C698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ED" w:rsidRPr="000B175B" w:rsidRDefault="00A37BED" w:rsidP="000B175B">
      <w:pPr>
        <w:tabs>
          <w:tab w:val="right" w:pos="2155"/>
        </w:tabs>
        <w:spacing w:after="80"/>
        <w:ind w:left="680"/>
        <w:rPr>
          <w:u w:val="single"/>
        </w:rPr>
      </w:pPr>
      <w:r>
        <w:rPr>
          <w:u w:val="single"/>
        </w:rPr>
        <w:tab/>
      </w:r>
    </w:p>
  </w:footnote>
  <w:footnote w:type="continuationSeparator" w:id="0">
    <w:p w:rsidR="00A37BED" w:rsidRPr="00FC68B7" w:rsidRDefault="00A37BED" w:rsidP="00FC68B7">
      <w:pPr>
        <w:tabs>
          <w:tab w:val="left" w:pos="2155"/>
        </w:tabs>
        <w:spacing w:after="80"/>
        <w:ind w:left="680"/>
        <w:rPr>
          <w:u w:val="single"/>
        </w:rPr>
      </w:pPr>
      <w:r>
        <w:rPr>
          <w:u w:val="single"/>
        </w:rPr>
        <w:tab/>
      </w:r>
    </w:p>
  </w:footnote>
  <w:footnote w:type="continuationNotice" w:id="1">
    <w:p w:rsidR="00A37BED" w:rsidRDefault="00A37BED"/>
  </w:footnote>
  <w:footnote w:id="2">
    <w:p w:rsidR="00A37BED" w:rsidRDefault="00A37BED" w:rsidP="0013522D">
      <w:pPr>
        <w:pStyle w:val="FootnoteText"/>
        <w:tabs>
          <w:tab w:val="clear" w:pos="1021"/>
        </w:tabs>
        <w:ind w:hanging="283"/>
      </w:pPr>
      <w:r>
        <w:rPr>
          <w:rStyle w:val="FootnoteReference"/>
        </w:rPr>
        <w:footnoteRef/>
      </w:r>
      <w:r w:rsidR="0013522D">
        <w:tab/>
      </w:r>
      <w:r>
        <w:t>Circulated by the Intergovernmental Organisation for International Carriage by Rail (OTIF) under the symbol OTIF/RID/RC/2016-A.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A37BED" w:rsidRDefault="00A37BED" w:rsidP="00B77B54">
      <w:pPr>
        <w:pStyle w:val="FootnoteText"/>
        <w:ind w:hanging="283"/>
      </w:pPr>
      <w:r>
        <w:rPr>
          <w:rStyle w:val="FootnoteReference"/>
        </w:rPr>
        <w:footnoteRef/>
      </w:r>
      <w:r w:rsidR="0013522D">
        <w:tab/>
      </w:r>
      <w:r w:rsidR="0013522D">
        <w:tab/>
      </w:r>
      <w:bookmarkStart w:id="0" w:name="_GoBack"/>
      <w:bookmarkEnd w:id="0"/>
      <w:proofErr w:type="gramStart"/>
      <w:r>
        <w:t>Circulated by the Intergovernmental Organisation for International Carriage by Rail (OTIF) under the symbol OTIF/RID/RC/2016-A/Add.2.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ED" w:rsidRPr="002C6983" w:rsidRDefault="00A37BED">
    <w:pPr>
      <w:pStyle w:val="Header"/>
    </w:pPr>
    <w:r>
      <w:t>ECE/TRANS/WP.15/AC.1/142/Add.2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ED" w:rsidRPr="002C6983" w:rsidRDefault="00A37BED" w:rsidP="002C6983">
    <w:pPr>
      <w:pStyle w:val="Header"/>
      <w:jc w:val="right"/>
    </w:pPr>
    <w:r>
      <w:t>ECE/TRANS/WP.15/AC.1/142/Add.2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83"/>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3522D"/>
    <w:rsid w:val="00140D41"/>
    <w:rsid w:val="00165F3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C6983"/>
    <w:rsid w:val="002D4643"/>
    <w:rsid w:val="002F175C"/>
    <w:rsid w:val="00302E18"/>
    <w:rsid w:val="003229D8"/>
    <w:rsid w:val="00352709"/>
    <w:rsid w:val="003619B5"/>
    <w:rsid w:val="00365763"/>
    <w:rsid w:val="00371178"/>
    <w:rsid w:val="00392E47"/>
    <w:rsid w:val="003A6810"/>
    <w:rsid w:val="003C2CC4"/>
    <w:rsid w:val="003D1847"/>
    <w:rsid w:val="003D4B23"/>
    <w:rsid w:val="003E130E"/>
    <w:rsid w:val="003F6A5E"/>
    <w:rsid w:val="00410C89"/>
    <w:rsid w:val="00422E03"/>
    <w:rsid w:val="00426B9B"/>
    <w:rsid w:val="004325CB"/>
    <w:rsid w:val="00442A83"/>
    <w:rsid w:val="0045495B"/>
    <w:rsid w:val="004561E5"/>
    <w:rsid w:val="0048397A"/>
    <w:rsid w:val="00485CBB"/>
    <w:rsid w:val="004866B7"/>
    <w:rsid w:val="004C2461"/>
    <w:rsid w:val="004C7462"/>
    <w:rsid w:val="004E0DE6"/>
    <w:rsid w:val="004E77B2"/>
    <w:rsid w:val="00504B2D"/>
    <w:rsid w:val="0052136D"/>
    <w:rsid w:val="0052775E"/>
    <w:rsid w:val="005420F2"/>
    <w:rsid w:val="00547B88"/>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42FB2"/>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9F409E"/>
    <w:rsid w:val="00A00697"/>
    <w:rsid w:val="00A00A3F"/>
    <w:rsid w:val="00A01489"/>
    <w:rsid w:val="00A25C54"/>
    <w:rsid w:val="00A3026E"/>
    <w:rsid w:val="00A338F1"/>
    <w:rsid w:val="00A35BE0"/>
    <w:rsid w:val="00A37BED"/>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B54"/>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3E9C"/>
    <w:rsid w:val="00F31E5F"/>
    <w:rsid w:val="00F6100A"/>
    <w:rsid w:val="00F858BC"/>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B77B54"/>
    <w:rPr>
      <w:sz w:val="18"/>
      <w:lang w:eastAsia="en-US"/>
    </w:rPr>
  </w:style>
  <w:style w:type="character" w:customStyle="1" w:styleId="HChGChar">
    <w:name w:val="_ H _Ch_G Char"/>
    <w:link w:val="HChG"/>
    <w:locked/>
    <w:rsid w:val="00B77B54"/>
    <w:rPr>
      <w:b/>
      <w:sz w:val="28"/>
      <w:lang w:eastAsia="en-US"/>
    </w:rPr>
  </w:style>
  <w:style w:type="character" w:customStyle="1" w:styleId="SingleTxtGChar">
    <w:name w:val="_ Single Txt_G Char"/>
    <w:link w:val="SingleTxtG"/>
    <w:locked/>
    <w:rsid w:val="009F409E"/>
    <w:rPr>
      <w:lang w:eastAsia="en-US"/>
    </w:rPr>
  </w:style>
  <w:style w:type="character" w:customStyle="1" w:styleId="H1GChar">
    <w:name w:val="_ H_1_G Char"/>
    <w:link w:val="H1G"/>
    <w:locked/>
    <w:rsid w:val="009F409E"/>
    <w:rPr>
      <w:b/>
      <w:sz w:val="24"/>
      <w:lang w:eastAsia="en-US"/>
    </w:rPr>
  </w:style>
  <w:style w:type="paragraph" w:styleId="BalloonText">
    <w:name w:val="Balloon Text"/>
    <w:basedOn w:val="Normal"/>
    <w:link w:val="BalloonTextChar"/>
    <w:rsid w:val="00A37B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7B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B77B54"/>
    <w:rPr>
      <w:sz w:val="18"/>
      <w:lang w:eastAsia="en-US"/>
    </w:rPr>
  </w:style>
  <w:style w:type="character" w:customStyle="1" w:styleId="HChGChar">
    <w:name w:val="_ H _Ch_G Char"/>
    <w:link w:val="HChG"/>
    <w:locked/>
    <w:rsid w:val="00B77B54"/>
    <w:rPr>
      <w:b/>
      <w:sz w:val="28"/>
      <w:lang w:eastAsia="en-US"/>
    </w:rPr>
  </w:style>
  <w:style w:type="character" w:customStyle="1" w:styleId="SingleTxtGChar">
    <w:name w:val="_ Single Txt_G Char"/>
    <w:link w:val="SingleTxtG"/>
    <w:locked/>
    <w:rsid w:val="009F409E"/>
    <w:rPr>
      <w:lang w:eastAsia="en-US"/>
    </w:rPr>
  </w:style>
  <w:style w:type="character" w:customStyle="1" w:styleId="H1GChar">
    <w:name w:val="_ H_1_G Char"/>
    <w:link w:val="H1G"/>
    <w:locked/>
    <w:rsid w:val="009F409E"/>
    <w:rPr>
      <w:b/>
      <w:sz w:val="24"/>
      <w:lang w:eastAsia="en-US"/>
    </w:rPr>
  </w:style>
  <w:style w:type="paragraph" w:styleId="BalloonText">
    <w:name w:val="Balloon Text"/>
    <w:basedOn w:val="Normal"/>
    <w:link w:val="BalloonTextChar"/>
    <w:rsid w:val="00A37B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7B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9076">
      <w:bodyDiv w:val="1"/>
      <w:marLeft w:val="0"/>
      <w:marRight w:val="0"/>
      <w:marTop w:val="0"/>
      <w:marBottom w:val="0"/>
      <w:divBdr>
        <w:top w:val="none" w:sz="0" w:space="0" w:color="auto"/>
        <w:left w:val="none" w:sz="0" w:space="0" w:color="auto"/>
        <w:bottom w:val="none" w:sz="0" w:space="0" w:color="auto"/>
        <w:right w:val="none" w:sz="0" w:space="0" w:color="auto"/>
      </w:divBdr>
    </w:div>
    <w:div w:id="17362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73B9-8279-443A-A208-2524A71D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240</TotalTime>
  <Pages>25</Pages>
  <Words>7952</Words>
  <Characters>45327</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ECE/TRANS/WP.15/231</dc:creator>
  <cp:lastModifiedBy>barrio-champeau</cp:lastModifiedBy>
  <cp:revision>10</cp:revision>
  <cp:lastPrinted>2016-04-13T10:33:00Z</cp:lastPrinted>
  <dcterms:created xsi:type="dcterms:W3CDTF">2016-04-11T08:09:00Z</dcterms:created>
  <dcterms:modified xsi:type="dcterms:W3CDTF">2016-04-13T10:42:00Z</dcterms:modified>
</cp:coreProperties>
</file>