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14:paraId="0D5A82C8" w14:textId="77777777" w:rsidTr="00F01516">
        <w:trPr>
          <w:trHeight w:hRule="exact" w:val="851"/>
        </w:trPr>
        <w:tc>
          <w:tcPr>
            <w:tcW w:w="1277" w:type="dxa"/>
            <w:tcBorders>
              <w:bottom w:val="single" w:sz="4" w:space="0" w:color="auto"/>
            </w:tcBorders>
          </w:tcPr>
          <w:p w14:paraId="32DB6679" w14:textId="77777777" w:rsidR="003D1DF3" w:rsidRPr="00367E6A" w:rsidRDefault="003D1DF3" w:rsidP="00F01516">
            <w:pPr>
              <w:rPr>
                <w:lang w:val="fr-FR"/>
              </w:rPr>
            </w:pPr>
          </w:p>
        </w:tc>
        <w:tc>
          <w:tcPr>
            <w:tcW w:w="2268" w:type="dxa"/>
            <w:tcBorders>
              <w:bottom w:val="single" w:sz="4" w:space="0" w:color="auto"/>
            </w:tcBorders>
            <w:vAlign w:val="bottom"/>
          </w:tcPr>
          <w:p w14:paraId="25F707ED" w14:textId="77777777"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14:paraId="10F7CC04" w14:textId="77777777" w:rsidR="003D1DF3" w:rsidRPr="00367E6A" w:rsidRDefault="009864BF" w:rsidP="00F11CCC">
            <w:pPr>
              <w:jc w:val="right"/>
              <w:rPr>
                <w:lang w:val="fr-FR"/>
              </w:rPr>
            </w:pPr>
            <w:r w:rsidRPr="009864BF">
              <w:rPr>
                <w:sz w:val="40"/>
                <w:lang w:val="fr-FR"/>
              </w:rPr>
              <w:t>ECE</w:t>
            </w:r>
            <w:r>
              <w:rPr>
                <w:lang w:val="fr-FR"/>
              </w:rPr>
              <w:t>/TRANS/WP.15/23</w:t>
            </w:r>
            <w:r w:rsidR="000422F0">
              <w:rPr>
                <w:lang w:val="fr-FR"/>
              </w:rPr>
              <w:t>5</w:t>
            </w:r>
          </w:p>
        </w:tc>
      </w:tr>
      <w:tr w:rsidR="003D1DF3" w:rsidRPr="00367E6A" w14:paraId="15DC458D" w14:textId="77777777" w:rsidTr="00F01516">
        <w:trPr>
          <w:trHeight w:hRule="exact" w:val="2835"/>
        </w:trPr>
        <w:tc>
          <w:tcPr>
            <w:tcW w:w="1276" w:type="dxa"/>
            <w:tcBorders>
              <w:top w:val="single" w:sz="4" w:space="0" w:color="auto"/>
              <w:bottom w:val="single" w:sz="12" w:space="0" w:color="auto"/>
            </w:tcBorders>
          </w:tcPr>
          <w:p w14:paraId="6457F783" w14:textId="77777777" w:rsidR="003D1DF3" w:rsidRPr="00367E6A" w:rsidRDefault="00367E6A" w:rsidP="00F01516">
            <w:pPr>
              <w:spacing w:before="120"/>
              <w:jc w:val="center"/>
              <w:rPr>
                <w:lang w:val="fr-FR"/>
              </w:rPr>
            </w:pPr>
            <w:r>
              <w:rPr>
                <w:noProof/>
                <w:lang w:val="en-GB" w:eastAsia="en-GB"/>
              </w:rPr>
              <w:drawing>
                <wp:inline distT="0" distB="0" distL="0" distR="0" wp14:anchorId="06BBA6E7" wp14:editId="67FEA77C">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BF5A06" w14:textId="77777777"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14:paraId="50ED4E34" w14:textId="77777777" w:rsidR="003D1DF3" w:rsidRDefault="009864BF" w:rsidP="009864BF">
            <w:pPr>
              <w:spacing w:before="240" w:line="240" w:lineRule="exact"/>
              <w:rPr>
                <w:lang w:val="fr-FR"/>
              </w:rPr>
            </w:pPr>
            <w:r>
              <w:rPr>
                <w:lang w:val="fr-FR"/>
              </w:rPr>
              <w:t>Distr. générale</w:t>
            </w:r>
          </w:p>
          <w:p w14:paraId="3ADDF94F" w14:textId="3DD96234" w:rsidR="009864BF" w:rsidRDefault="003A5484" w:rsidP="009864BF">
            <w:pPr>
              <w:spacing w:line="240" w:lineRule="exact"/>
              <w:rPr>
                <w:lang w:val="fr-FR"/>
              </w:rPr>
            </w:pPr>
            <w:r>
              <w:rPr>
                <w:lang w:val="fr-FR"/>
              </w:rPr>
              <w:t>30</w:t>
            </w:r>
            <w:r w:rsidR="00DF77A2">
              <w:rPr>
                <w:lang w:val="fr-FR"/>
              </w:rPr>
              <w:t xml:space="preserve"> </w:t>
            </w:r>
            <w:r w:rsidR="000422F0">
              <w:rPr>
                <w:lang w:val="fr-FR"/>
              </w:rPr>
              <w:t>novembre</w:t>
            </w:r>
            <w:r w:rsidR="00F11CCC">
              <w:rPr>
                <w:lang w:val="fr-FR"/>
              </w:rPr>
              <w:t xml:space="preserve"> 2016</w:t>
            </w:r>
          </w:p>
          <w:p w14:paraId="70B20C0F" w14:textId="77777777" w:rsidR="004E4695" w:rsidRDefault="004E4695" w:rsidP="009864BF">
            <w:pPr>
              <w:spacing w:line="240" w:lineRule="exact"/>
              <w:rPr>
                <w:lang w:val="fr-FR"/>
              </w:rPr>
            </w:pPr>
            <w:r>
              <w:rPr>
                <w:lang w:val="fr-FR"/>
              </w:rPr>
              <w:t xml:space="preserve">Français </w:t>
            </w:r>
          </w:p>
          <w:p w14:paraId="79859CC6" w14:textId="00764668" w:rsidR="009864BF" w:rsidRPr="00367E6A" w:rsidRDefault="009864BF" w:rsidP="009864BF">
            <w:pPr>
              <w:spacing w:line="240" w:lineRule="exact"/>
              <w:rPr>
                <w:lang w:val="fr-FR"/>
              </w:rPr>
            </w:pPr>
            <w:r>
              <w:rPr>
                <w:lang w:val="fr-FR"/>
              </w:rPr>
              <w:t xml:space="preserve">Original: </w:t>
            </w:r>
            <w:r w:rsidR="008C19CB">
              <w:rPr>
                <w:lang w:val="fr-FR"/>
              </w:rPr>
              <w:t>anglais et français</w:t>
            </w:r>
          </w:p>
        </w:tc>
      </w:tr>
    </w:tbl>
    <w:p w14:paraId="3E65022C" w14:textId="77777777" w:rsidR="00FF1DBD" w:rsidRPr="00367E6A" w:rsidRDefault="000312C0" w:rsidP="000312C0">
      <w:pPr>
        <w:spacing w:before="120"/>
        <w:rPr>
          <w:b/>
          <w:sz w:val="28"/>
          <w:szCs w:val="28"/>
          <w:lang w:val="fr-FR"/>
        </w:rPr>
      </w:pPr>
      <w:r w:rsidRPr="00367E6A">
        <w:rPr>
          <w:b/>
          <w:sz w:val="28"/>
          <w:szCs w:val="28"/>
          <w:lang w:val="fr-FR"/>
        </w:rPr>
        <w:t>Commission économique pour l’Europe</w:t>
      </w:r>
    </w:p>
    <w:p w14:paraId="4411248E" w14:textId="77777777" w:rsidR="00B93E72" w:rsidRPr="00367E6A" w:rsidRDefault="00B93E72" w:rsidP="00B93E72">
      <w:pPr>
        <w:spacing w:before="120"/>
        <w:rPr>
          <w:sz w:val="28"/>
          <w:szCs w:val="28"/>
          <w:lang w:val="fr-FR"/>
        </w:rPr>
      </w:pPr>
      <w:r w:rsidRPr="00367E6A">
        <w:rPr>
          <w:sz w:val="28"/>
          <w:szCs w:val="28"/>
          <w:lang w:val="fr-FR"/>
        </w:rPr>
        <w:t>Comité des transports intérieurs</w:t>
      </w:r>
    </w:p>
    <w:p w14:paraId="60B43BDE" w14:textId="77777777"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14:paraId="7D699D25" w14:textId="77777777" w:rsidR="00A34F4A" w:rsidRPr="00A34F4A" w:rsidRDefault="00A34F4A" w:rsidP="00A34F4A">
      <w:pPr>
        <w:keepNext/>
        <w:keepLines/>
        <w:tabs>
          <w:tab w:val="right" w:pos="851"/>
        </w:tabs>
        <w:spacing w:before="360" w:after="120" w:line="300" w:lineRule="exact"/>
        <w:ind w:left="1134" w:right="1134" w:hanging="1134"/>
        <w:rPr>
          <w:sz w:val="28"/>
          <w:lang w:val="fr-FR"/>
        </w:rPr>
      </w:pPr>
      <w:r w:rsidRPr="00A34F4A">
        <w:rPr>
          <w:b/>
          <w:sz w:val="28"/>
          <w:lang w:val="fr-FR"/>
        </w:rPr>
        <w:tab/>
      </w:r>
      <w:r w:rsidRPr="00A34F4A">
        <w:rPr>
          <w:b/>
          <w:sz w:val="28"/>
          <w:lang w:val="fr-FR"/>
        </w:rPr>
        <w:tab/>
        <w:t xml:space="preserve">Rapport du Groupe de travail sur sa </w:t>
      </w:r>
      <w:r w:rsidR="00F11CCC">
        <w:rPr>
          <w:b/>
          <w:sz w:val="28"/>
          <w:lang w:val="fr-FR"/>
        </w:rPr>
        <w:t>10</w:t>
      </w:r>
      <w:r w:rsidR="000422F0">
        <w:rPr>
          <w:b/>
          <w:sz w:val="28"/>
          <w:lang w:val="fr-FR"/>
        </w:rPr>
        <w:t>1</w:t>
      </w:r>
      <w:r w:rsidR="00F11CCC" w:rsidRPr="00F11CCC">
        <w:rPr>
          <w:b/>
          <w:sz w:val="28"/>
          <w:vertAlign w:val="superscript"/>
          <w:lang w:val="fr-FR"/>
        </w:rPr>
        <w:t>e</w:t>
      </w:r>
      <w:r w:rsidRPr="00A34F4A">
        <w:rPr>
          <w:b/>
          <w:bCs/>
          <w:sz w:val="28"/>
          <w:lang w:val="fr-FR"/>
        </w:rPr>
        <w:t xml:space="preserve"> </w:t>
      </w:r>
      <w:r w:rsidRPr="00A34F4A">
        <w:rPr>
          <w:b/>
          <w:sz w:val="28"/>
          <w:lang w:val="fr-FR"/>
        </w:rPr>
        <w:t>session</w:t>
      </w:r>
    </w:p>
    <w:p w14:paraId="57BE8B0D" w14:textId="77777777" w:rsidR="00A34F4A" w:rsidRPr="00A34F4A" w:rsidRDefault="00A34F4A" w:rsidP="00A34F4A">
      <w:pPr>
        <w:keepNext/>
        <w:keepLines/>
        <w:tabs>
          <w:tab w:val="right" w:pos="851"/>
        </w:tabs>
        <w:spacing w:before="120" w:after="120" w:line="240" w:lineRule="exact"/>
        <w:ind w:left="1134" w:right="1134" w:hanging="1134"/>
      </w:pPr>
      <w:r w:rsidRPr="00A34F4A">
        <w:rPr>
          <w:lang w:val="fr-FR"/>
        </w:rPr>
        <w:tab/>
      </w:r>
      <w:r w:rsidRPr="00A34F4A">
        <w:rPr>
          <w:lang w:val="fr-FR"/>
        </w:rPr>
        <w:tab/>
        <w:t xml:space="preserve">tenue à Genève du </w:t>
      </w:r>
      <w:r w:rsidR="000422F0">
        <w:rPr>
          <w:lang w:val="fr-FR"/>
        </w:rPr>
        <w:t>8</w:t>
      </w:r>
      <w:r w:rsidR="00F11CCC">
        <w:rPr>
          <w:lang w:val="fr-FR"/>
        </w:rPr>
        <w:t xml:space="preserve"> au 1</w:t>
      </w:r>
      <w:r w:rsidR="000422F0">
        <w:rPr>
          <w:lang w:val="fr-FR"/>
        </w:rPr>
        <w:t>0</w:t>
      </w:r>
      <w:r w:rsidR="00F11CCC">
        <w:rPr>
          <w:lang w:val="fr-FR"/>
        </w:rPr>
        <w:t xml:space="preserve"> </w:t>
      </w:r>
      <w:r w:rsidR="000422F0">
        <w:rPr>
          <w:lang w:val="fr-FR"/>
        </w:rPr>
        <w:t>novembre</w:t>
      </w:r>
      <w:r w:rsidR="00F11CCC">
        <w:rPr>
          <w:lang w:val="fr-FR"/>
        </w:rPr>
        <w:t xml:space="preserve"> 2016</w:t>
      </w:r>
    </w:p>
    <w:p w14:paraId="43E9603E" w14:textId="77777777" w:rsidR="00445F6D" w:rsidRPr="008F27A7" w:rsidRDefault="00445F6D" w:rsidP="00445F6D">
      <w:pPr>
        <w:spacing w:after="120"/>
        <w:rPr>
          <w:sz w:val="28"/>
          <w:lang w:val="fr-FR"/>
        </w:rPr>
      </w:pPr>
      <w:r w:rsidRPr="008F27A7">
        <w:rPr>
          <w:sz w:val="28"/>
          <w:lang w:val="fr-FR"/>
        </w:rPr>
        <w:t>Table des matières</w:t>
      </w:r>
    </w:p>
    <w:p w14:paraId="6B1E014A" w14:textId="77777777" w:rsidR="00445F6D" w:rsidRPr="008F27A7" w:rsidRDefault="00445F6D" w:rsidP="00445F6D">
      <w:pPr>
        <w:tabs>
          <w:tab w:val="right" w:pos="8929"/>
          <w:tab w:val="right" w:pos="9638"/>
        </w:tabs>
        <w:spacing w:after="120"/>
        <w:ind w:left="283"/>
        <w:rPr>
          <w:lang w:val="fr-FR"/>
        </w:rPr>
      </w:pPr>
      <w:r w:rsidRPr="008F27A7">
        <w:rPr>
          <w:i/>
          <w:sz w:val="18"/>
          <w:lang w:val="fr-FR"/>
        </w:rPr>
        <w:tab/>
        <w:t>Paragraphes</w:t>
      </w:r>
      <w:r w:rsidRPr="008F27A7">
        <w:rPr>
          <w:i/>
          <w:sz w:val="18"/>
          <w:lang w:val="fr-FR"/>
        </w:rPr>
        <w:tab/>
        <w:t>Page</w:t>
      </w:r>
    </w:p>
    <w:p w14:paraId="79245AC2" w14:textId="1F8D480A" w:rsidR="00445F6D" w:rsidRDefault="00445F6D" w:rsidP="00445F6D">
      <w:pPr>
        <w:tabs>
          <w:tab w:val="right" w:pos="850"/>
          <w:tab w:val="left" w:pos="1190"/>
          <w:tab w:val="left" w:pos="1559"/>
          <w:tab w:val="left" w:pos="1984"/>
          <w:tab w:val="left" w:leader="dot" w:pos="7654"/>
          <w:tab w:val="right" w:pos="8929"/>
          <w:tab w:val="right" w:pos="9638"/>
        </w:tabs>
        <w:spacing w:after="120"/>
      </w:pPr>
      <w:r w:rsidRPr="008F27A7">
        <w:tab/>
        <w:t>I.</w:t>
      </w:r>
      <w:r w:rsidRPr="008F27A7">
        <w:tab/>
        <w:t>Participation</w:t>
      </w:r>
      <w:r w:rsidRPr="008F27A7">
        <w:tab/>
      </w:r>
      <w:r w:rsidRPr="008F27A7">
        <w:tab/>
        <w:t>1-</w:t>
      </w:r>
      <w:r w:rsidR="008F27A7">
        <w:t>6</w:t>
      </w:r>
      <w:r w:rsidRPr="008F27A7">
        <w:tab/>
      </w:r>
      <w:r w:rsidR="00A3503B" w:rsidRPr="008F27A7">
        <w:t>3</w:t>
      </w:r>
    </w:p>
    <w:p w14:paraId="0A115A83" w14:textId="35A982A7" w:rsidR="008F27A7" w:rsidRDefault="008F27A7" w:rsidP="00445F6D">
      <w:pPr>
        <w:tabs>
          <w:tab w:val="right" w:pos="850"/>
          <w:tab w:val="left" w:pos="1190"/>
          <w:tab w:val="left" w:pos="1559"/>
          <w:tab w:val="left" w:pos="1984"/>
          <w:tab w:val="left" w:leader="dot" w:pos="7654"/>
          <w:tab w:val="right" w:pos="8929"/>
          <w:tab w:val="right" w:pos="9638"/>
        </w:tabs>
        <w:spacing w:after="120"/>
      </w:pPr>
      <w:r>
        <w:tab/>
        <w:t>II.</w:t>
      </w:r>
      <w:r>
        <w:tab/>
      </w:r>
      <w:r w:rsidRPr="00C71525">
        <w:t>Adoption de l</w:t>
      </w:r>
      <w:r>
        <w:t>’</w:t>
      </w:r>
      <w:r w:rsidRPr="00C71525">
        <w:t>ordre du jour (point 1 de l</w:t>
      </w:r>
      <w:r>
        <w:t>’</w:t>
      </w:r>
      <w:r w:rsidRPr="00C71525">
        <w:t>o</w:t>
      </w:r>
      <w:r>
        <w:t>rdre du jour)</w:t>
      </w:r>
      <w:r>
        <w:tab/>
      </w:r>
      <w:r>
        <w:tab/>
        <w:t>7</w:t>
      </w:r>
      <w:r>
        <w:tab/>
        <w:t>3</w:t>
      </w:r>
    </w:p>
    <w:p w14:paraId="39FCE352" w14:textId="716B8968" w:rsidR="008F27A7" w:rsidRDefault="008F27A7" w:rsidP="00445F6D">
      <w:pPr>
        <w:tabs>
          <w:tab w:val="right" w:pos="850"/>
          <w:tab w:val="left" w:pos="1190"/>
          <w:tab w:val="left" w:pos="1559"/>
          <w:tab w:val="left" w:pos="1984"/>
          <w:tab w:val="left" w:leader="dot" w:pos="7654"/>
          <w:tab w:val="right" w:pos="8929"/>
          <w:tab w:val="right" w:pos="9638"/>
        </w:tabs>
        <w:spacing w:after="120"/>
      </w:pPr>
      <w:r>
        <w:tab/>
        <w:t>III.</w:t>
      </w:r>
      <w:r>
        <w:tab/>
      </w:r>
      <w:r w:rsidRPr="005B2C1D">
        <w:t>Soixante-</w:t>
      </w:r>
      <w:r>
        <w:t>dix-huit</w:t>
      </w:r>
      <w:r w:rsidR="00593C23">
        <w:t>i</w:t>
      </w:r>
      <w:bookmarkStart w:id="0" w:name="_GoBack"/>
      <w:bookmarkEnd w:id="0"/>
      <w:r>
        <w:t>ème</w:t>
      </w:r>
      <w:r w:rsidRPr="005B2C1D">
        <w:t xml:space="preserve"> session du Comité des transports intérieurs </w:t>
      </w:r>
      <w:r>
        <w:br/>
      </w:r>
      <w:r>
        <w:tab/>
      </w:r>
      <w:r>
        <w:tab/>
      </w:r>
      <w:r w:rsidRPr="005B2C1D">
        <w:t>(point 2 de l</w:t>
      </w:r>
      <w:r>
        <w:t>’</w:t>
      </w:r>
      <w:r w:rsidRPr="005B2C1D">
        <w:t>ordre du jour)</w:t>
      </w:r>
      <w:r>
        <w:tab/>
      </w:r>
      <w:r>
        <w:tab/>
        <w:t>8-11</w:t>
      </w:r>
      <w:r>
        <w:tab/>
        <w:t>3</w:t>
      </w:r>
    </w:p>
    <w:p w14:paraId="52CA6A18" w14:textId="500CF4BF" w:rsidR="008F27A7" w:rsidRDefault="008F27A7" w:rsidP="00445F6D">
      <w:pPr>
        <w:tabs>
          <w:tab w:val="right" w:pos="850"/>
          <w:tab w:val="left" w:pos="1190"/>
          <w:tab w:val="left" w:pos="1559"/>
          <w:tab w:val="left" w:pos="1984"/>
          <w:tab w:val="left" w:leader="dot" w:pos="7654"/>
          <w:tab w:val="right" w:pos="8929"/>
          <w:tab w:val="right" w:pos="9638"/>
        </w:tabs>
        <w:spacing w:after="120"/>
      </w:pPr>
      <w:r>
        <w:tab/>
        <w:t>IV.</w:t>
      </w:r>
      <w:r>
        <w:tab/>
      </w:r>
      <w:r w:rsidRPr="005B2C1D">
        <w:t>État de l</w:t>
      </w:r>
      <w:r>
        <w:t>’</w:t>
      </w:r>
      <w:r w:rsidRPr="005B2C1D">
        <w:t xml:space="preserve">Accord européen relatif au transport international des </w:t>
      </w:r>
      <w:r>
        <w:br/>
      </w:r>
      <w:r>
        <w:tab/>
      </w:r>
      <w:r>
        <w:tab/>
      </w:r>
      <w:r w:rsidRPr="005B2C1D">
        <w:t xml:space="preserve">marchandises dangereuses par route (ADR) et questions connexes </w:t>
      </w:r>
      <w:r>
        <w:br/>
      </w:r>
      <w:r>
        <w:tab/>
      </w:r>
      <w:r>
        <w:tab/>
      </w:r>
      <w:r w:rsidRPr="005B2C1D">
        <w:t>(point 3 de l</w:t>
      </w:r>
      <w:r>
        <w:t>’</w:t>
      </w:r>
      <w:r w:rsidRPr="005B2C1D">
        <w:t>ordre du jour)</w:t>
      </w:r>
      <w:r>
        <w:tab/>
      </w:r>
      <w:r>
        <w:tab/>
        <w:t>12-14</w:t>
      </w:r>
      <w:r>
        <w:tab/>
      </w:r>
      <w:r w:rsidR="000F13BD">
        <w:t>4</w:t>
      </w:r>
    </w:p>
    <w:p w14:paraId="41EDC682" w14:textId="08CAF061"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rsidRPr="00D05A1D">
        <w:t>État de l’Accord</w:t>
      </w:r>
      <w:r w:rsidRPr="00AF7A57">
        <w:rPr>
          <w:lang w:val="fr-FR"/>
        </w:rPr>
        <w:tab/>
      </w:r>
      <w:r w:rsidRPr="00AF7A57">
        <w:rPr>
          <w:lang w:val="fr-FR"/>
        </w:rPr>
        <w:tab/>
      </w:r>
      <w:r>
        <w:rPr>
          <w:lang w:val="fr-FR"/>
        </w:rPr>
        <w:t>12-13</w:t>
      </w:r>
      <w:r w:rsidRPr="001B507C">
        <w:rPr>
          <w:lang w:val="fr-FR"/>
        </w:rPr>
        <w:tab/>
      </w:r>
      <w:r>
        <w:rPr>
          <w:lang w:val="fr-FR"/>
        </w:rPr>
        <w:t>4</w:t>
      </w:r>
    </w:p>
    <w:p w14:paraId="6C746A77" w14:textId="213928B7"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B.</w:t>
      </w:r>
      <w:r>
        <w:rPr>
          <w:lang w:val="fr-FR"/>
        </w:rPr>
        <w:tab/>
      </w:r>
      <w:r w:rsidRPr="00466F75">
        <w:rPr>
          <w:lang w:val="fr-FR"/>
        </w:rPr>
        <w:t>Protocole d’amendement de 1993</w:t>
      </w:r>
      <w:r>
        <w:rPr>
          <w:lang w:val="fr-FR"/>
        </w:rPr>
        <w:tab/>
      </w:r>
      <w:r>
        <w:rPr>
          <w:lang w:val="fr-FR"/>
        </w:rPr>
        <w:tab/>
        <w:t>14</w:t>
      </w:r>
      <w:r>
        <w:rPr>
          <w:lang w:val="fr-FR"/>
        </w:rPr>
        <w:tab/>
        <w:t>4</w:t>
      </w:r>
    </w:p>
    <w:p w14:paraId="03DF1BC6" w14:textId="65AF0002"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rPr>
          <w:lang w:val="fr-FR"/>
        </w:rPr>
        <w:tab/>
        <w:t>V.</w:t>
      </w:r>
      <w:r>
        <w:rPr>
          <w:lang w:val="fr-FR"/>
        </w:rPr>
        <w:tab/>
      </w:r>
      <w:r w:rsidRPr="005B2C1D">
        <w:t>Travaux de la Réunion commune RID/A</w:t>
      </w:r>
      <w:r>
        <w:t>DR/ADN</w:t>
      </w:r>
      <w:r w:rsidR="0064698A">
        <w:t xml:space="preserve"> </w:t>
      </w:r>
      <w:r w:rsidRPr="005B2C1D">
        <w:t xml:space="preserve">(point </w:t>
      </w:r>
      <w:r>
        <w:t>4</w:t>
      </w:r>
      <w:r w:rsidRPr="005B2C1D">
        <w:t xml:space="preserve"> de l</w:t>
      </w:r>
      <w:r>
        <w:t>’</w:t>
      </w:r>
      <w:r w:rsidRPr="005B2C1D">
        <w:t>ordre du jour)</w:t>
      </w:r>
      <w:r>
        <w:tab/>
      </w:r>
      <w:r>
        <w:tab/>
      </w:r>
      <w:r w:rsidR="000F13BD">
        <w:t>15-17</w:t>
      </w:r>
      <w:r w:rsidR="000F13BD">
        <w:tab/>
        <w:t>4</w:t>
      </w:r>
    </w:p>
    <w:p w14:paraId="1AD29C46" w14:textId="4FDFEABA"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r>
      <w:r w:rsidRPr="003659AC">
        <w:t>Amendements proposés par l</w:t>
      </w:r>
      <w:r>
        <w:t xml:space="preserve">a Réunion commune à sa session </w:t>
      </w:r>
      <w:r>
        <w:br/>
      </w:r>
      <w:r w:rsidRPr="003659AC">
        <w:t xml:space="preserve">de printemps </w:t>
      </w:r>
      <w:r>
        <w:t>2016</w:t>
      </w:r>
      <w:r>
        <w:tab/>
      </w:r>
      <w:r>
        <w:tab/>
        <w:t>15</w:t>
      </w:r>
      <w:r>
        <w:tab/>
      </w:r>
      <w:r w:rsidR="000F13BD">
        <w:t>4</w:t>
      </w:r>
    </w:p>
    <w:p w14:paraId="3BD8CCBB" w14:textId="0BAA72FE"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Corrections</w:t>
      </w:r>
      <w:r w:rsidRPr="003659AC">
        <w:t xml:space="preserve"> proposés par l</w:t>
      </w:r>
      <w:r>
        <w:t>a Réunion commune à sa session</w:t>
      </w:r>
      <w:r>
        <w:br/>
        <w:t>d’automne</w:t>
      </w:r>
      <w:r w:rsidRPr="003659AC">
        <w:t xml:space="preserve"> </w:t>
      </w:r>
      <w:r>
        <w:t>2016</w:t>
      </w:r>
      <w:r>
        <w:tab/>
      </w:r>
      <w:r>
        <w:tab/>
        <w:t>16-17</w:t>
      </w:r>
      <w:r>
        <w:tab/>
      </w:r>
      <w:r w:rsidR="000F13BD">
        <w:t>4</w:t>
      </w:r>
    </w:p>
    <w:p w14:paraId="2D4B4B1A" w14:textId="09745900"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t>VI.</w:t>
      </w:r>
      <w:r>
        <w:tab/>
      </w:r>
      <w:r w:rsidRPr="00EF51C7">
        <w:rPr>
          <w:lang w:val="fr-FR"/>
        </w:rPr>
        <w:t>Propositions d'amendement aux annexes A et B de l'ADR</w:t>
      </w:r>
      <w:r>
        <w:rPr>
          <w:lang w:val="fr-FR"/>
        </w:rPr>
        <w:t xml:space="preserve"> </w:t>
      </w:r>
      <w:r w:rsidRPr="005B2C1D">
        <w:t xml:space="preserve">(point </w:t>
      </w:r>
      <w:r>
        <w:t>5</w:t>
      </w:r>
      <w:r w:rsidRPr="005B2C1D">
        <w:t xml:space="preserve"> de l</w:t>
      </w:r>
      <w:r>
        <w:t>’</w:t>
      </w:r>
      <w:r w:rsidRPr="005B2C1D">
        <w:t>ordre du jour)</w:t>
      </w:r>
      <w:r>
        <w:tab/>
        <w:t>18-36</w:t>
      </w:r>
      <w:r>
        <w:tab/>
      </w:r>
      <w:r w:rsidR="000F13BD">
        <w:t>5</w:t>
      </w:r>
    </w:p>
    <w:p w14:paraId="6915EEAE" w14:textId="250A41FB"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t>A.</w:t>
      </w:r>
      <w:r>
        <w:tab/>
      </w:r>
      <w:r w:rsidRPr="00EF51C7">
        <w:rPr>
          <w:lang w:val="fr-FR"/>
        </w:rPr>
        <w:t>Construction et agrément des véhicules</w:t>
      </w:r>
      <w:r>
        <w:rPr>
          <w:lang w:val="fr-FR"/>
        </w:rPr>
        <w:tab/>
      </w:r>
      <w:r>
        <w:rPr>
          <w:lang w:val="fr-FR"/>
        </w:rPr>
        <w:tab/>
        <w:t>18-23</w:t>
      </w:r>
      <w:r>
        <w:rPr>
          <w:lang w:val="fr-FR"/>
        </w:rPr>
        <w:tab/>
      </w:r>
      <w:r w:rsidR="000F13BD">
        <w:rPr>
          <w:lang w:val="fr-FR"/>
        </w:rPr>
        <w:t>5</w:t>
      </w:r>
    </w:p>
    <w:p w14:paraId="227E7347" w14:textId="15920D82"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rPr>
          <w:lang w:val="fr-FR"/>
        </w:rPr>
        <w:tab/>
      </w:r>
      <w:r>
        <w:rPr>
          <w:lang w:val="fr-FR"/>
        </w:rPr>
        <w:tab/>
      </w:r>
      <w:r>
        <w:rPr>
          <w:lang w:val="fr-FR"/>
        </w:rPr>
        <w:tab/>
        <w:t>1.</w:t>
      </w:r>
      <w:r>
        <w:rPr>
          <w:lang w:val="fr-FR"/>
        </w:rPr>
        <w:tab/>
      </w:r>
      <w:r w:rsidRPr="004919D7">
        <w:t>Modification du tableau du 9.2.1.1</w:t>
      </w:r>
      <w:r>
        <w:tab/>
      </w:r>
      <w:r>
        <w:tab/>
        <w:t>18-20</w:t>
      </w:r>
      <w:r>
        <w:tab/>
      </w:r>
      <w:r w:rsidR="000F13BD">
        <w:t>5</w:t>
      </w:r>
    </w:p>
    <w:p w14:paraId="19DCF194" w14:textId="1F1CE71B"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r>
      <w:r>
        <w:tab/>
        <w:t>2.</w:t>
      </w:r>
      <w:r>
        <w:tab/>
        <w:t>Prescriptions relatives aux moyens de fixation</w:t>
      </w:r>
      <w:r>
        <w:tab/>
      </w:r>
      <w:r>
        <w:tab/>
        <w:t>21</w:t>
      </w:r>
      <w:r>
        <w:tab/>
      </w:r>
      <w:r w:rsidR="000F13BD">
        <w:t>5</w:t>
      </w:r>
    </w:p>
    <w:p w14:paraId="23676C2A" w14:textId="32DAB719"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r>
      <w:r>
        <w:tab/>
        <w:t>3.</w:t>
      </w:r>
      <w:r>
        <w:tab/>
        <w:t xml:space="preserve">Correction d’une erreur typographique dans la version anglaise </w:t>
      </w:r>
      <w:r>
        <w:br/>
      </w:r>
      <w:r>
        <w:tab/>
        <w:t>du tableau du 9.2.1.1</w:t>
      </w:r>
      <w:r>
        <w:tab/>
      </w:r>
      <w:r>
        <w:tab/>
        <w:t>22</w:t>
      </w:r>
      <w:r>
        <w:tab/>
      </w:r>
      <w:r w:rsidR="000F13BD">
        <w:t>5</w:t>
      </w:r>
    </w:p>
    <w:p w14:paraId="33A94708" w14:textId="0BAF0E15"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r>
      <w:r>
        <w:tab/>
        <w:t>4.</w:t>
      </w:r>
      <w:r>
        <w:tab/>
        <w:t xml:space="preserve">Mention à porter sur le certificat d’homologation des véhicules EX/III </w:t>
      </w:r>
      <w:r>
        <w:br/>
      </w:r>
      <w:r>
        <w:tab/>
        <w:t>destinés au transport en citerne de matières de la classe 1</w:t>
      </w:r>
      <w:r>
        <w:tab/>
      </w:r>
      <w:r>
        <w:tab/>
        <w:t>23</w:t>
      </w:r>
      <w:r>
        <w:tab/>
      </w:r>
      <w:r w:rsidR="000F13BD">
        <w:t>5</w:t>
      </w:r>
    </w:p>
    <w:p w14:paraId="7BBB88CB" w14:textId="55BBE07E"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lastRenderedPageBreak/>
        <w:tab/>
      </w:r>
      <w:r>
        <w:tab/>
        <w:t>B.</w:t>
      </w:r>
      <w:r>
        <w:tab/>
      </w:r>
      <w:r w:rsidRPr="00EF51C7">
        <w:rPr>
          <w:lang w:val="fr-FR"/>
        </w:rPr>
        <w:t>Propositions diverses</w:t>
      </w:r>
      <w:r>
        <w:rPr>
          <w:lang w:val="fr-FR"/>
        </w:rPr>
        <w:tab/>
      </w:r>
      <w:r>
        <w:rPr>
          <w:lang w:val="fr-FR"/>
        </w:rPr>
        <w:tab/>
        <w:t>24-36</w:t>
      </w:r>
      <w:r>
        <w:rPr>
          <w:lang w:val="fr-FR"/>
        </w:rPr>
        <w:tab/>
      </w:r>
      <w:r w:rsidR="000F13BD">
        <w:rPr>
          <w:lang w:val="fr-FR"/>
        </w:rPr>
        <w:t>6</w:t>
      </w:r>
    </w:p>
    <w:p w14:paraId="3FF13CB2" w14:textId="23A029B3"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t>1.</w:t>
      </w:r>
      <w:r>
        <w:rPr>
          <w:lang w:val="fr-FR"/>
        </w:rPr>
        <w:tab/>
        <w:t>Proposition de modification des 1.1.3.6 et 5.4.1.1.1 f)</w:t>
      </w:r>
      <w:r>
        <w:rPr>
          <w:lang w:val="fr-FR"/>
        </w:rPr>
        <w:tab/>
      </w:r>
      <w:r>
        <w:rPr>
          <w:lang w:val="fr-FR"/>
        </w:rPr>
        <w:tab/>
        <w:t>24</w:t>
      </w:r>
      <w:r>
        <w:rPr>
          <w:lang w:val="fr-FR"/>
        </w:rPr>
        <w:tab/>
      </w:r>
      <w:r w:rsidR="000F13BD">
        <w:rPr>
          <w:lang w:val="fr-FR"/>
        </w:rPr>
        <w:t>6</w:t>
      </w:r>
    </w:p>
    <w:p w14:paraId="7BF633FE" w14:textId="531856A0"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rPr>
          <w:lang w:val="fr-FR"/>
        </w:rPr>
        <w:tab/>
      </w:r>
      <w:r>
        <w:rPr>
          <w:lang w:val="fr-FR"/>
        </w:rPr>
        <w:tab/>
      </w:r>
      <w:r>
        <w:rPr>
          <w:lang w:val="fr-FR"/>
        </w:rPr>
        <w:tab/>
        <w:t>2.</w:t>
      </w:r>
      <w:r>
        <w:rPr>
          <w:lang w:val="fr-FR"/>
        </w:rPr>
        <w:tab/>
      </w:r>
      <w:r>
        <w:t xml:space="preserve">Chargement en commun sur des MEMU des émulsions </w:t>
      </w:r>
      <w:r w:rsidR="0064698A">
        <w:br/>
      </w:r>
      <w:r w:rsidR="0064698A">
        <w:tab/>
      </w:r>
      <w:r>
        <w:t>de nitrates</w:t>
      </w:r>
      <w:r w:rsidR="0064698A">
        <w:t xml:space="preserve"> </w:t>
      </w:r>
      <w:r>
        <w:t>d’ammonium du No ONU 3375 avec des explosifs</w:t>
      </w:r>
      <w:r w:rsidR="0064698A">
        <w:br/>
      </w:r>
      <w:r w:rsidR="0064698A">
        <w:tab/>
      </w:r>
      <w:r>
        <w:t>de mine - 7.5.5.2.3 f)</w:t>
      </w:r>
      <w:r>
        <w:tab/>
      </w:r>
      <w:r w:rsidR="0064698A">
        <w:tab/>
      </w:r>
      <w:r>
        <w:t>25</w:t>
      </w:r>
      <w:r>
        <w:tab/>
      </w:r>
      <w:r w:rsidR="000F13BD">
        <w:t>6</w:t>
      </w:r>
    </w:p>
    <w:p w14:paraId="7AD88951" w14:textId="1439CA2A"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r>
      <w:r>
        <w:tab/>
        <w:t>3.</w:t>
      </w:r>
      <w:r>
        <w:tab/>
      </w:r>
      <w:r w:rsidRPr="00592C10">
        <w:rPr>
          <w:lang w:val="fr-FR"/>
        </w:rPr>
        <w:t xml:space="preserve">Extension du champ d’application des prescriptions des </w:t>
      </w:r>
      <w:r w:rsidR="0064698A">
        <w:rPr>
          <w:lang w:val="fr-FR"/>
        </w:rPr>
        <w:br/>
      </w:r>
      <w:r w:rsidR="0064698A">
        <w:rPr>
          <w:lang w:val="fr-FR"/>
        </w:rPr>
        <w:tab/>
      </w:r>
      <w:r w:rsidRPr="00592C10">
        <w:rPr>
          <w:lang w:val="fr-FR"/>
        </w:rPr>
        <w:t>7.5.1.1 et 7.5.1.2 de l’ADR aux membres d’équipage</w:t>
      </w:r>
      <w:r>
        <w:rPr>
          <w:lang w:val="fr-FR"/>
        </w:rPr>
        <w:tab/>
      </w:r>
      <w:r>
        <w:rPr>
          <w:lang w:val="fr-FR"/>
        </w:rPr>
        <w:tab/>
        <w:t>26</w:t>
      </w:r>
      <w:r>
        <w:rPr>
          <w:lang w:val="fr-FR"/>
        </w:rPr>
        <w:tab/>
      </w:r>
      <w:r w:rsidR="000F13BD">
        <w:rPr>
          <w:lang w:val="fr-FR"/>
        </w:rPr>
        <w:t>6</w:t>
      </w:r>
    </w:p>
    <w:p w14:paraId="3D39A783" w14:textId="659C459C"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rPr>
          <w:lang w:val="fr-FR"/>
        </w:rPr>
        <w:tab/>
      </w:r>
      <w:r>
        <w:rPr>
          <w:lang w:val="fr-FR"/>
        </w:rPr>
        <w:tab/>
      </w:r>
      <w:r>
        <w:rPr>
          <w:lang w:val="fr-FR"/>
        </w:rPr>
        <w:tab/>
        <w:t>4.</w:t>
      </w:r>
      <w:r>
        <w:rPr>
          <w:lang w:val="fr-FR"/>
        </w:rPr>
        <w:tab/>
      </w:r>
      <w:r w:rsidRPr="00F95CD4">
        <w:t>Référence au Code de bonnes pratiques OMI/OIT/CEE-ONU</w:t>
      </w:r>
      <w:r>
        <w:t xml:space="preserve"> </w:t>
      </w:r>
      <w:r w:rsidR="00CC51EB">
        <w:br/>
      </w:r>
      <w:r w:rsidR="00CC51EB">
        <w:tab/>
      </w:r>
      <w:r w:rsidRPr="00F95CD4">
        <w:t>pour</w:t>
      </w:r>
      <w:r w:rsidR="00CC51EB">
        <w:t xml:space="preserve"> </w:t>
      </w:r>
      <w:r w:rsidRPr="00F95CD4">
        <w:t>le chargement</w:t>
      </w:r>
      <w:r>
        <w:t xml:space="preserve"> des cargaisons dans des engins </w:t>
      </w:r>
      <w:r w:rsidRPr="00F95CD4">
        <w:t>de transport</w:t>
      </w:r>
      <w:r>
        <w:t xml:space="preserve"> </w:t>
      </w:r>
      <w:r w:rsidR="00CC51EB">
        <w:br/>
      </w:r>
      <w:r w:rsidR="00CC51EB">
        <w:tab/>
      </w:r>
      <w:r>
        <w:t>(Code CTU)</w:t>
      </w:r>
      <w:r>
        <w:tab/>
      </w:r>
      <w:r w:rsidR="00CC51EB">
        <w:tab/>
      </w:r>
      <w:r>
        <w:t>27</w:t>
      </w:r>
      <w:r>
        <w:tab/>
      </w:r>
      <w:r w:rsidR="000F13BD">
        <w:t>6</w:t>
      </w:r>
    </w:p>
    <w:p w14:paraId="08334884" w14:textId="79652E3E"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r>
      <w:r>
        <w:tab/>
        <w:t>5.</w:t>
      </w:r>
      <w:r>
        <w:tab/>
        <w:t>Correction à la version française</w:t>
      </w:r>
      <w:r>
        <w:tab/>
      </w:r>
      <w:r>
        <w:tab/>
        <w:t>28</w:t>
      </w:r>
      <w:r>
        <w:tab/>
      </w:r>
      <w:r w:rsidR="000F13BD">
        <w:t>6</w:t>
      </w:r>
    </w:p>
    <w:p w14:paraId="4EBB1362" w14:textId="39ABF3C4"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r>
      <w:r>
        <w:tab/>
        <w:t>6.</w:t>
      </w:r>
      <w:r>
        <w:tab/>
        <w:t>Titre du 7.5.5.3</w:t>
      </w:r>
      <w:r>
        <w:tab/>
      </w:r>
      <w:r>
        <w:tab/>
        <w:t>29-30</w:t>
      </w:r>
      <w:r>
        <w:tab/>
      </w:r>
      <w:r w:rsidR="000F13BD">
        <w:t>6</w:t>
      </w:r>
    </w:p>
    <w:p w14:paraId="4392DCB8" w14:textId="14B367C5"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r>
      <w:r>
        <w:tab/>
        <w:t>7.</w:t>
      </w:r>
      <w:r>
        <w:tab/>
        <w:t>Disposition spéciale 636</w:t>
      </w:r>
      <w:r>
        <w:tab/>
      </w:r>
      <w:r>
        <w:tab/>
        <w:t>31-34</w:t>
      </w:r>
      <w:r>
        <w:tab/>
      </w:r>
      <w:r w:rsidR="000F13BD">
        <w:t>7</w:t>
      </w:r>
    </w:p>
    <w:p w14:paraId="04878912" w14:textId="1163C57F"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r>
      <w:r>
        <w:tab/>
      </w:r>
      <w:r>
        <w:tab/>
        <w:t>8.</w:t>
      </w:r>
      <w:r>
        <w:tab/>
        <w:t>Q</w:t>
      </w:r>
      <w:r w:rsidRPr="0092400A">
        <w:t xml:space="preserve">uantité maximale de matière explosible autorisée par </w:t>
      </w:r>
      <w:r w:rsidR="00CC51EB">
        <w:br/>
      </w:r>
      <w:r w:rsidR="00CC51EB">
        <w:tab/>
      </w:r>
      <w:r w:rsidRPr="0092400A">
        <w:t>unité de transport</w:t>
      </w:r>
      <w:r>
        <w:tab/>
      </w:r>
      <w:r w:rsidR="00CC51EB">
        <w:tab/>
      </w:r>
      <w:r>
        <w:t>35-36</w:t>
      </w:r>
      <w:r>
        <w:tab/>
      </w:r>
      <w:r w:rsidR="000F13BD">
        <w:t>7</w:t>
      </w:r>
    </w:p>
    <w:p w14:paraId="40B4AB57" w14:textId="4A632FEF" w:rsidR="008F27A7" w:rsidRDefault="008F27A7" w:rsidP="008F27A7">
      <w:pPr>
        <w:tabs>
          <w:tab w:val="right" w:pos="850"/>
          <w:tab w:val="left" w:pos="1134"/>
          <w:tab w:val="left" w:pos="1559"/>
          <w:tab w:val="left" w:pos="1984"/>
          <w:tab w:val="left" w:leader="dot" w:pos="7654"/>
          <w:tab w:val="right" w:pos="8929"/>
          <w:tab w:val="right" w:pos="9638"/>
        </w:tabs>
        <w:spacing w:after="120"/>
        <w:ind w:left="1559" w:hanging="1559"/>
      </w:pPr>
      <w:r>
        <w:tab/>
        <w:t>VII.</w:t>
      </w:r>
      <w:r>
        <w:tab/>
      </w:r>
      <w:r w:rsidRPr="00787CF7">
        <w:rPr>
          <w:lang w:val="fr-FR"/>
        </w:rPr>
        <w:t>Interprétation de l’ADR</w:t>
      </w:r>
      <w:r>
        <w:rPr>
          <w:lang w:val="fr-FR"/>
        </w:rPr>
        <w:t xml:space="preserve"> </w:t>
      </w:r>
      <w:r w:rsidRPr="005B2C1D">
        <w:t xml:space="preserve">(point </w:t>
      </w:r>
      <w:r>
        <w:t>6</w:t>
      </w:r>
      <w:r w:rsidRPr="005B2C1D">
        <w:t xml:space="preserve"> de l</w:t>
      </w:r>
      <w:r>
        <w:t>’</w:t>
      </w:r>
      <w:r w:rsidRPr="005B2C1D">
        <w:t>ordre du jour)</w:t>
      </w:r>
      <w:r>
        <w:tab/>
      </w:r>
      <w:r>
        <w:tab/>
      </w:r>
      <w:r w:rsidR="00653C15">
        <w:t>37-52</w:t>
      </w:r>
      <w:r w:rsidR="00653C15">
        <w:tab/>
      </w:r>
      <w:r w:rsidR="000F13BD">
        <w:t>7</w:t>
      </w:r>
    </w:p>
    <w:p w14:paraId="33124A24" w14:textId="5A32D21E"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Entrée en vigueur d’une loi polonaise pour la mention du propriétaire </w:t>
      </w:r>
      <w:r>
        <w:br/>
        <w:t>de la marchandise dangereuse dans le document de transport</w:t>
      </w:r>
      <w:r>
        <w:tab/>
      </w:r>
      <w:r>
        <w:tab/>
        <w:t>37-43</w:t>
      </w:r>
      <w:r>
        <w:tab/>
      </w:r>
      <w:r w:rsidR="000F13BD">
        <w:t>7</w:t>
      </w:r>
    </w:p>
    <w:p w14:paraId="7781D436" w14:textId="6AB3B11F"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r>
      <w:r>
        <w:rPr>
          <w:lang w:val="fr-FR"/>
        </w:rPr>
        <w:t xml:space="preserve">Interprétation de la section </w:t>
      </w:r>
      <w:r>
        <w:rPr>
          <w:lang w:val="ru-RU"/>
        </w:rPr>
        <w:t>9.2.5</w:t>
      </w:r>
      <w:r>
        <w:tab/>
      </w:r>
      <w:r>
        <w:tab/>
        <w:t>44-45</w:t>
      </w:r>
      <w:r>
        <w:tab/>
      </w:r>
      <w:r w:rsidR="000F13BD">
        <w:t>8</w:t>
      </w:r>
    </w:p>
    <w:p w14:paraId="33018ADA" w14:textId="1863DF65"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t>C.</w:t>
      </w:r>
      <w:r>
        <w:tab/>
      </w:r>
      <w:r>
        <w:rPr>
          <w:lang w:val="fr-FR"/>
        </w:rPr>
        <w:t>Champ d’application de la disposition spéciale 601</w:t>
      </w:r>
      <w:r>
        <w:rPr>
          <w:lang w:val="fr-FR"/>
        </w:rPr>
        <w:tab/>
      </w:r>
      <w:r>
        <w:rPr>
          <w:lang w:val="fr-FR"/>
        </w:rPr>
        <w:tab/>
        <w:t>46</w:t>
      </w:r>
      <w:r>
        <w:rPr>
          <w:lang w:val="fr-FR"/>
        </w:rPr>
        <w:tab/>
      </w:r>
      <w:r w:rsidR="004633A8">
        <w:rPr>
          <w:lang w:val="fr-FR"/>
        </w:rPr>
        <w:t>9</w:t>
      </w:r>
    </w:p>
    <w:p w14:paraId="0A9D2E3D" w14:textId="5AFB0188"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D.</w:t>
      </w:r>
      <w:r>
        <w:rPr>
          <w:lang w:val="fr-FR"/>
        </w:rPr>
        <w:tab/>
        <w:t>Ajout d’une référence à la section 8.2.3 dans les chapitres 3.4 et 3.5</w:t>
      </w:r>
      <w:r>
        <w:rPr>
          <w:lang w:val="fr-FR"/>
        </w:rPr>
        <w:tab/>
      </w:r>
      <w:r>
        <w:rPr>
          <w:lang w:val="fr-FR"/>
        </w:rPr>
        <w:tab/>
        <w:t>47-48</w:t>
      </w:r>
      <w:r>
        <w:rPr>
          <w:lang w:val="fr-FR"/>
        </w:rPr>
        <w:tab/>
      </w:r>
      <w:r w:rsidR="004633A8">
        <w:rPr>
          <w:lang w:val="fr-FR"/>
        </w:rPr>
        <w:t>9</w:t>
      </w:r>
    </w:p>
    <w:p w14:paraId="4B1E9ED7" w14:textId="39D63839"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E.</w:t>
      </w:r>
      <w:r>
        <w:rPr>
          <w:lang w:val="fr-FR"/>
        </w:rPr>
        <w:tab/>
        <w:t>Baudrier fluorescent et référence à la norme EN 471</w:t>
      </w:r>
      <w:r>
        <w:rPr>
          <w:lang w:val="fr-FR"/>
        </w:rPr>
        <w:tab/>
      </w:r>
      <w:r>
        <w:rPr>
          <w:lang w:val="fr-FR"/>
        </w:rPr>
        <w:tab/>
        <w:t>49-52</w:t>
      </w:r>
      <w:r>
        <w:rPr>
          <w:lang w:val="fr-FR"/>
        </w:rPr>
        <w:tab/>
      </w:r>
      <w:r w:rsidR="000F13BD">
        <w:rPr>
          <w:lang w:val="fr-FR"/>
        </w:rPr>
        <w:t>9</w:t>
      </w:r>
    </w:p>
    <w:p w14:paraId="2879D609" w14:textId="6A37BCD8"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pPr>
      <w:r>
        <w:tab/>
        <w:t>VIII.</w:t>
      </w:r>
      <w:r>
        <w:tab/>
        <w:t>Programme de travail (point 7 de l’ordre du jour)</w:t>
      </w:r>
      <w:r>
        <w:tab/>
      </w:r>
      <w:r>
        <w:tab/>
        <w:t>53</w:t>
      </w:r>
      <w:r>
        <w:tab/>
      </w:r>
      <w:r w:rsidR="000F13BD">
        <w:t>9</w:t>
      </w:r>
    </w:p>
    <w:p w14:paraId="605817F6" w14:textId="64E6F8BF"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pPr>
      <w:r>
        <w:tab/>
        <w:t>IX.</w:t>
      </w:r>
      <w:r>
        <w:tab/>
      </w:r>
      <w:r w:rsidRPr="00033163">
        <w:t xml:space="preserve">Élection du bureau pour </w:t>
      </w:r>
      <w:r>
        <w:t>2017</w:t>
      </w:r>
      <w:r w:rsidRPr="00033163">
        <w:t xml:space="preserve"> (point </w:t>
      </w:r>
      <w:r>
        <w:t>8</w:t>
      </w:r>
      <w:r w:rsidRPr="00033163">
        <w:t xml:space="preserve"> de l’ordre du jour)</w:t>
      </w:r>
      <w:r>
        <w:tab/>
      </w:r>
      <w:r>
        <w:tab/>
        <w:t>54</w:t>
      </w:r>
      <w:r>
        <w:tab/>
      </w:r>
      <w:r w:rsidR="004633A8">
        <w:t>10</w:t>
      </w:r>
    </w:p>
    <w:p w14:paraId="3D639245" w14:textId="03589A5D"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tab/>
        <w:t>X.</w:t>
      </w:r>
      <w:r>
        <w:tab/>
      </w:r>
      <w:r w:rsidRPr="00EF51C7">
        <w:rPr>
          <w:lang w:val="fr-FR"/>
        </w:rPr>
        <w:t>Questions diverses</w:t>
      </w:r>
      <w:r>
        <w:rPr>
          <w:lang w:val="fr-FR"/>
        </w:rPr>
        <w:t xml:space="preserve"> </w:t>
      </w:r>
      <w:r w:rsidRPr="00986C52">
        <w:rPr>
          <w:lang w:val="fr-FR"/>
        </w:rPr>
        <w:t>(point 9 de l’ordre du jour)</w:t>
      </w:r>
      <w:r>
        <w:rPr>
          <w:lang w:val="fr-FR"/>
        </w:rPr>
        <w:tab/>
      </w:r>
      <w:r>
        <w:rPr>
          <w:lang w:val="fr-FR"/>
        </w:rPr>
        <w:tab/>
        <w:t>55-65</w:t>
      </w:r>
      <w:r>
        <w:rPr>
          <w:lang w:val="fr-FR"/>
        </w:rPr>
        <w:tab/>
      </w:r>
      <w:r w:rsidR="000F13BD">
        <w:rPr>
          <w:lang w:val="fr-FR"/>
        </w:rPr>
        <w:t>10</w:t>
      </w:r>
    </w:p>
    <w:p w14:paraId="23B710BB" w14:textId="79268B38"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pPr>
      <w:r>
        <w:rPr>
          <w:lang w:val="fr-FR"/>
        </w:rPr>
        <w:tab/>
      </w:r>
      <w:r>
        <w:rPr>
          <w:lang w:val="fr-FR"/>
        </w:rPr>
        <w:tab/>
        <w:t>A.</w:t>
      </w:r>
      <w:r>
        <w:rPr>
          <w:lang w:val="fr-FR"/>
        </w:rPr>
        <w:tab/>
      </w:r>
      <w:r>
        <w:t>Présentation du projet EuroMed</w:t>
      </w:r>
      <w:r>
        <w:tab/>
      </w:r>
      <w:r>
        <w:tab/>
        <w:t>55-57</w:t>
      </w:r>
      <w:r>
        <w:tab/>
      </w:r>
      <w:r w:rsidR="000F13BD">
        <w:t>10</w:t>
      </w:r>
    </w:p>
    <w:p w14:paraId="0C5C9F9F" w14:textId="7C8E1C88"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Amendements à l’annexe 2 de l’</w:t>
      </w:r>
      <w:r w:rsidRPr="004720B4">
        <w:t xml:space="preserve">Accord concernant le transport </w:t>
      </w:r>
      <w:r>
        <w:br/>
      </w:r>
      <w:r w:rsidR="00800C33" w:rsidRPr="004720B4">
        <w:t xml:space="preserve">international </w:t>
      </w:r>
      <w:r w:rsidRPr="004720B4">
        <w:t xml:space="preserve">des marchandises par chemins de fer </w:t>
      </w:r>
      <w:r>
        <w:t>(SMGS)</w:t>
      </w:r>
      <w:r>
        <w:tab/>
      </w:r>
      <w:r>
        <w:tab/>
        <w:t>58-59</w:t>
      </w:r>
      <w:r>
        <w:tab/>
      </w:r>
      <w:r w:rsidR="000F13BD">
        <w:t>10</w:t>
      </w:r>
    </w:p>
    <w:p w14:paraId="6A1D2180" w14:textId="682B48A1"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t>C.</w:t>
      </w:r>
      <w:r>
        <w:tab/>
      </w:r>
      <w:r>
        <w:rPr>
          <w:lang w:val="fr-FR"/>
        </w:rPr>
        <w:t>Accidents de transport de marchandises dangereuses</w:t>
      </w:r>
      <w:r>
        <w:rPr>
          <w:lang w:val="fr-FR"/>
        </w:rPr>
        <w:tab/>
      </w:r>
      <w:r>
        <w:rPr>
          <w:lang w:val="fr-FR"/>
        </w:rPr>
        <w:tab/>
        <w:t>60-61</w:t>
      </w:r>
      <w:r>
        <w:rPr>
          <w:lang w:val="fr-FR"/>
        </w:rPr>
        <w:tab/>
      </w:r>
      <w:r w:rsidR="000F13BD">
        <w:rPr>
          <w:lang w:val="fr-FR"/>
        </w:rPr>
        <w:t>1</w:t>
      </w:r>
      <w:r w:rsidR="004633A8">
        <w:rPr>
          <w:lang w:val="fr-FR"/>
        </w:rPr>
        <w:t>1</w:t>
      </w:r>
    </w:p>
    <w:p w14:paraId="63D3DA56" w14:textId="48D182BD" w:rsid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D.</w:t>
      </w:r>
      <w:r>
        <w:rPr>
          <w:lang w:val="fr-FR"/>
        </w:rPr>
        <w:tab/>
        <w:t xml:space="preserve">Accident de transport de marchandises dangereuses et protection </w:t>
      </w:r>
      <w:r>
        <w:rPr>
          <w:lang w:val="fr-FR"/>
        </w:rPr>
        <w:br/>
        <w:t>arrière des véhicules</w:t>
      </w:r>
      <w:r>
        <w:rPr>
          <w:lang w:val="fr-FR"/>
        </w:rPr>
        <w:tab/>
      </w:r>
      <w:r>
        <w:rPr>
          <w:lang w:val="fr-FR"/>
        </w:rPr>
        <w:tab/>
        <w:t>62-65</w:t>
      </w:r>
      <w:r>
        <w:rPr>
          <w:lang w:val="fr-FR"/>
        </w:rPr>
        <w:tab/>
      </w:r>
      <w:r w:rsidR="000F13BD">
        <w:rPr>
          <w:lang w:val="fr-FR"/>
        </w:rPr>
        <w:t>11</w:t>
      </w:r>
    </w:p>
    <w:p w14:paraId="63FFD07E" w14:textId="289163F4" w:rsidR="00653C15" w:rsidRPr="00653C15" w:rsidRDefault="00653C15" w:rsidP="008F27A7">
      <w:pPr>
        <w:tabs>
          <w:tab w:val="right" w:pos="850"/>
          <w:tab w:val="left" w:pos="1134"/>
          <w:tab w:val="left" w:pos="1559"/>
          <w:tab w:val="left" w:pos="1984"/>
          <w:tab w:val="left" w:leader="dot" w:pos="7654"/>
          <w:tab w:val="right" w:pos="8929"/>
          <w:tab w:val="right" w:pos="9638"/>
        </w:tabs>
        <w:spacing w:after="120"/>
        <w:ind w:left="1559" w:hanging="1559"/>
      </w:pPr>
      <w:r>
        <w:rPr>
          <w:lang w:val="fr-FR"/>
        </w:rPr>
        <w:tab/>
        <w:t>XI.</w:t>
      </w:r>
      <w:r>
        <w:rPr>
          <w:lang w:val="fr-FR"/>
        </w:rPr>
        <w:tab/>
      </w:r>
      <w:r w:rsidRPr="005915A5">
        <w:rPr>
          <w:lang w:val="fr-FR"/>
        </w:rPr>
        <w:t>Adoption du rapport (point</w:t>
      </w:r>
      <w:r>
        <w:rPr>
          <w:lang w:val="fr-FR"/>
        </w:rPr>
        <w:t xml:space="preserve"> 10</w:t>
      </w:r>
      <w:r w:rsidRPr="005915A5">
        <w:rPr>
          <w:lang w:val="fr-FR"/>
        </w:rPr>
        <w:t xml:space="preserve"> de l’ordre du jour)</w:t>
      </w:r>
      <w:r>
        <w:rPr>
          <w:lang w:val="fr-FR"/>
        </w:rPr>
        <w:tab/>
      </w:r>
      <w:r>
        <w:rPr>
          <w:lang w:val="fr-FR"/>
        </w:rPr>
        <w:tab/>
        <w:t>66</w:t>
      </w:r>
      <w:r>
        <w:rPr>
          <w:lang w:val="fr-FR"/>
        </w:rPr>
        <w:tab/>
      </w:r>
      <w:r w:rsidR="000F13BD">
        <w:rPr>
          <w:lang w:val="fr-FR"/>
        </w:rPr>
        <w:t>11</w:t>
      </w:r>
    </w:p>
    <w:p w14:paraId="02BAAD75" w14:textId="77777777" w:rsidR="00027862" w:rsidRPr="00653C15" w:rsidRDefault="00027862" w:rsidP="00027862">
      <w:pPr>
        <w:pStyle w:val="HChG"/>
        <w:rPr>
          <w:b w:val="0"/>
        </w:rPr>
      </w:pPr>
      <w:r w:rsidRPr="00653C15">
        <w:rPr>
          <w:b w:val="0"/>
        </w:rPr>
        <w:t>Annexes</w:t>
      </w:r>
    </w:p>
    <w:p w14:paraId="4E9D010C" w14:textId="4808026B" w:rsidR="00027862" w:rsidRPr="00653C15" w:rsidRDefault="00027862" w:rsidP="00027862">
      <w:pPr>
        <w:tabs>
          <w:tab w:val="right" w:pos="850"/>
          <w:tab w:val="left" w:pos="1134"/>
          <w:tab w:val="left" w:pos="1984"/>
          <w:tab w:val="left" w:leader="dot" w:pos="7654"/>
          <w:tab w:val="right" w:pos="8929"/>
          <w:tab w:val="right" w:pos="9638"/>
        </w:tabs>
        <w:spacing w:after="120"/>
        <w:ind w:left="1134" w:hanging="1134"/>
      </w:pPr>
      <w:r w:rsidRPr="00653C15">
        <w:tab/>
        <w:t>I.</w:t>
      </w:r>
      <w:r w:rsidRPr="00653C15">
        <w:tab/>
        <w:t xml:space="preserve">Projet d’amendements aux annexes A et B de l’ADR adopté </w:t>
      </w:r>
      <w:r w:rsidR="00800C33" w:rsidRPr="00653C15">
        <w:br/>
        <w:t xml:space="preserve">par le </w:t>
      </w:r>
      <w:r w:rsidRPr="00653C15">
        <w:t xml:space="preserve">Groupe de travail pour entrée en vigueur le 1er janvier </w:t>
      </w:r>
      <w:r w:rsidR="00A86C9F" w:rsidRPr="00653C15">
        <w:t>2019</w:t>
      </w:r>
      <w:r w:rsidRPr="00653C15">
        <w:tab/>
      </w:r>
      <w:r w:rsidRPr="00653C15">
        <w:tab/>
      </w:r>
      <w:r w:rsidRPr="00653C15">
        <w:tab/>
      </w:r>
      <w:r w:rsidR="000F13BD">
        <w:t>12</w:t>
      </w:r>
    </w:p>
    <w:p w14:paraId="783E1541" w14:textId="076A3DA2" w:rsidR="00027862" w:rsidRDefault="00027862" w:rsidP="00027862">
      <w:pPr>
        <w:tabs>
          <w:tab w:val="right" w:pos="850"/>
          <w:tab w:val="left" w:pos="1134"/>
          <w:tab w:val="left" w:pos="1984"/>
          <w:tab w:val="left" w:leader="dot" w:pos="7654"/>
          <w:tab w:val="right" w:pos="8929"/>
          <w:tab w:val="right" w:pos="9638"/>
        </w:tabs>
        <w:spacing w:after="120"/>
        <w:ind w:left="1134" w:hanging="1134"/>
      </w:pPr>
      <w:r w:rsidRPr="00653C15">
        <w:tab/>
        <w:t>II</w:t>
      </w:r>
      <w:r w:rsidR="00B333A3" w:rsidRPr="00653C15">
        <w:t>.</w:t>
      </w:r>
      <w:r w:rsidRPr="00653C15">
        <w:tab/>
      </w:r>
      <w:r w:rsidR="00B333A3" w:rsidRPr="00653C15">
        <w:t xml:space="preserve">Corrections aux annexes A et B de l'ADR telles que modifiées </w:t>
      </w:r>
      <w:r w:rsidR="00800C33" w:rsidRPr="00653C15">
        <w:br/>
      </w:r>
      <w:r w:rsidR="00B333A3" w:rsidRPr="00653C15">
        <w:t>par les amendements entrant en vigueur le 1er janvier 2017</w:t>
      </w:r>
      <w:r w:rsidRPr="00653C15">
        <w:tab/>
      </w:r>
      <w:r w:rsidRPr="00653C15">
        <w:tab/>
      </w:r>
      <w:r w:rsidRPr="00653C15">
        <w:tab/>
      </w:r>
      <w:r w:rsidR="000F13BD">
        <w:t>14</w:t>
      </w:r>
    </w:p>
    <w:p w14:paraId="00C2650A" w14:textId="77777777" w:rsidR="0090466B" w:rsidRDefault="0090466B">
      <w:pPr>
        <w:suppressAutoHyphens w:val="0"/>
        <w:spacing w:line="240" w:lineRule="auto"/>
        <w:rPr>
          <w:i/>
          <w:iCs/>
          <w:u w:val="single"/>
        </w:rPr>
      </w:pPr>
      <w:r>
        <w:rPr>
          <w:i/>
          <w:iCs/>
          <w:u w:val="single"/>
        </w:rPr>
        <w:br w:type="page"/>
      </w:r>
    </w:p>
    <w:p w14:paraId="3CAADF04" w14:textId="77777777" w:rsidR="00F91484" w:rsidRPr="00DD5A00" w:rsidRDefault="00F91484" w:rsidP="00F91484">
      <w:pPr>
        <w:pStyle w:val="HChG"/>
        <w:rPr>
          <w:lang w:val="fr-FR"/>
        </w:rPr>
      </w:pPr>
      <w:r>
        <w:rPr>
          <w:lang w:val="fr-FR"/>
        </w:rPr>
        <w:lastRenderedPageBreak/>
        <w:tab/>
      </w:r>
      <w:r w:rsidRPr="00DD5A00">
        <w:rPr>
          <w:lang w:val="fr-FR"/>
        </w:rPr>
        <w:t>I.</w:t>
      </w:r>
      <w:r w:rsidRPr="00DD5A00">
        <w:rPr>
          <w:lang w:val="fr-FR"/>
        </w:rPr>
        <w:tab/>
        <w:t>Participation</w:t>
      </w:r>
    </w:p>
    <w:p w14:paraId="023A60A5" w14:textId="0028256D" w:rsidR="00332FC3" w:rsidRPr="005A592F" w:rsidRDefault="00332FC3" w:rsidP="00332FC3">
      <w:pPr>
        <w:pStyle w:val="SingleTxtG"/>
      </w:pPr>
      <w:r w:rsidRPr="005A592F">
        <w:t>1.</w:t>
      </w:r>
      <w:r w:rsidRPr="005A592F">
        <w:tab/>
        <w:t xml:space="preserve">Le Groupe de travail des transports de marchandises dangereuses a tenu sa </w:t>
      </w:r>
      <w:r w:rsidRPr="005A592F">
        <w:rPr>
          <w:lang w:val="fr-FR"/>
        </w:rPr>
        <w:t>10</w:t>
      </w:r>
      <w:r>
        <w:rPr>
          <w:lang w:val="fr-FR"/>
        </w:rPr>
        <w:t>1</w:t>
      </w:r>
      <w:r>
        <w:rPr>
          <w:vertAlign w:val="superscript"/>
          <w:lang w:val="fr-FR"/>
        </w:rPr>
        <w:t>e</w:t>
      </w:r>
      <w:r w:rsidRPr="005A592F">
        <w:t xml:space="preserve"> session du </w:t>
      </w:r>
      <w:r>
        <w:t xml:space="preserve">8 </w:t>
      </w:r>
      <w:r w:rsidRPr="005A592F">
        <w:t xml:space="preserve">au </w:t>
      </w:r>
      <w:r w:rsidR="00735D7D">
        <w:t>10 </w:t>
      </w:r>
      <w:r>
        <w:t>novembre</w:t>
      </w:r>
      <w:r w:rsidRPr="005A592F">
        <w:t xml:space="preserve"> 2016 sous la présidence de M. J. A. Franco (Portugal) et la vice-présidence de M</w:t>
      </w:r>
      <w:r w:rsidRPr="00FB4BC0">
        <w:t>me</w:t>
      </w:r>
      <w:r w:rsidRPr="005A592F">
        <w:t> A. Roumier (France).</w:t>
      </w:r>
    </w:p>
    <w:p w14:paraId="149A3DC3" w14:textId="77185DB6" w:rsidR="00332FC3" w:rsidRPr="005E50EC" w:rsidRDefault="00332FC3" w:rsidP="00332FC3">
      <w:pPr>
        <w:pStyle w:val="SingleTxtG"/>
      </w:pPr>
      <w:r w:rsidRPr="005E50EC">
        <w:t>2.</w:t>
      </w:r>
      <w:r w:rsidRPr="005E50EC">
        <w:tab/>
        <w:t>Ont pris part à ses travaux des représentants des pays suivants: Allemagne, Autriche, Belgique, Danemark, Espagne, Fédération de Russie, Finlande, France, Géorgie, Hongrie, Israël</w:t>
      </w:r>
      <w:r>
        <w:t>,</w:t>
      </w:r>
      <w:r w:rsidRPr="005E50EC">
        <w:t xml:space="preserve"> </w:t>
      </w:r>
      <w:r>
        <w:t xml:space="preserve">Italie, </w:t>
      </w:r>
      <w:r w:rsidRPr="005E50EC">
        <w:t xml:space="preserve">Lettonie, Luxembourg, </w:t>
      </w:r>
      <w:r>
        <w:t xml:space="preserve">Malte, </w:t>
      </w:r>
      <w:r w:rsidRPr="005E50EC">
        <w:t xml:space="preserve">Norvège, Pays-Bas, Pologne, Portugal, République tchèque, Roumanie, Royaume-Uni, Slovaquie, Suède, Suisse </w:t>
      </w:r>
      <w:r>
        <w:t xml:space="preserve">et </w:t>
      </w:r>
      <w:r w:rsidRPr="005E50EC">
        <w:t>Turquie</w:t>
      </w:r>
      <w:r>
        <w:t>.</w:t>
      </w:r>
    </w:p>
    <w:p w14:paraId="7C400E92" w14:textId="77777777" w:rsidR="00332FC3" w:rsidRDefault="00332FC3" w:rsidP="00332FC3">
      <w:pPr>
        <w:pStyle w:val="SingleTxtG"/>
        <w:rPr>
          <w:lang w:val="fr-FR"/>
        </w:rPr>
      </w:pPr>
      <w:r>
        <w:rPr>
          <w:lang w:val="fr-FR"/>
        </w:rPr>
        <w:t>3.</w:t>
      </w:r>
      <w:r>
        <w:rPr>
          <w:lang w:val="fr-FR"/>
        </w:rPr>
        <w:tab/>
        <w:t xml:space="preserve">Des représentants de l’Algérie, de </w:t>
      </w:r>
      <w:r>
        <w:t xml:space="preserve">la Jordanie et de la Tunisie </w:t>
      </w:r>
      <w:r>
        <w:rPr>
          <w:lang w:val="fr-FR"/>
        </w:rPr>
        <w:t>ont également participé à la session en vertu du paragraphe 11 du mandat de la Commission économique pour l'Europe</w:t>
      </w:r>
      <w:r>
        <w:t xml:space="preserve">. La Tunisie a participé de plein droit à la session pour les questions relatives à </w:t>
      </w:r>
      <w:r w:rsidRPr="005B2C1D">
        <w:t>l</w:t>
      </w:r>
      <w:r>
        <w:t>’</w:t>
      </w:r>
      <w:r w:rsidRPr="005B2C1D">
        <w:t>Accord européen relatif au transport international des marchandises dangereuses par route</w:t>
      </w:r>
      <w:r>
        <w:t xml:space="preserve"> conformément à l’article 1 b) du Règlement intérieur du Groupe de travail.</w:t>
      </w:r>
    </w:p>
    <w:p w14:paraId="407BF8BE" w14:textId="77777777" w:rsidR="00332FC3" w:rsidRPr="00516DB6" w:rsidRDefault="00332FC3" w:rsidP="00332FC3">
      <w:pPr>
        <w:pStyle w:val="SingleTxtG"/>
      </w:pPr>
      <w:r w:rsidRPr="00516DB6">
        <w:t>4.</w:t>
      </w:r>
      <w:r w:rsidRPr="00516DB6">
        <w:tab/>
        <w:t>L’Union européenne était représentée.</w:t>
      </w:r>
    </w:p>
    <w:p w14:paraId="6F0254AE" w14:textId="77777777" w:rsidR="00332FC3" w:rsidRPr="00516DB6" w:rsidRDefault="00332FC3" w:rsidP="00332FC3">
      <w:pPr>
        <w:pStyle w:val="SingleTxtG"/>
      </w:pPr>
      <w:r w:rsidRPr="00516DB6">
        <w:t>5.</w:t>
      </w:r>
      <w:r w:rsidRPr="00516DB6">
        <w:tab/>
        <w:t>L’organisation intergouvernementale suivante était représentée: Organisation intergouvernementale pour les transports internationaux ferroviaires (OTIF).</w:t>
      </w:r>
    </w:p>
    <w:p w14:paraId="4777983D" w14:textId="77777777" w:rsidR="00332FC3" w:rsidRPr="005A592F" w:rsidRDefault="00332FC3" w:rsidP="00332FC3">
      <w:pPr>
        <w:pStyle w:val="SingleTxtG"/>
        <w:rPr>
          <w:lang w:val="fr-FR"/>
        </w:rPr>
      </w:pPr>
      <w:r w:rsidRPr="00C050F6">
        <w:t>6.</w:t>
      </w:r>
      <w:r w:rsidRPr="00C050F6">
        <w:tab/>
      </w:r>
      <w:r w:rsidRPr="00C050F6">
        <w:rPr>
          <w:lang w:val="fr-FR"/>
        </w:rPr>
        <w:t>Les organisations non gouvernementales suivantes étaient représentées:</w:t>
      </w:r>
      <w:r w:rsidRPr="00C050F6">
        <w:rPr>
          <w:bCs/>
          <w:lang w:val="fr-FR"/>
        </w:rPr>
        <w:t xml:space="preserve"> </w:t>
      </w:r>
      <w:r w:rsidRPr="00C050F6">
        <w:rPr>
          <w:lang w:val="fr-FR"/>
        </w:rPr>
        <w:t xml:space="preserve">la Conférence européenne des négociants en combustibles et carburants </w:t>
      </w:r>
      <w:r w:rsidRPr="00C050F6">
        <w:rPr>
          <w:bCs/>
          <w:lang w:val="fr-FR"/>
        </w:rPr>
        <w:t>(CENCC),</w:t>
      </w:r>
      <w:r w:rsidRPr="00C050F6">
        <w:rPr>
          <w:lang w:val="fr-FR"/>
        </w:rPr>
        <w:t xml:space="preserve"> </w:t>
      </w:r>
      <w:r w:rsidRPr="00C37CD3">
        <w:rPr>
          <w:lang w:val="fr-FR"/>
        </w:rPr>
        <w:t>le Conseil européen d</w:t>
      </w:r>
      <w:r>
        <w:rPr>
          <w:lang w:val="fr-FR"/>
        </w:rPr>
        <w:t xml:space="preserve">e l’industrie chimique (CEFIC), </w:t>
      </w:r>
      <w:r w:rsidRPr="00C050F6">
        <w:rPr>
          <w:lang w:val="fr-FR"/>
        </w:rPr>
        <w:t>l’Organisation internationale des constructeurs automobiles (OICA), l’Union internationale des transports routiers (IRU).</w:t>
      </w:r>
      <w:r>
        <w:rPr>
          <w:lang w:val="fr-FR"/>
        </w:rPr>
        <w:t xml:space="preserve"> Le programme </w:t>
      </w:r>
      <w:r w:rsidRPr="00D73DBB">
        <w:t xml:space="preserve">EuroMed </w:t>
      </w:r>
      <w:r w:rsidRPr="00516DB6">
        <w:t xml:space="preserve">était </w:t>
      </w:r>
      <w:r>
        <w:t>également représenté</w:t>
      </w:r>
      <w:r w:rsidRPr="00516DB6">
        <w:t>.</w:t>
      </w:r>
    </w:p>
    <w:p w14:paraId="52182DE8" w14:textId="77777777" w:rsidR="00332FC3" w:rsidRPr="00C71525" w:rsidRDefault="00332FC3" w:rsidP="00332FC3">
      <w:pPr>
        <w:pStyle w:val="HChG"/>
      </w:pPr>
      <w:r>
        <w:tab/>
        <w:t>I</w:t>
      </w:r>
      <w:r w:rsidRPr="00C71525">
        <w:t>I.</w:t>
      </w:r>
      <w:r w:rsidRPr="00C71525">
        <w:tab/>
        <w:t>Adoption de l</w:t>
      </w:r>
      <w:r>
        <w:t>’</w:t>
      </w:r>
      <w:r w:rsidRPr="00C71525">
        <w:t>ordre du jour (point 1 de l</w:t>
      </w:r>
      <w:r>
        <w:t>’</w:t>
      </w:r>
      <w:r w:rsidRPr="00C71525">
        <w:t>o</w:t>
      </w:r>
      <w:r>
        <w:t>rdre du jour)</w:t>
      </w:r>
    </w:p>
    <w:p w14:paraId="04A5FDA5" w14:textId="77777777" w:rsidR="00332FC3" w:rsidRDefault="00332FC3" w:rsidP="00332FC3">
      <w:pPr>
        <w:pStyle w:val="SingleTxtG"/>
        <w:tabs>
          <w:tab w:val="left" w:pos="1418"/>
        </w:tabs>
        <w:ind w:left="3119" w:hanging="1985"/>
        <w:jc w:val="left"/>
      </w:pPr>
      <w:r>
        <w:rPr>
          <w:i/>
        </w:rPr>
        <w:t>Documents</w:t>
      </w:r>
      <w:r w:rsidRPr="00FC75FF">
        <w:t>:</w:t>
      </w:r>
      <w:r>
        <w:tab/>
        <w:t>ECE/TRANS/WP.15/234 et Add.1 (Secrétariat).</w:t>
      </w:r>
    </w:p>
    <w:p w14:paraId="6F0046AE" w14:textId="77777777" w:rsidR="00332FC3" w:rsidRPr="001A0C10" w:rsidRDefault="00332FC3" w:rsidP="00332FC3">
      <w:pPr>
        <w:pStyle w:val="SingleTxtG"/>
        <w:tabs>
          <w:tab w:val="left" w:pos="1418"/>
        </w:tabs>
        <w:ind w:left="3119" w:hanging="1985"/>
        <w:jc w:val="left"/>
      </w:pPr>
      <w:r>
        <w:rPr>
          <w:i/>
        </w:rPr>
        <w:t>Documents informels</w:t>
      </w:r>
      <w:r w:rsidRPr="00FC75FF">
        <w:t>:</w:t>
      </w:r>
      <w:r>
        <w:tab/>
        <w:t>INF.1, INF.2 et INF.16 (Secrétariat).</w:t>
      </w:r>
    </w:p>
    <w:p w14:paraId="78A473B3" w14:textId="556DDF0C" w:rsidR="00332FC3" w:rsidRDefault="00332FC3" w:rsidP="00332FC3">
      <w:pPr>
        <w:pStyle w:val="SingleTxtG"/>
      </w:pPr>
      <w:r>
        <w:t>7.</w:t>
      </w:r>
      <w:r>
        <w:tab/>
      </w:r>
      <w:r w:rsidRPr="0054289D">
        <w:rPr>
          <w:bCs/>
          <w:szCs w:val="24"/>
          <w:lang w:val="fr-FR"/>
        </w:rPr>
        <w:t>Le Groupe de travail a adopté l’ordre du jour provisoire préparé par le secrétariat, tel que modifié par le document informel INF.2 pour tenir compte des documents informels INF.1 à INF</w:t>
      </w:r>
      <w:r w:rsidR="00986C52">
        <w:rPr>
          <w:bCs/>
          <w:szCs w:val="24"/>
          <w:lang w:val="fr-FR"/>
        </w:rPr>
        <w:t>.</w:t>
      </w:r>
      <w:r w:rsidR="006E7021">
        <w:rPr>
          <w:bCs/>
          <w:szCs w:val="24"/>
          <w:lang w:val="fr-FR"/>
        </w:rPr>
        <w:t>21</w:t>
      </w:r>
      <w:r w:rsidR="006E7021" w:rsidRPr="0054289D">
        <w:rPr>
          <w:bCs/>
          <w:szCs w:val="24"/>
          <w:lang w:val="fr-FR"/>
        </w:rPr>
        <w:t>.</w:t>
      </w:r>
    </w:p>
    <w:p w14:paraId="57F788D8" w14:textId="2353D820" w:rsidR="00332FC3" w:rsidRPr="007C0178" w:rsidRDefault="00332FC3" w:rsidP="00332FC3">
      <w:pPr>
        <w:pStyle w:val="HChG"/>
      </w:pPr>
      <w:r>
        <w:tab/>
        <w:t>III</w:t>
      </w:r>
      <w:r w:rsidRPr="003659AC">
        <w:t>.</w:t>
      </w:r>
      <w:r w:rsidRPr="003659AC">
        <w:tab/>
      </w:r>
      <w:r w:rsidR="00984C46" w:rsidRPr="005B2C1D">
        <w:t>Soixante-</w:t>
      </w:r>
      <w:r w:rsidR="00984C46">
        <w:t>dix-huitième</w:t>
      </w:r>
      <w:r w:rsidRPr="005B2C1D">
        <w:t xml:space="preserve"> session du Comité des transports intérieurs (point 2 de l</w:t>
      </w:r>
      <w:r>
        <w:t>’</w:t>
      </w:r>
      <w:r w:rsidRPr="005B2C1D">
        <w:t>ordre du jour)</w:t>
      </w:r>
    </w:p>
    <w:p w14:paraId="4E49B92F" w14:textId="77777777" w:rsidR="00332FC3" w:rsidRPr="0042449A" w:rsidRDefault="00332FC3" w:rsidP="00332FC3">
      <w:pPr>
        <w:pStyle w:val="SingleTxtG"/>
        <w:ind w:left="2268" w:hanging="1134"/>
        <w:jc w:val="left"/>
        <w:rPr>
          <w:szCs w:val="24"/>
          <w:lang w:val="fr-FR"/>
        </w:rPr>
      </w:pPr>
      <w:r w:rsidRPr="001A6B3F">
        <w:rPr>
          <w:i/>
          <w:lang w:val="fr-FR"/>
        </w:rPr>
        <w:t>Document</w:t>
      </w:r>
      <w:r w:rsidRPr="001A6B3F">
        <w:rPr>
          <w:lang w:val="fr-FR"/>
        </w:rPr>
        <w:t>:</w:t>
      </w:r>
      <w:r w:rsidRPr="001A6B3F">
        <w:rPr>
          <w:lang w:val="fr-FR"/>
        </w:rPr>
        <w:tab/>
      </w:r>
      <w:r w:rsidRPr="001A6B3F">
        <w:rPr>
          <w:lang w:val="fr-FR"/>
        </w:rPr>
        <w:tab/>
      </w:r>
      <w:r w:rsidRPr="001A6B3F">
        <w:rPr>
          <w:szCs w:val="24"/>
          <w:lang w:val="fr-FR"/>
        </w:rPr>
        <w:t>ECE/TRANS/254</w:t>
      </w:r>
    </w:p>
    <w:p w14:paraId="7D521D6E" w14:textId="77777777" w:rsidR="00332FC3" w:rsidRDefault="00332FC3" w:rsidP="00332FC3">
      <w:pPr>
        <w:pStyle w:val="SingleTxtG"/>
      </w:pPr>
      <w:r>
        <w:t>8.</w:t>
      </w:r>
      <w:r>
        <w:tab/>
        <w:t xml:space="preserve">Un membre du secrétariat a informé le Groupe de travail des activités du </w:t>
      </w:r>
      <w:r w:rsidRPr="005B2C1D">
        <w:t>Comité des transports intérieurs</w:t>
      </w:r>
      <w:r>
        <w:t xml:space="preserve"> (CTI). </w:t>
      </w:r>
      <w:r w:rsidRPr="00F14A6D">
        <w:t xml:space="preserve">Le Groupe de travail a notamment pris note des progrès accomplis dans la préparation de la célébration du </w:t>
      </w:r>
      <w:r>
        <w:t>soixante-dixième anniversaire du CTI</w:t>
      </w:r>
      <w:r w:rsidRPr="00F14A6D">
        <w:t xml:space="preserve"> </w:t>
      </w:r>
      <w:r>
        <w:t>prévue lors de la soixante-dix-neuvième session (</w:t>
      </w:r>
      <w:r w:rsidRPr="00F14A6D">
        <w:t>21 au 24 février 2017</w:t>
      </w:r>
      <w:r>
        <w:t>).</w:t>
      </w:r>
    </w:p>
    <w:p w14:paraId="5240119A" w14:textId="77777777" w:rsidR="00332FC3" w:rsidRDefault="00332FC3" w:rsidP="00332FC3">
      <w:pPr>
        <w:pStyle w:val="SingleTxtG"/>
      </w:pPr>
      <w:r>
        <w:t>9.</w:t>
      </w:r>
      <w:r>
        <w:tab/>
        <w:t xml:space="preserve">Le Groupe de travail a noté qu’une réunion ministérielle </w:t>
      </w:r>
      <w:r w:rsidRPr="00F14A6D">
        <w:t xml:space="preserve">sur le passé et l'avenir du </w:t>
      </w:r>
      <w:r>
        <w:t xml:space="preserve">CTI se tiendra le 21 février 2017. Elle devrait aboutir </w:t>
      </w:r>
      <w:r w:rsidRPr="00F14A6D">
        <w:t xml:space="preserve">à l'adoption d'une résolution ministérielle visant </w:t>
      </w:r>
      <w:r>
        <w:t xml:space="preserve">notamment </w:t>
      </w:r>
      <w:r w:rsidRPr="00F14A6D">
        <w:t xml:space="preserve">à mettre en évidence les soixante-dix années de contribution substantielle </w:t>
      </w:r>
      <w:r>
        <w:t>du CTI</w:t>
      </w:r>
      <w:r w:rsidRPr="00F14A6D">
        <w:t xml:space="preserve"> et de ses organes subsidiaires </w:t>
      </w:r>
      <w:r>
        <w:t>au</w:t>
      </w:r>
      <w:r w:rsidRPr="00F14A6D">
        <w:t xml:space="preserve"> domaine des transp</w:t>
      </w:r>
      <w:r>
        <w:t xml:space="preserve">orts, ainsi qu'à encourager les travaux futurs notamment en relation avec les </w:t>
      </w:r>
      <w:r w:rsidRPr="005C6A61">
        <w:t>Objectifs de développement durable</w:t>
      </w:r>
      <w:r w:rsidRPr="00F14A6D">
        <w:t xml:space="preserve">. </w:t>
      </w:r>
    </w:p>
    <w:p w14:paraId="7EF01888" w14:textId="77777777" w:rsidR="00332FC3" w:rsidRDefault="00332FC3" w:rsidP="00332FC3">
      <w:pPr>
        <w:pStyle w:val="SingleTxtG"/>
      </w:pPr>
      <w:r>
        <w:lastRenderedPageBreak/>
        <w:t>10.</w:t>
      </w:r>
      <w:r>
        <w:tab/>
      </w:r>
      <w:r w:rsidRPr="00F14A6D">
        <w:t xml:space="preserve">Le Groupe de travail a également noté que, conformément à la décision du </w:t>
      </w:r>
      <w:r>
        <w:t>CTI</w:t>
      </w:r>
      <w:r w:rsidRPr="00F14A6D">
        <w:t xml:space="preserve"> à sa précédente session, le secrétariat de la </w:t>
      </w:r>
      <w:r w:rsidRPr="005C6A61">
        <w:t>Commission économique pour l’Europe</w:t>
      </w:r>
      <w:r>
        <w:t xml:space="preserve"> préparait </w:t>
      </w:r>
      <w:r w:rsidRPr="00F14A6D">
        <w:t xml:space="preserve">une note stratégique sur les travaux </w:t>
      </w:r>
      <w:r>
        <w:t>du CTI.</w:t>
      </w:r>
      <w:r w:rsidRPr="00F14A6D">
        <w:t xml:space="preserve"> </w:t>
      </w:r>
    </w:p>
    <w:p w14:paraId="5BEA2692" w14:textId="77777777" w:rsidR="00332FC3" w:rsidRDefault="00332FC3" w:rsidP="00332FC3">
      <w:pPr>
        <w:pStyle w:val="SingleTxtG"/>
      </w:pPr>
      <w:r>
        <w:t>11.</w:t>
      </w:r>
      <w:r>
        <w:tab/>
        <w:t xml:space="preserve">Le Groupe de </w:t>
      </w:r>
      <w:r w:rsidRPr="00F14A6D">
        <w:t xml:space="preserve">travail a </w:t>
      </w:r>
      <w:r>
        <w:t xml:space="preserve">également noté </w:t>
      </w:r>
      <w:r w:rsidRPr="00F14A6D">
        <w:t>qu'un Festival mondial du film sur la sécurité routière se tiendrait au Palais des Nations le 20 février 2017</w:t>
      </w:r>
      <w:r>
        <w:t xml:space="preserve"> et qu’</w:t>
      </w:r>
      <w:r w:rsidRPr="00F14A6D">
        <w:t xml:space="preserve">un certain nombre d'expositions et de démonstrations </w:t>
      </w:r>
      <w:r>
        <w:t>seraient</w:t>
      </w:r>
      <w:r w:rsidRPr="00F14A6D">
        <w:t xml:space="preserve"> organisées. </w:t>
      </w:r>
    </w:p>
    <w:p w14:paraId="40D690F8" w14:textId="77777777" w:rsidR="00332FC3" w:rsidRPr="007C0178" w:rsidRDefault="00332FC3" w:rsidP="00332FC3">
      <w:pPr>
        <w:pStyle w:val="HChG"/>
      </w:pPr>
      <w:r>
        <w:tab/>
        <w:t>I</w:t>
      </w:r>
      <w:r w:rsidRPr="003659AC">
        <w:t>V.</w:t>
      </w:r>
      <w:r w:rsidRPr="003659AC">
        <w:tab/>
      </w:r>
      <w:r w:rsidRPr="005B2C1D">
        <w:t>État de l</w:t>
      </w:r>
      <w:r>
        <w:t>’</w:t>
      </w:r>
      <w:r w:rsidRPr="005B2C1D">
        <w:t>Accord européen relatif au transport international des marchandises dangereuses par route (ADR) et questions connexes (point 3 de l</w:t>
      </w:r>
      <w:r>
        <w:t>’</w:t>
      </w:r>
      <w:r w:rsidRPr="005B2C1D">
        <w:t>ordre du jour)</w:t>
      </w:r>
    </w:p>
    <w:p w14:paraId="02846372" w14:textId="77777777" w:rsidR="00332FC3" w:rsidRPr="00D05A1D" w:rsidRDefault="00332FC3" w:rsidP="00332FC3">
      <w:pPr>
        <w:pStyle w:val="H1G"/>
      </w:pPr>
      <w:r w:rsidRPr="00D05A1D">
        <w:tab/>
        <w:t>A.</w:t>
      </w:r>
      <w:r w:rsidRPr="00D05A1D">
        <w:tab/>
        <w:t>État de l’Accord</w:t>
      </w:r>
    </w:p>
    <w:p w14:paraId="2BE7CEBA" w14:textId="77777777" w:rsidR="00332FC3" w:rsidRPr="00FC75FF" w:rsidRDefault="00332FC3" w:rsidP="00332FC3">
      <w:pPr>
        <w:pStyle w:val="SingleTxtG"/>
        <w:tabs>
          <w:tab w:val="left" w:pos="1418"/>
        </w:tabs>
        <w:ind w:left="3119" w:hanging="1985"/>
        <w:jc w:val="left"/>
        <w:rPr>
          <w:i/>
        </w:rPr>
      </w:pPr>
      <w:r>
        <w:rPr>
          <w:i/>
        </w:rPr>
        <w:t>Documents informels</w:t>
      </w:r>
      <w:r w:rsidRPr="00FC75FF">
        <w:t>:</w:t>
      </w:r>
      <w:r>
        <w:tab/>
        <w:t>INF.5 et INF.15 (Secrétariat).</w:t>
      </w:r>
    </w:p>
    <w:p w14:paraId="76F285E5" w14:textId="77777777" w:rsidR="00332FC3" w:rsidRDefault="00332FC3" w:rsidP="00332FC3">
      <w:pPr>
        <w:pStyle w:val="SingleTxtG"/>
      </w:pPr>
      <w:r>
        <w:t>12</w:t>
      </w:r>
      <w:r w:rsidRPr="009070E2">
        <w:t>.</w:t>
      </w:r>
      <w:r w:rsidRPr="009070E2">
        <w:tab/>
        <w:t>Le Groupe de travail a noté que les amendements adoptés au cours des deux derniè</w:t>
      </w:r>
      <w:r>
        <w:t>res années (ECE/TRANS/WP.15/231 et</w:t>
      </w:r>
      <w:r w:rsidRPr="009070E2">
        <w:t xml:space="preserve"> Corr.1 et ECE/TRANS/WP.15/</w:t>
      </w:r>
      <w:r>
        <w:t>231</w:t>
      </w:r>
      <w:r w:rsidRPr="009070E2">
        <w:t xml:space="preserve">/Add.1) ont été proposés aux Parties contractantes par le Gouvernement du Portugal et sont réputés acceptés pour entrée en vigueur le 1er janvier </w:t>
      </w:r>
      <w:r>
        <w:t>2017</w:t>
      </w:r>
      <w:r w:rsidRPr="009070E2">
        <w:t xml:space="preserve"> (notifications dépositaires </w:t>
      </w:r>
      <w:r w:rsidRPr="009070E2">
        <w:rPr>
          <w:bCs/>
          <w:lang w:val="fr-FR"/>
        </w:rPr>
        <w:t>CN.</w:t>
      </w:r>
      <w:r>
        <w:rPr>
          <w:bCs/>
          <w:lang w:val="fr-FR"/>
        </w:rPr>
        <w:t>443</w:t>
      </w:r>
      <w:r w:rsidRPr="009070E2">
        <w:rPr>
          <w:bCs/>
          <w:lang w:val="fr-FR"/>
        </w:rPr>
        <w:t>.</w:t>
      </w:r>
      <w:r>
        <w:rPr>
          <w:bCs/>
          <w:lang w:val="fr-FR"/>
        </w:rPr>
        <w:t>2016</w:t>
      </w:r>
      <w:r w:rsidRPr="009070E2">
        <w:rPr>
          <w:bCs/>
          <w:lang w:val="fr-FR"/>
        </w:rPr>
        <w:t>-Treaties</w:t>
      </w:r>
      <w:r w:rsidRPr="009070E2">
        <w:rPr>
          <w:bCs/>
        </w:rPr>
        <w:t xml:space="preserve"> </w:t>
      </w:r>
      <w:r w:rsidRPr="009070E2">
        <w:t>du 1</w:t>
      </w:r>
      <w:r>
        <w:t>2</w:t>
      </w:r>
      <w:r w:rsidRPr="009070E2">
        <w:t xml:space="preserve"> juillet </w:t>
      </w:r>
      <w:r>
        <w:t>2016</w:t>
      </w:r>
      <w:r w:rsidRPr="009070E2">
        <w:t xml:space="preserve"> et </w:t>
      </w:r>
      <w:r w:rsidRPr="009070E2">
        <w:rPr>
          <w:bCs/>
          <w:lang w:val="fr-FR"/>
        </w:rPr>
        <w:t>CN.</w:t>
      </w:r>
      <w:r>
        <w:rPr>
          <w:bCs/>
          <w:lang w:val="fr-FR"/>
        </w:rPr>
        <w:t>744</w:t>
      </w:r>
      <w:r w:rsidRPr="009070E2">
        <w:rPr>
          <w:bCs/>
          <w:lang w:val="fr-FR"/>
        </w:rPr>
        <w:t>.</w:t>
      </w:r>
      <w:r>
        <w:rPr>
          <w:bCs/>
          <w:lang w:val="fr-FR"/>
        </w:rPr>
        <w:t>2016</w:t>
      </w:r>
      <w:r w:rsidRPr="009070E2">
        <w:rPr>
          <w:bCs/>
          <w:lang w:val="fr-FR"/>
        </w:rPr>
        <w:t>-Treaties</w:t>
      </w:r>
      <w:r w:rsidRPr="009070E2">
        <w:rPr>
          <w:bCs/>
        </w:rPr>
        <w:t xml:space="preserve"> </w:t>
      </w:r>
      <w:r w:rsidRPr="009070E2">
        <w:t xml:space="preserve">du </w:t>
      </w:r>
      <w:r>
        <w:t>10</w:t>
      </w:r>
      <w:r w:rsidRPr="009070E2">
        <w:t xml:space="preserve"> octobre </w:t>
      </w:r>
      <w:r>
        <w:t>2016</w:t>
      </w:r>
      <w:r w:rsidRPr="009070E2">
        <w:t>).</w:t>
      </w:r>
    </w:p>
    <w:p w14:paraId="5107883E" w14:textId="77777777" w:rsidR="00332FC3" w:rsidRDefault="00332FC3" w:rsidP="00332FC3">
      <w:pPr>
        <w:pStyle w:val="SingleTxtG"/>
      </w:pPr>
      <w:r>
        <w:t>13.</w:t>
      </w:r>
      <w:r>
        <w:tab/>
      </w:r>
      <w:r w:rsidRPr="00B03965">
        <w:t xml:space="preserve">Le Groupe de travail a noté avec satisfaction que </w:t>
      </w:r>
      <w:r>
        <w:t xml:space="preserve">la Géorgie </w:t>
      </w:r>
      <w:r w:rsidRPr="00B03965">
        <w:t xml:space="preserve">avait adhéré à l'ADR le </w:t>
      </w:r>
      <w:r>
        <w:t>19 septembre</w:t>
      </w:r>
      <w:r w:rsidRPr="00B03965">
        <w:t xml:space="preserve"> et qu'en conséquence l'ADR était entré en vigueur pour ce pays le </w:t>
      </w:r>
      <w:r>
        <w:t>19 octobre 2016</w:t>
      </w:r>
      <w:r w:rsidRPr="00B03965">
        <w:t>.</w:t>
      </w:r>
    </w:p>
    <w:p w14:paraId="29029BA6" w14:textId="77777777" w:rsidR="00332FC3" w:rsidRPr="00466F75" w:rsidRDefault="00332FC3" w:rsidP="00332FC3">
      <w:pPr>
        <w:pStyle w:val="H1G"/>
        <w:rPr>
          <w:lang w:val="fr-FR"/>
        </w:rPr>
      </w:pPr>
      <w:r w:rsidRPr="00466F75">
        <w:rPr>
          <w:lang w:val="fr-FR"/>
        </w:rPr>
        <w:tab/>
      </w:r>
      <w:r>
        <w:rPr>
          <w:lang w:val="fr-FR"/>
        </w:rPr>
        <w:t>B</w:t>
      </w:r>
      <w:r w:rsidRPr="00466F75">
        <w:rPr>
          <w:lang w:val="fr-FR"/>
        </w:rPr>
        <w:t>.</w:t>
      </w:r>
      <w:r w:rsidRPr="00466F75">
        <w:rPr>
          <w:lang w:val="fr-FR"/>
        </w:rPr>
        <w:tab/>
        <w:t>Protocole d’amendement de 1993</w:t>
      </w:r>
    </w:p>
    <w:p w14:paraId="641A0313" w14:textId="2DF79AF1" w:rsidR="00332FC3" w:rsidRDefault="00332FC3" w:rsidP="00332FC3">
      <w:pPr>
        <w:pStyle w:val="SingleTxtG"/>
      </w:pPr>
      <w:r>
        <w:t>14.</w:t>
      </w:r>
      <w:r>
        <w:tab/>
      </w:r>
      <w:r w:rsidRPr="002546F9">
        <w:t xml:space="preserve">Le Groupe de travail a </w:t>
      </w:r>
      <w:r>
        <w:t xml:space="preserve">noté </w:t>
      </w:r>
      <w:r w:rsidR="00A77BAD">
        <w:t>que</w:t>
      </w:r>
      <w:r w:rsidRPr="002546F9">
        <w:t xml:space="preserve"> </w:t>
      </w:r>
      <w:r>
        <w:t>quatorze</w:t>
      </w:r>
      <w:r w:rsidRPr="002546F9">
        <w:t xml:space="preserve"> pays </w:t>
      </w:r>
      <w:r w:rsidRPr="00537EE1">
        <w:t>(</w:t>
      </w:r>
      <w:r w:rsidRPr="009110C3">
        <w:t xml:space="preserve">Azerbaïdjan, Bélarus, Bosnie-Herzégovine, Croatie, ex-République yougoslave de Macédoine, </w:t>
      </w:r>
      <w:r>
        <w:t xml:space="preserve">Géorgie, </w:t>
      </w:r>
      <w:r w:rsidRPr="009110C3">
        <w:t>Islande, Kazakhstan, Malte, Maroc, Monténégro, Tadjikistan, Tunisie, et Ukraine</w:t>
      </w:r>
      <w:r w:rsidRPr="00537EE1">
        <w:t xml:space="preserve">) </w:t>
      </w:r>
      <w:r w:rsidRPr="002546F9">
        <w:t>n’ont pas</w:t>
      </w:r>
      <w:r w:rsidR="00A77BAD">
        <w:t xml:space="preserve"> encore</w:t>
      </w:r>
      <w:r w:rsidRPr="002546F9">
        <w:t xml:space="preserve"> déposé l’instrument juridique approprié pour que le Protocole puisse entrer en vigueur et a encouragé ces pays à prendre </w:t>
      </w:r>
      <w:r w:rsidRPr="00C5445F">
        <w:t>les mesures nécessaires pour ratifier ou accéder à ce Protocole afin de permettre son entrée en vigueur.</w:t>
      </w:r>
    </w:p>
    <w:p w14:paraId="54F4CC96" w14:textId="77777777" w:rsidR="00332FC3" w:rsidRPr="007C0178" w:rsidRDefault="00332FC3" w:rsidP="00332FC3">
      <w:pPr>
        <w:pStyle w:val="HChG"/>
      </w:pPr>
      <w:r>
        <w:tab/>
        <w:t>V.</w:t>
      </w:r>
      <w:r>
        <w:tab/>
      </w:r>
      <w:r w:rsidRPr="005B2C1D">
        <w:t>Travaux de la Réunion commune RID/A</w:t>
      </w:r>
      <w:r>
        <w:t>DR/ADN</w:t>
      </w:r>
      <w:r>
        <w:br/>
      </w:r>
      <w:r w:rsidRPr="005B2C1D">
        <w:t xml:space="preserve">(point </w:t>
      </w:r>
      <w:r>
        <w:t>4</w:t>
      </w:r>
      <w:r w:rsidRPr="005B2C1D">
        <w:t xml:space="preserve"> de l</w:t>
      </w:r>
      <w:r>
        <w:t>’</w:t>
      </w:r>
      <w:r w:rsidRPr="005B2C1D">
        <w:t>ordre du jour)</w:t>
      </w:r>
    </w:p>
    <w:p w14:paraId="4E598AC8" w14:textId="77777777" w:rsidR="00332FC3" w:rsidRPr="003659AC" w:rsidRDefault="00332FC3" w:rsidP="00332FC3">
      <w:pPr>
        <w:pStyle w:val="H1G"/>
      </w:pPr>
      <w:r>
        <w:tab/>
      </w:r>
      <w:r w:rsidRPr="003659AC">
        <w:t>A.</w:t>
      </w:r>
      <w:r w:rsidRPr="003659AC">
        <w:tab/>
        <w:t>Amendements proposés par l</w:t>
      </w:r>
      <w:r>
        <w:t>a Réunion commune à sa session</w:t>
      </w:r>
      <w:r>
        <w:br/>
      </w:r>
      <w:r w:rsidRPr="003659AC">
        <w:t xml:space="preserve">de printemps </w:t>
      </w:r>
      <w:r>
        <w:t>2016</w:t>
      </w:r>
    </w:p>
    <w:p w14:paraId="5C2DF0E6" w14:textId="77777777" w:rsidR="00332FC3" w:rsidRDefault="00332FC3" w:rsidP="00332FC3">
      <w:pPr>
        <w:pStyle w:val="SingleTxtG"/>
        <w:ind w:left="3119" w:hanging="1985"/>
        <w:jc w:val="left"/>
      </w:pPr>
      <w:r w:rsidRPr="003659AC">
        <w:rPr>
          <w:i/>
        </w:rPr>
        <w:t>Document</w:t>
      </w:r>
      <w:r>
        <w:t>:</w:t>
      </w:r>
      <w:r>
        <w:tab/>
        <w:t>ECE/TRANS/WP.15/AC.1/142/Add.2, section IV</w:t>
      </w:r>
    </w:p>
    <w:p w14:paraId="697F8404" w14:textId="476FFC21" w:rsidR="00332FC3" w:rsidRDefault="00332FC3" w:rsidP="00332FC3">
      <w:pPr>
        <w:pStyle w:val="SingleTxtG"/>
      </w:pPr>
      <w:r>
        <w:t>15.</w:t>
      </w:r>
      <w:r>
        <w:tab/>
        <w:t>Les amendements ont été adoptés pour entrée en vigueur le 1</w:t>
      </w:r>
      <w:r w:rsidRPr="00986C52">
        <w:t>er</w:t>
      </w:r>
      <w:r>
        <w:t> janvier 2019 (voir annexe</w:t>
      </w:r>
      <w:r w:rsidR="008C19CB">
        <w:t xml:space="preserve"> I</w:t>
      </w:r>
      <w:r>
        <w:t xml:space="preserve">). </w:t>
      </w:r>
    </w:p>
    <w:p w14:paraId="5BF86CD6" w14:textId="77777777" w:rsidR="00332FC3" w:rsidRPr="003659AC" w:rsidRDefault="00332FC3" w:rsidP="00332FC3">
      <w:pPr>
        <w:pStyle w:val="H1G"/>
      </w:pPr>
      <w:r>
        <w:tab/>
        <w:t>B</w:t>
      </w:r>
      <w:r w:rsidRPr="003659AC">
        <w:t>.</w:t>
      </w:r>
      <w:r w:rsidRPr="003659AC">
        <w:tab/>
      </w:r>
      <w:r>
        <w:t>Corrections</w:t>
      </w:r>
      <w:r w:rsidRPr="003659AC">
        <w:t xml:space="preserve"> proposés par l</w:t>
      </w:r>
      <w:r>
        <w:t>a Réunion commune à sa session</w:t>
      </w:r>
      <w:r>
        <w:br/>
        <w:t>d’automne</w:t>
      </w:r>
      <w:r w:rsidRPr="003659AC">
        <w:t xml:space="preserve"> </w:t>
      </w:r>
      <w:r>
        <w:t>2016</w:t>
      </w:r>
    </w:p>
    <w:p w14:paraId="64743059" w14:textId="77777777" w:rsidR="00332FC3" w:rsidRDefault="00332FC3" w:rsidP="00332FC3">
      <w:pPr>
        <w:pStyle w:val="SingleTxtG"/>
        <w:tabs>
          <w:tab w:val="left" w:pos="1418"/>
        </w:tabs>
        <w:ind w:left="3119" w:hanging="1985"/>
        <w:jc w:val="left"/>
      </w:pPr>
      <w:r>
        <w:rPr>
          <w:i/>
        </w:rPr>
        <w:t>Document informel</w:t>
      </w:r>
      <w:r>
        <w:t>:</w:t>
      </w:r>
      <w:r>
        <w:tab/>
        <w:t xml:space="preserve">INF.8/Rev.1 (Secrétariat) </w:t>
      </w:r>
    </w:p>
    <w:p w14:paraId="586FA1AB" w14:textId="0EFFE0B4" w:rsidR="00332FC3" w:rsidRPr="00185390" w:rsidRDefault="00332FC3" w:rsidP="00332FC3">
      <w:pPr>
        <w:pStyle w:val="SingleTxtG"/>
        <w:rPr>
          <w:color w:val="000000"/>
          <w:lang w:val="fr-FR"/>
        </w:rPr>
      </w:pPr>
      <w:r>
        <w:rPr>
          <w:color w:val="000000"/>
          <w:lang w:val="fr-FR"/>
        </w:rPr>
        <w:lastRenderedPageBreak/>
        <w:t>16.</w:t>
      </w:r>
      <w:r>
        <w:rPr>
          <w:color w:val="000000"/>
          <w:lang w:val="fr-FR"/>
        </w:rPr>
        <w:tab/>
      </w:r>
      <w:r w:rsidRPr="00185390">
        <w:rPr>
          <w:color w:val="000000"/>
          <w:lang w:val="fr-FR"/>
        </w:rPr>
        <w:t>Le Groupe de travail a confirmé que les corrections proposées par la Réunion commune à sa session d’automne 2016</w:t>
      </w:r>
      <w:r>
        <w:rPr>
          <w:color w:val="000000"/>
          <w:lang w:val="fr-FR"/>
        </w:rPr>
        <w:t xml:space="preserve"> ainsi que les autres corrections proposées par le secrétariat</w:t>
      </w:r>
      <w:r w:rsidRPr="00185390">
        <w:rPr>
          <w:color w:val="000000"/>
          <w:lang w:val="fr-FR"/>
        </w:rPr>
        <w:t xml:space="preserve"> étaient de nature purement technique et visaient à remédier au manque de concordance entre les</w:t>
      </w:r>
      <w:r>
        <w:rPr>
          <w:rStyle w:val="apple-converted-space"/>
          <w:color w:val="000000"/>
          <w:lang w:val="fr-FR"/>
        </w:rPr>
        <w:t xml:space="preserve"> </w:t>
      </w:r>
      <w:r w:rsidRPr="00185390">
        <w:rPr>
          <w:color w:val="000000"/>
          <w:lang w:val="fr-FR"/>
        </w:rPr>
        <w:t>textes</w:t>
      </w:r>
      <w:r>
        <w:rPr>
          <w:rStyle w:val="apple-converted-space"/>
          <w:color w:val="000000"/>
          <w:lang w:val="fr-FR"/>
        </w:rPr>
        <w:t xml:space="preserve"> </w:t>
      </w:r>
      <w:r w:rsidRPr="00185390">
        <w:rPr>
          <w:color w:val="000000"/>
          <w:lang w:val="fr-FR"/>
        </w:rPr>
        <w:t>anglais et russe</w:t>
      </w:r>
      <w:r>
        <w:rPr>
          <w:rStyle w:val="apple-converted-space"/>
          <w:color w:val="000000"/>
          <w:lang w:val="fr-FR"/>
        </w:rPr>
        <w:t xml:space="preserve"> </w:t>
      </w:r>
      <w:r w:rsidRPr="00185390">
        <w:rPr>
          <w:color w:val="000000"/>
          <w:lang w:val="fr-FR"/>
        </w:rPr>
        <w:t>et</w:t>
      </w:r>
      <w:r>
        <w:rPr>
          <w:rStyle w:val="apple-converted-space"/>
          <w:color w:val="000000"/>
          <w:lang w:val="fr-FR"/>
        </w:rPr>
        <w:t xml:space="preserve"> </w:t>
      </w:r>
      <w:r w:rsidRPr="00185390">
        <w:rPr>
          <w:color w:val="000000"/>
          <w:lang w:val="fr-FR"/>
        </w:rPr>
        <w:t>le</w:t>
      </w:r>
      <w:r>
        <w:rPr>
          <w:color w:val="000000"/>
          <w:lang w:val="fr-FR"/>
        </w:rPr>
        <w:t xml:space="preserve"> </w:t>
      </w:r>
      <w:r w:rsidRPr="00185390">
        <w:rPr>
          <w:color w:val="000000"/>
          <w:lang w:val="fr-FR"/>
        </w:rPr>
        <w:t>texte</w:t>
      </w:r>
      <w:r>
        <w:rPr>
          <w:color w:val="000000"/>
          <w:lang w:val="fr-FR"/>
        </w:rPr>
        <w:t xml:space="preserve"> </w:t>
      </w:r>
      <w:r w:rsidRPr="00185390">
        <w:rPr>
          <w:color w:val="000000"/>
          <w:lang w:val="fr-FR"/>
        </w:rPr>
        <w:t>français</w:t>
      </w:r>
      <w:r>
        <w:rPr>
          <w:rStyle w:val="apple-converted-space"/>
          <w:color w:val="000000"/>
          <w:lang w:val="fr-FR"/>
        </w:rPr>
        <w:t xml:space="preserve"> </w:t>
      </w:r>
      <w:r w:rsidRPr="00185390">
        <w:rPr>
          <w:color w:val="000000"/>
          <w:lang w:val="fr-FR"/>
        </w:rPr>
        <w:t xml:space="preserve">authentique ou à corriger des fautes de frappes ou des problèmes de numérotation ou de références croisées. </w:t>
      </w:r>
    </w:p>
    <w:p w14:paraId="4D9A0712" w14:textId="3BFF0118" w:rsidR="00332FC3" w:rsidRDefault="00332FC3" w:rsidP="00332FC3">
      <w:pPr>
        <w:pStyle w:val="SingleTxtG"/>
        <w:rPr>
          <w:color w:val="000000"/>
        </w:rPr>
      </w:pPr>
      <w:r>
        <w:rPr>
          <w:color w:val="000000"/>
        </w:rPr>
        <w:t>17.</w:t>
      </w:r>
      <w:r>
        <w:rPr>
          <w:color w:val="000000"/>
        </w:rPr>
        <w:tab/>
        <w:t>Considérant que ces corrections ne modifiaient pas le contenu des dispositions de l’ADR, l</w:t>
      </w:r>
      <w:r w:rsidRPr="00BF4685">
        <w:rPr>
          <w:lang w:val="fr-FR"/>
        </w:rPr>
        <w:t xml:space="preserve">e Groupe de travail a adopté les corrections proposées par </w:t>
      </w:r>
      <w:r>
        <w:rPr>
          <w:lang w:val="fr-FR"/>
        </w:rPr>
        <w:t xml:space="preserve">la Réunion commune </w:t>
      </w:r>
      <w:r w:rsidRPr="00BF4685">
        <w:rPr>
          <w:lang w:val="fr-FR"/>
        </w:rPr>
        <w:t xml:space="preserve">et a demandé </w:t>
      </w:r>
      <w:r>
        <w:rPr>
          <w:lang w:val="fr-FR"/>
        </w:rPr>
        <w:t xml:space="preserve">au secrétariat </w:t>
      </w:r>
      <w:r w:rsidRPr="00BF4685">
        <w:rPr>
          <w:lang w:val="fr-FR"/>
        </w:rPr>
        <w:t xml:space="preserve">de faire le nécessaire pour qu'un rectificatif puisse être publié au plus vite (voir annexe </w:t>
      </w:r>
      <w:r w:rsidR="008C19CB">
        <w:rPr>
          <w:lang w:val="fr-FR"/>
        </w:rPr>
        <w:t>II</w:t>
      </w:r>
      <w:r w:rsidR="008C19CB" w:rsidRPr="00BF4685">
        <w:rPr>
          <w:lang w:val="fr-FR"/>
        </w:rPr>
        <w:t>).</w:t>
      </w:r>
    </w:p>
    <w:p w14:paraId="19193995" w14:textId="42D88497" w:rsidR="00585560" w:rsidRDefault="00585560" w:rsidP="00585560">
      <w:pPr>
        <w:pStyle w:val="HChG"/>
      </w:pPr>
      <w:r>
        <w:tab/>
        <w:t>VI.</w:t>
      </w:r>
      <w:r>
        <w:tab/>
      </w:r>
      <w:r w:rsidRPr="00EF51C7">
        <w:rPr>
          <w:lang w:val="fr-FR"/>
        </w:rPr>
        <w:t>Propositions d'amendement aux annexes A et B de l'ADR</w:t>
      </w:r>
      <w:r>
        <w:rPr>
          <w:lang w:val="fr-FR"/>
        </w:rPr>
        <w:t xml:space="preserve"> </w:t>
      </w:r>
      <w:r w:rsidRPr="005B2C1D">
        <w:t xml:space="preserve">(point </w:t>
      </w:r>
      <w:r>
        <w:t>5</w:t>
      </w:r>
      <w:r w:rsidRPr="005B2C1D">
        <w:t xml:space="preserve"> de l</w:t>
      </w:r>
      <w:r>
        <w:t>’</w:t>
      </w:r>
      <w:r w:rsidRPr="005B2C1D">
        <w:t>ordre du jour)</w:t>
      </w:r>
    </w:p>
    <w:p w14:paraId="1BB4784A" w14:textId="77777777" w:rsidR="006067BE" w:rsidRDefault="006067BE" w:rsidP="006067BE">
      <w:pPr>
        <w:pStyle w:val="H1G"/>
        <w:rPr>
          <w:lang w:val="fr-FR"/>
        </w:rPr>
      </w:pPr>
      <w:r>
        <w:tab/>
        <w:t>A</w:t>
      </w:r>
      <w:r w:rsidRPr="003659AC">
        <w:t>.</w:t>
      </w:r>
      <w:r w:rsidRPr="003659AC">
        <w:tab/>
      </w:r>
      <w:r w:rsidRPr="00EF51C7">
        <w:rPr>
          <w:lang w:val="fr-FR"/>
        </w:rPr>
        <w:t>Construction et agrément des véhicules</w:t>
      </w:r>
    </w:p>
    <w:p w14:paraId="757776D0" w14:textId="77777777" w:rsidR="006067BE" w:rsidRPr="004B4555" w:rsidRDefault="006067BE" w:rsidP="006067BE">
      <w:pPr>
        <w:pStyle w:val="H23G"/>
        <w:rPr>
          <w:lang w:val="fr-FR"/>
        </w:rPr>
      </w:pPr>
      <w:r w:rsidRPr="004B4555">
        <w:rPr>
          <w:lang w:val="fr-FR"/>
        </w:rPr>
        <w:tab/>
      </w:r>
      <w:r>
        <w:rPr>
          <w:lang w:val="fr-FR"/>
        </w:rPr>
        <w:t>1</w:t>
      </w:r>
      <w:r w:rsidRPr="004B4555">
        <w:rPr>
          <w:lang w:val="fr-FR"/>
        </w:rPr>
        <w:t>.</w:t>
      </w:r>
      <w:r w:rsidRPr="004B4555">
        <w:rPr>
          <w:lang w:val="fr-FR"/>
        </w:rPr>
        <w:tab/>
      </w:r>
      <w:r w:rsidRPr="004919D7">
        <w:t>Modification du tableau du 9.2.1.1</w:t>
      </w:r>
    </w:p>
    <w:p w14:paraId="0315F1CB" w14:textId="77777777" w:rsidR="006067BE" w:rsidRDefault="006067BE" w:rsidP="006067BE">
      <w:pPr>
        <w:pStyle w:val="SingleTxtG"/>
        <w:spacing w:before="120"/>
        <w:ind w:left="2268" w:hanging="1134"/>
        <w:jc w:val="left"/>
      </w:pPr>
      <w:r w:rsidRPr="008E380C">
        <w:rPr>
          <w:i/>
        </w:rPr>
        <w:t xml:space="preserve">Document: </w:t>
      </w:r>
      <w:r w:rsidRPr="008E380C">
        <w:rPr>
          <w:i/>
        </w:rPr>
        <w:tab/>
      </w:r>
      <w:r>
        <w:t>ECE/TRANS/WP.15/2016/14</w:t>
      </w:r>
      <w:r w:rsidRPr="008E380C">
        <w:t xml:space="preserve"> </w:t>
      </w:r>
      <w:r>
        <w:t>(Pays-Bas)</w:t>
      </w:r>
    </w:p>
    <w:p w14:paraId="7BE99F55" w14:textId="0AB78A11" w:rsidR="006067BE" w:rsidRDefault="00E636B6" w:rsidP="006067BE">
      <w:pPr>
        <w:pStyle w:val="SingleTxtG"/>
      </w:pPr>
      <w:r>
        <w:t>18</w:t>
      </w:r>
      <w:r w:rsidR="006067BE">
        <w:t>.</w:t>
      </w:r>
      <w:r w:rsidR="006067BE">
        <w:tab/>
        <w:t xml:space="preserve">Le Groupe de travail a confirmé qu’il manquait dans le tableau du 9.2.1.1 un lien vers le 9.2.7 pour les véhicules FL et AT et que cette référence croisée aurait </w:t>
      </w:r>
      <w:r w:rsidR="008C19CB">
        <w:t>dû</w:t>
      </w:r>
      <w:r w:rsidR="006067BE">
        <w:t xml:space="preserve"> être mise à jour dans le cadre des amendements entrant en vigueur le 1 janvier 2017.</w:t>
      </w:r>
    </w:p>
    <w:p w14:paraId="4C926EA0" w14:textId="2FBDF607" w:rsidR="006067BE" w:rsidRDefault="00E636B6" w:rsidP="006067BE">
      <w:pPr>
        <w:pStyle w:val="SingleTxtG"/>
        <w:rPr>
          <w:lang w:val="fr-FR"/>
        </w:rPr>
      </w:pPr>
      <w:r>
        <w:t>19</w:t>
      </w:r>
      <w:r w:rsidR="006067BE">
        <w:t>.</w:t>
      </w:r>
      <w:r w:rsidR="006067BE">
        <w:tab/>
        <w:t xml:space="preserve">Le Groupe de travail a adopté cette correction et a prié le secrétariat de </w:t>
      </w:r>
      <w:r w:rsidR="006067BE" w:rsidRPr="00BF4685">
        <w:rPr>
          <w:lang w:val="fr-FR"/>
        </w:rPr>
        <w:t xml:space="preserve">faire le nécessaire pour qu'un rectificatif puisse être publié au plus vite (voir annexe </w:t>
      </w:r>
      <w:r w:rsidR="008C19CB">
        <w:rPr>
          <w:lang w:val="fr-FR"/>
        </w:rPr>
        <w:t>II</w:t>
      </w:r>
      <w:r w:rsidR="008C19CB" w:rsidRPr="00BF4685">
        <w:rPr>
          <w:lang w:val="fr-FR"/>
        </w:rPr>
        <w:t>).</w:t>
      </w:r>
    </w:p>
    <w:p w14:paraId="28AACC83" w14:textId="25943F83" w:rsidR="006067BE" w:rsidRDefault="00E636B6" w:rsidP="006067BE">
      <w:pPr>
        <w:pStyle w:val="SingleTxtG"/>
      </w:pPr>
      <w:r>
        <w:rPr>
          <w:lang w:val="fr-FR"/>
        </w:rPr>
        <w:t>20</w:t>
      </w:r>
      <w:r w:rsidR="006067BE">
        <w:rPr>
          <w:lang w:val="fr-FR"/>
        </w:rPr>
        <w:t>.</w:t>
      </w:r>
      <w:r w:rsidR="006067BE">
        <w:rPr>
          <w:lang w:val="fr-FR"/>
        </w:rPr>
        <w:tab/>
        <w:t>La mesure transitoire également proposée par les Pays-Bas pour la dernière colonne du tableau devrait faire l’objet d’une nouvelle proposition d’amendement. Ce point pourra être traité lors d’une prochaine session sur la base d’un nouveau document.</w:t>
      </w:r>
    </w:p>
    <w:p w14:paraId="3B749601" w14:textId="77777777" w:rsidR="006067BE" w:rsidRPr="004B4555" w:rsidRDefault="006067BE" w:rsidP="006067BE">
      <w:pPr>
        <w:pStyle w:val="H23G"/>
        <w:rPr>
          <w:lang w:val="fr-FR"/>
        </w:rPr>
      </w:pPr>
      <w:r w:rsidRPr="004B4555">
        <w:rPr>
          <w:lang w:val="fr-FR"/>
        </w:rPr>
        <w:tab/>
      </w:r>
      <w:r>
        <w:rPr>
          <w:lang w:val="fr-FR"/>
        </w:rPr>
        <w:t>2</w:t>
      </w:r>
      <w:r w:rsidRPr="004B4555">
        <w:rPr>
          <w:lang w:val="fr-FR"/>
        </w:rPr>
        <w:t>.</w:t>
      </w:r>
      <w:r w:rsidRPr="004B4555">
        <w:rPr>
          <w:lang w:val="fr-FR"/>
        </w:rPr>
        <w:tab/>
      </w:r>
      <w:r>
        <w:t>Prescriptions relatives aux moyens de fixation</w:t>
      </w:r>
    </w:p>
    <w:p w14:paraId="02AB8B18" w14:textId="77777777" w:rsidR="006067BE" w:rsidRDefault="006067BE" w:rsidP="006067BE">
      <w:pPr>
        <w:pStyle w:val="SingleTxtG"/>
        <w:spacing w:before="120"/>
        <w:ind w:left="2268" w:hanging="1134"/>
        <w:jc w:val="left"/>
      </w:pPr>
      <w:r w:rsidRPr="008E380C">
        <w:rPr>
          <w:i/>
        </w:rPr>
        <w:t xml:space="preserve">Document: </w:t>
      </w:r>
      <w:r w:rsidRPr="008E380C">
        <w:rPr>
          <w:i/>
        </w:rPr>
        <w:tab/>
      </w:r>
      <w:r>
        <w:t>ECE/TRANS/WP.15/2016/19</w:t>
      </w:r>
      <w:r w:rsidRPr="008E380C">
        <w:t xml:space="preserve"> </w:t>
      </w:r>
      <w:r>
        <w:t>(Norvège)</w:t>
      </w:r>
    </w:p>
    <w:p w14:paraId="0A03CC52" w14:textId="77777777" w:rsidR="006067BE" w:rsidRDefault="006067BE" w:rsidP="006067BE">
      <w:pPr>
        <w:pStyle w:val="SingleTxtG"/>
        <w:tabs>
          <w:tab w:val="left" w:pos="1418"/>
        </w:tabs>
        <w:ind w:left="3119" w:hanging="1985"/>
        <w:jc w:val="left"/>
      </w:pPr>
      <w:r>
        <w:rPr>
          <w:i/>
        </w:rPr>
        <w:t>Document informel</w:t>
      </w:r>
      <w:r>
        <w:t>:</w:t>
      </w:r>
      <w:r>
        <w:tab/>
        <w:t>INF.17 (Norvège)</w:t>
      </w:r>
    </w:p>
    <w:p w14:paraId="4EC22CE6" w14:textId="3CF7B4ED" w:rsidR="006067BE" w:rsidRDefault="00E636B6" w:rsidP="006067BE">
      <w:pPr>
        <w:pStyle w:val="SingleTxtG"/>
      </w:pPr>
      <w:r>
        <w:t>21</w:t>
      </w:r>
      <w:r w:rsidR="006067BE">
        <w:t>.</w:t>
      </w:r>
      <w:r w:rsidR="006067BE">
        <w:tab/>
        <w:t>La proposition de la Norvège a reçu un large appui. Plusieurs délégations considéraient cependant que le texte proposé pouvait encore être amélioré. La représentante de la Norvège présentera u</w:t>
      </w:r>
      <w:r w:rsidR="006067BE" w:rsidRPr="00C27B50">
        <w:t xml:space="preserve">n nouveau document à la prochaine session pour tenir compte des diverses interventions. </w:t>
      </w:r>
      <w:r w:rsidR="006067BE">
        <w:t>Les délégations qui le souhaitent pourront transmettre leurs commentaires par écrit à la représentante de la Norvège.</w:t>
      </w:r>
    </w:p>
    <w:p w14:paraId="0A414C7D" w14:textId="77777777" w:rsidR="006067BE" w:rsidRPr="004B4555" w:rsidRDefault="006067BE" w:rsidP="006067BE">
      <w:pPr>
        <w:pStyle w:val="H23G"/>
        <w:rPr>
          <w:lang w:val="fr-FR"/>
        </w:rPr>
      </w:pPr>
      <w:r w:rsidRPr="004B4555">
        <w:rPr>
          <w:lang w:val="fr-FR"/>
        </w:rPr>
        <w:tab/>
      </w:r>
      <w:r>
        <w:rPr>
          <w:lang w:val="fr-FR"/>
        </w:rPr>
        <w:t>3</w:t>
      </w:r>
      <w:r w:rsidRPr="004B4555">
        <w:rPr>
          <w:lang w:val="fr-FR"/>
        </w:rPr>
        <w:t>.</w:t>
      </w:r>
      <w:r w:rsidRPr="004B4555">
        <w:rPr>
          <w:lang w:val="fr-FR"/>
        </w:rPr>
        <w:tab/>
      </w:r>
      <w:r>
        <w:t>Correction d’une erreur typographique dans la version anglaise du tableau du 9.2.1.1</w:t>
      </w:r>
    </w:p>
    <w:p w14:paraId="062012E8" w14:textId="77777777" w:rsidR="006067BE" w:rsidRDefault="006067BE" w:rsidP="006067BE">
      <w:pPr>
        <w:pStyle w:val="SingleTxtG"/>
        <w:tabs>
          <w:tab w:val="left" w:pos="1418"/>
        </w:tabs>
        <w:ind w:left="3119" w:hanging="1985"/>
        <w:jc w:val="left"/>
      </w:pPr>
      <w:r>
        <w:rPr>
          <w:i/>
        </w:rPr>
        <w:t>Document informel</w:t>
      </w:r>
      <w:r>
        <w:t>:</w:t>
      </w:r>
      <w:r>
        <w:tab/>
        <w:t>INF.12 (Pays-Bas)</w:t>
      </w:r>
    </w:p>
    <w:p w14:paraId="17820A4D" w14:textId="05E4C457" w:rsidR="006067BE" w:rsidRDefault="00E636B6" w:rsidP="006067BE">
      <w:pPr>
        <w:pStyle w:val="SingleTxtG"/>
      </w:pPr>
      <w:r>
        <w:t>22</w:t>
      </w:r>
      <w:r w:rsidR="006067BE">
        <w:t>.</w:t>
      </w:r>
      <w:r w:rsidR="006067BE">
        <w:tab/>
        <w:t xml:space="preserve">Le Groupe de travail a pris note de la correction proposée. Celle-ci sera publiée dans un rectificatif à la version anglaise de l’ADR. </w:t>
      </w:r>
    </w:p>
    <w:p w14:paraId="6BE66A4C" w14:textId="77777777" w:rsidR="006067BE" w:rsidRPr="004B4555" w:rsidRDefault="006067BE" w:rsidP="006067BE">
      <w:pPr>
        <w:pStyle w:val="H23G"/>
        <w:rPr>
          <w:lang w:val="fr-FR"/>
        </w:rPr>
      </w:pPr>
      <w:r w:rsidRPr="004B4555">
        <w:rPr>
          <w:lang w:val="fr-FR"/>
        </w:rPr>
        <w:tab/>
      </w:r>
      <w:r>
        <w:rPr>
          <w:lang w:val="fr-FR"/>
        </w:rPr>
        <w:t>4</w:t>
      </w:r>
      <w:r w:rsidRPr="004B4555">
        <w:rPr>
          <w:lang w:val="fr-FR"/>
        </w:rPr>
        <w:t>.</w:t>
      </w:r>
      <w:r w:rsidRPr="004B4555">
        <w:rPr>
          <w:lang w:val="fr-FR"/>
        </w:rPr>
        <w:tab/>
      </w:r>
      <w:r>
        <w:t>Mention à porter sur le certificat d’homologation des véhicules EX/III destinés au transport en citerne de matières de la classe 1</w:t>
      </w:r>
    </w:p>
    <w:p w14:paraId="0188E5AA" w14:textId="77777777" w:rsidR="006067BE" w:rsidRDefault="006067BE" w:rsidP="006067BE">
      <w:pPr>
        <w:pStyle w:val="SingleTxtG"/>
        <w:spacing w:before="120"/>
        <w:ind w:left="2268" w:hanging="1134"/>
        <w:jc w:val="left"/>
      </w:pPr>
      <w:r w:rsidRPr="008E380C">
        <w:rPr>
          <w:i/>
        </w:rPr>
        <w:t xml:space="preserve">Document: </w:t>
      </w:r>
      <w:r w:rsidRPr="008E380C">
        <w:rPr>
          <w:i/>
        </w:rPr>
        <w:tab/>
      </w:r>
      <w:r>
        <w:t>ECE/TRANS/WP.15/2016/18</w:t>
      </w:r>
      <w:r w:rsidRPr="008E380C">
        <w:t xml:space="preserve"> </w:t>
      </w:r>
      <w:r>
        <w:t>(Pays-Bas)</w:t>
      </w:r>
    </w:p>
    <w:p w14:paraId="5CF89FC2" w14:textId="4A57BC89" w:rsidR="006067BE" w:rsidRDefault="00E636B6" w:rsidP="008C19CB">
      <w:pPr>
        <w:pStyle w:val="SingleTxtG"/>
      </w:pPr>
      <w:r>
        <w:t>23</w:t>
      </w:r>
      <w:r w:rsidR="006067BE">
        <w:t>.</w:t>
      </w:r>
      <w:r w:rsidR="006067BE">
        <w:tab/>
      </w:r>
      <w:r w:rsidR="006067BE" w:rsidRPr="00206300">
        <w:t>Le Groupe de travail a adopté la proposition des Pays-Bas (voir annexe</w:t>
      </w:r>
      <w:r w:rsidR="008C19CB">
        <w:t xml:space="preserve"> I</w:t>
      </w:r>
      <w:r w:rsidR="008C19CB" w:rsidRPr="00206300">
        <w:t xml:space="preserve">). </w:t>
      </w:r>
      <w:r w:rsidR="006067BE" w:rsidRPr="00206300">
        <w:t>Il conviendra d’examiner à une prochaine session si les mêmes amendements doivent être faits pour les MEMU.</w:t>
      </w:r>
    </w:p>
    <w:p w14:paraId="77C2C78B" w14:textId="56F054F8" w:rsidR="00585560" w:rsidRDefault="00585560" w:rsidP="00585560">
      <w:pPr>
        <w:pStyle w:val="H1G"/>
        <w:rPr>
          <w:lang w:val="fr-FR"/>
        </w:rPr>
      </w:pPr>
      <w:r>
        <w:lastRenderedPageBreak/>
        <w:tab/>
        <w:t>B</w:t>
      </w:r>
      <w:r w:rsidRPr="003659AC">
        <w:t>.</w:t>
      </w:r>
      <w:r w:rsidRPr="003659AC">
        <w:tab/>
      </w:r>
      <w:r w:rsidRPr="00EF51C7">
        <w:rPr>
          <w:lang w:val="fr-FR"/>
        </w:rPr>
        <w:t>Propositions diverses</w:t>
      </w:r>
    </w:p>
    <w:p w14:paraId="066E051A" w14:textId="77777777" w:rsidR="00585560" w:rsidRPr="004B4555" w:rsidRDefault="00585560" w:rsidP="00585560">
      <w:pPr>
        <w:pStyle w:val="H23G"/>
        <w:rPr>
          <w:lang w:val="fr-FR"/>
        </w:rPr>
      </w:pPr>
      <w:r w:rsidRPr="004B4555">
        <w:rPr>
          <w:lang w:val="fr-FR"/>
        </w:rPr>
        <w:tab/>
      </w:r>
      <w:r>
        <w:rPr>
          <w:lang w:val="fr-FR"/>
        </w:rPr>
        <w:t>1</w:t>
      </w:r>
      <w:r w:rsidRPr="004B4555">
        <w:rPr>
          <w:lang w:val="fr-FR"/>
        </w:rPr>
        <w:t>.</w:t>
      </w:r>
      <w:r w:rsidRPr="004B4555">
        <w:rPr>
          <w:lang w:val="fr-FR"/>
        </w:rPr>
        <w:tab/>
      </w:r>
      <w:r>
        <w:rPr>
          <w:lang w:val="fr-FR"/>
        </w:rPr>
        <w:t>Proposition de modification des 1.1.3.6 et 5.4.1.1.1 f)</w:t>
      </w:r>
    </w:p>
    <w:p w14:paraId="45C6759C" w14:textId="77777777" w:rsidR="00585560" w:rsidRDefault="00585560" w:rsidP="00585560">
      <w:pPr>
        <w:pStyle w:val="SingleTxtG"/>
        <w:spacing w:before="120"/>
        <w:ind w:left="2268" w:hanging="1134"/>
        <w:jc w:val="left"/>
      </w:pPr>
      <w:r w:rsidRPr="008E380C">
        <w:rPr>
          <w:i/>
        </w:rPr>
        <w:t>Document</w:t>
      </w:r>
      <w:r>
        <w:rPr>
          <w:i/>
        </w:rPr>
        <w:t>s</w:t>
      </w:r>
      <w:r w:rsidRPr="008E380C">
        <w:rPr>
          <w:i/>
        </w:rPr>
        <w:t xml:space="preserve">: </w:t>
      </w:r>
      <w:r w:rsidRPr="008E380C">
        <w:rPr>
          <w:i/>
        </w:rPr>
        <w:tab/>
      </w:r>
      <w:r>
        <w:t>ECE/TRANS/WP.15/2016/10</w:t>
      </w:r>
      <w:r w:rsidRPr="008E380C">
        <w:t xml:space="preserve"> </w:t>
      </w:r>
      <w:r>
        <w:t>(Suède)</w:t>
      </w:r>
      <w:r>
        <w:br/>
        <w:t xml:space="preserve">ECE/TRANS/WP.15/2016/17 </w:t>
      </w:r>
      <w:r w:rsidRPr="008E380C">
        <w:t>(</w:t>
      </w:r>
      <w:r>
        <w:t>IRU</w:t>
      </w:r>
      <w:r w:rsidRPr="008E380C">
        <w:t>)</w:t>
      </w:r>
    </w:p>
    <w:p w14:paraId="699AC03B" w14:textId="77777777" w:rsidR="00585560" w:rsidRDefault="00585560" w:rsidP="00585560">
      <w:pPr>
        <w:pStyle w:val="SingleTxtG"/>
        <w:tabs>
          <w:tab w:val="left" w:pos="3100"/>
        </w:tabs>
        <w:rPr>
          <w:lang w:val="fr-FR"/>
        </w:rPr>
      </w:pPr>
      <w:r>
        <w:rPr>
          <w:i/>
          <w:lang w:val="fr-FR"/>
        </w:rPr>
        <w:t>Document informel</w:t>
      </w:r>
      <w:r w:rsidRPr="005E3E7D">
        <w:rPr>
          <w:i/>
          <w:lang w:val="fr-FR"/>
        </w:rPr>
        <w:t xml:space="preserve">: </w:t>
      </w:r>
      <w:r w:rsidRPr="0054289D">
        <w:rPr>
          <w:lang w:val="fr-FR"/>
        </w:rPr>
        <w:tab/>
        <w:t>INF.</w:t>
      </w:r>
      <w:r>
        <w:rPr>
          <w:lang w:val="fr-FR"/>
        </w:rPr>
        <w:t xml:space="preserve">20 </w:t>
      </w:r>
      <w:r w:rsidRPr="0054289D">
        <w:rPr>
          <w:lang w:val="fr-FR"/>
        </w:rPr>
        <w:t>(</w:t>
      </w:r>
      <w:r>
        <w:rPr>
          <w:lang w:val="fr-FR"/>
        </w:rPr>
        <w:t>Roumanie</w:t>
      </w:r>
      <w:r w:rsidRPr="0054289D">
        <w:rPr>
          <w:lang w:val="fr-FR"/>
        </w:rPr>
        <w:t>)</w:t>
      </w:r>
    </w:p>
    <w:p w14:paraId="70CD7A1D" w14:textId="7A9D35D2" w:rsidR="00585560" w:rsidRDefault="00E636B6" w:rsidP="00585560">
      <w:pPr>
        <w:pStyle w:val="SingleTxtG"/>
      </w:pPr>
      <w:r>
        <w:t>2</w:t>
      </w:r>
      <w:r w:rsidR="008C19CB">
        <w:t>4</w:t>
      </w:r>
      <w:r w:rsidR="00585560">
        <w:t>.</w:t>
      </w:r>
      <w:r w:rsidR="00585560">
        <w:tab/>
        <w:t>Après discussion, la représentante de la Suède a retiré sa proposition. Quelques délégations ont appuyé le principe d’ajouter la valeur calculée dans le document de transport lorsque le 1.1.3.6 est appliqué. La représentante de la Suède présentera une version révisée des propositions 3 et 4 du document ECE/TRANS/WP.15/2016/10 pour tenir compte des remarques formulées en session.</w:t>
      </w:r>
    </w:p>
    <w:p w14:paraId="15D28CD8" w14:textId="545F152A" w:rsidR="00585560" w:rsidRDefault="00585560" w:rsidP="00585560">
      <w:pPr>
        <w:pStyle w:val="H23G"/>
      </w:pPr>
      <w:r w:rsidRPr="004B4555">
        <w:rPr>
          <w:lang w:val="fr-FR"/>
        </w:rPr>
        <w:tab/>
      </w:r>
      <w:r>
        <w:rPr>
          <w:lang w:val="fr-FR"/>
        </w:rPr>
        <w:t>2</w:t>
      </w:r>
      <w:r w:rsidRPr="004B4555">
        <w:rPr>
          <w:lang w:val="fr-FR"/>
        </w:rPr>
        <w:t>.</w:t>
      </w:r>
      <w:r w:rsidRPr="004B4555">
        <w:rPr>
          <w:lang w:val="fr-FR"/>
        </w:rPr>
        <w:tab/>
      </w:r>
      <w:r>
        <w:t>Chargement en commun sur des MEMU des émulsions de nitrates d’ammonium du No ONU 3375 avec des explosifs de mine - 7.5.5.2.3 f)</w:t>
      </w:r>
    </w:p>
    <w:p w14:paraId="4971F9EF" w14:textId="77777777" w:rsidR="00585560" w:rsidRDefault="00585560" w:rsidP="00585560">
      <w:pPr>
        <w:pStyle w:val="SingleTxtG"/>
        <w:spacing w:before="120"/>
        <w:ind w:left="2268" w:hanging="1134"/>
        <w:jc w:val="left"/>
      </w:pPr>
      <w:r w:rsidRPr="008E380C">
        <w:rPr>
          <w:i/>
        </w:rPr>
        <w:t xml:space="preserve">Document: </w:t>
      </w:r>
      <w:r w:rsidRPr="008E380C">
        <w:rPr>
          <w:i/>
        </w:rPr>
        <w:tab/>
      </w:r>
      <w:r>
        <w:t>ECE/TRANS/WP.15/2016/11</w:t>
      </w:r>
      <w:r w:rsidRPr="008E380C">
        <w:t xml:space="preserve"> </w:t>
      </w:r>
      <w:r>
        <w:t>(Suisse)</w:t>
      </w:r>
    </w:p>
    <w:p w14:paraId="348E19E5" w14:textId="7C26B5F7" w:rsidR="00585560" w:rsidRDefault="00E636B6" w:rsidP="00585560">
      <w:pPr>
        <w:pStyle w:val="SingleTxtG"/>
      </w:pPr>
      <w:r>
        <w:t>2</w:t>
      </w:r>
      <w:r w:rsidR="008C19CB">
        <w:t>5</w:t>
      </w:r>
      <w:r w:rsidR="00585560">
        <w:t>.</w:t>
      </w:r>
      <w:r w:rsidR="00585560">
        <w:tab/>
        <w:t xml:space="preserve">Les délégations qui se sont prononcées souhaitaient maintenir toutes les dispositions relatives au chargement en commun sur de MEMU au 7.5.5.2.3 sans qu’il ne soit nécessaire de se reporter au 7.5.2. Le représentant de la Suisse a retiré sa proposition. </w:t>
      </w:r>
    </w:p>
    <w:p w14:paraId="4A843863" w14:textId="77777777" w:rsidR="00585560" w:rsidRPr="004B4555" w:rsidRDefault="00585560" w:rsidP="00585560">
      <w:pPr>
        <w:pStyle w:val="H23G"/>
        <w:rPr>
          <w:lang w:val="fr-FR"/>
        </w:rPr>
      </w:pPr>
      <w:r w:rsidRPr="004B4555">
        <w:rPr>
          <w:lang w:val="fr-FR"/>
        </w:rPr>
        <w:tab/>
      </w:r>
      <w:r>
        <w:rPr>
          <w:lang w:val="fr-FR"/>
        </w:rPr>
        <w:t>3</w:t>
      </w:r>
      <w:r w:rsidRPr="004B4555">
        <w:rPr>
          <w:lang w:val="fr-FR"/>
        </w:rPr>
        <w:t>.</w:t>
      </w:r>
      <w:r w:rsidRPr="004B4555">
        <w:rPr>
          <w:lang w:val="fr-FR"/>
        </w:rPr>
        <w:tab/>
      </w:r>
      <w:r w:rsidRPr="00592C10">
        <w:rPr>
          <w:lang w:val="fr-FR"/>
        </w:rPr>
        <w:t>Extension du champ d’application des prescriptions des 7.5.1.1 et 7.5.1.2 de l’ADR aux membres d’équipage</w:t>
      </w:r>
    </w:p>
    <w:p w14:paraId="4D7411C5" w14:textId="77777777" w:rsidR="00585560" w:rsidRDefault="00585560" w:rsidP="00585560">
      <w:pPr>
        <w:pStyle w:val="SingleTxtG"/>
        <w:spacing w:before="120"/>
        <w:ind w:left="2268" w:hanging="1134"/>
        <w:jc w:val="left"/>
      </w:pPr>
      <w:r w:rsidRPr="008E380C">
        <w:rPr>
          <w:i/>
        </w:rPr>
        <w:t xml:space="preserve">Document: </w:t>
      </w:r>
      <w:r w:rsidRPr="008E380C">
        <w:rPr>
          <w:i/>
        </w:rPr>
        <w:tab/>
      </w:r>
      <w:r>
        <w:t>ECE/TRANS/WP.15/2016/12</w:t>
      </w:r>
      <w:r w:rsidRPr="008E380C">
        <w:t xml:space="preserve"> </w:t>
      </w:r>
      <w:r>
        <w:t>(Royaume-Uni)</w:t>
      </w:r>
    </w:p>
    <w:p w14:paraId="78DA8A4E" w14:textId="0342C605" w:rsidR="00585560" w:rsidRDefault="00E636B6" w:rsidP="00585560">
      <w:pPr>
        <w:pStyle w:val="SingleTxtG"/>
      </w:pPr>
      <w:r>
        <w:t>2</w:t>
      </w:r>
      <w:r w:rsidR="008C19CB">
        <w:t>6</w:t>
      </w:r>
      <w:r w:rsidR="00585560">
        <w:t>.</w:t>
      </w:r>
      <w:r w:rsidR="00585560">
        <w:tab/>
        <w:t>La proposition du Royaume-Uni a été adoptée telle que modifiée en session (voir annexe</w:t>
      </w:r>
      <w:r w:rsidR="008C19CB">
        <w:t xml:space="preserve"> I).</w:t>
      </w:r>
    </w:p>
    <w:p w14:paraId="72F8C712" w14:textId="77777777" w:rsidR="00585560" w:rsidRPr="004B4555" w:rsidRDefault="00585560" w:rsidP="00585560">
      <w:pPr>
        <w:pStyle w:val="H23G"/>
        <w:rPr>
          <w:lang w:val="fr-FR"/>
        </w:rPr>
      </w:pPr>
      <w:r w:rsidRPr="004B4555">
        <w:rPr>
          <w:lang w:val="fr-FR"/>
        </w:rPr>
        <w:tab/>
      </w:r>
      <w:r>
        <w:rPr>
          <w:lang w:val="fr-FR"/>
        </w:rPr>
        <w:t>4</w:t>
      </w:r>
      <w:r w:rsidRPr="004B4555">
        <w:rPr>
          <w:lang w:val="fr-FR"/>
        </w:rPr>
        <w:t>.</w:t>
      </w:r>
      <w:r w:rsidRPr="004B4555">
        <w:rPr>
          <w:lang w:val="fr-FR"/>
        </w:rPr>
        <w:tab/>
      </w:r>
      <w:r w:rsidRPr="00F95CD4">
        <w:t>Référence au Code de bonnes pratiques OMI/OIT/CEE-ONU</w:t>
      </w:r>
      <w:r>
        <w:t xml:space="preserve"> </w:t>
      </w:r>
      <w:r w:rsidRPr="00F95CD4">
        <w:t>pour</w:t>
      </w:r>
      <w:r>
        <w:t xml:space="preserve"> </w:t>
      </w:r>
      <w:r w:rsidRPr="00F95CD4">
        <w:t>le chargement</w:t>
      </w:r>
      <w:r>
        <w:t xml:space="preserve"> des cargaisons dans des engins </w:t>
      </w:r>
      <w:r w:rsidRPr="00F95CD4">
        <w:t>de transport</w:t>
      </w:r>
      <w:r>
        <w:t xml:space="preserve"> (Code CTU)</w:t>
      </w:r>
    </w:p>
    <w:p w14:paraId="4CF9FDBE" w14:textId="77777777" w:rsidR="00585560" w:rsidRDefault="00585560" w:rsidP="00585560">
      <w:pPr>
        <w:pStyle w:val="SingleTxtG"/>
        <w:spacing w:before="120"/>
        <w:ind w:left="2268" w:hanging="1134"/>
        <w:jc w:val="left"/>
      </w:pPr>
      <w:r w:rsidRPr="008E380C">
        <w:rPr>
          <w:i/>
        </w:rPr>
        <w:t xml:space="preserve">Document: </w:t>
      </w:r>
      <w:r w:rsidRPr="008E380C">
        <w:rPr>
          <w:i/>
        </w:rPr>
        <w:tab/>
      </w:r>
      <w:r>
        <w:t>ECE/TRANS/WP.15/2016/20</w:t>
      </w:r>
      <w:r w:rsidRPr="008E380C">
        <w:t xml:space="preserve"> </w:t>
      </w:r>
      <w:r>
        <w:t>(Secrétariat)</w:t>
      </w:r>
    </w:p>
    <w:p w14:paraId="2D8833C6" w14:textId="06152FFD" w:rsidR="00585560" w:rsidRDefault="00E636B6" w:rsidP="00585560">
      <w:pPr>
        <w:pStyle w:val="SingleTxtG"/>
      </w:pPr>
      <w:r>
        <w:t>2</w:t>
      </w:r>
      <w:r w:rsidR="008C19CB">
        <w:t>7</w:t>
      </w:r>
      <w:r w:rsidR="00585560">
        <w:t>.</w:t>
      </w:r>
      <w:r w:rsidR="00585560">
        <w:tab/>
        <w:t xml:space="preserve">Plusieurs délégations étaient d’accord pour ajouter une référence à certaines parties du Code CTU dans la note de </w:t>
      </w:r>
      <w:r w:rsidR="00585560" w:rsidRPr="00F95CD4">
        <w:t>bas de page 1 du paragraphe 7.5.7.1</w:t>
      </w:r>
      <w:r w:rsidR="00585560">
        <w:t>. Les chapitres 9 et 10 du Code semblaient notamment appropriés. Le Groupe de travail a demandé au secrétariat de préparer une proposition d’amendement en ce sens pour la prochaine session. Les délégations qui le souhaitent pourront transmettre leurs remarques au secrétariat.</w:t>
      </w:r>
    </w:p>
    <w:p w14:paraId="5D36ECEC" w14:textId="77777777" w:rsidR="00585560" w:rsidRPr="004B4555" w:rsidRDefault="00585560" w:rsidP="00585560">
      <w:pPr>
        <w:pStyle w:val="H23G"/>
        <w:rPr>
          <w:lang w:val="fr-FR"/>
        </w:rPr>
      </w:pPr>
      <w:r w:rsidRPr="004B4555">
        <w:rPr>
          <w:lang w:val="fr-FR"/>
        </w:rPr>
        <w:tab/>
      </w:r>
      <w:r>
        <w:rPr>
          <w:lang w:val="fr-FR"/>
        </w:rPr>
        <w:t>5</w:t>
      </w:r>
      <w:r w:rsidRPr="004B4555">
        <w:rPr>
          <w:lang w:val="fr-FR"/>
        </w:rPr>
        <w:t>.</w:t>
      </w:r>
      <w:r w:rsidRPr="004B4555">
        <w:rPr>
          <w:lang w:val="fr-FR"/>
        </w:rPr>
        <w:tab/>
      </w:r>
      <w:r>
        <w:t>Correction à la version française</w:t>
      </w:r>
    </w:p>
    <w:p w14:paraId="1F2C0A34" w14:textId="77777777" w:rsidR="00585560" w:rsidRDefault="00585560" w:rsidP="00585560">
      <w:pPr>
        <w:pStyle w:val="SingleTxtG"/>
        <w:spacing w:before="120"/>
        <w:ind w:left="2268" w:hanging="1134"/>
        <w:jc w:val="left"/>
      </w:pPr>
      <w:r w:rsidRPr="008E380C">
        <w:rPr>
          <w:i/>
        </w:rPr>
        <w:t xml:space="preserve">Document: </w:t>
      </w:r>
      <w:r w:rsidRPr="008E380C">
        <w:rPr>
          <w:i/>
        </w:rPr>
        <w:tab/>
      </w:r>
      <w:r>
        <w:t>ECE/TRANS/WP.15/2016/21</w:t>
      </w:r>
      <w:r w:rsidRPr="008E380C">
        <w:t xml:space="preserve"> </w:t>
      </w:r>
      <w:r>
        <w:t>(Secrétariat)</w:t>
      </w:r>
    </w:p>
    <w:p w14:paraId="77903904" w14:textId="2EF29E24" w:rsidR="00585560" w:rsidRDefault="00E636B6" w:rsidP="00585560">
      <w:pPr>
        <w:pStyle w:val="SingleTxtG"/>
        <w:rPr>
          <w:color w:val="000000"/>
        </w:rPr>
      </w:pPr>
      <w:r>
        <w:t>2</w:t>
      </w:r>
      <w:r w:rsidR="008C19CB">
        <w:t>8</w:t>
      </w:r>
      <w:r w:rsidR="00585560">
        <w:t>.</w:t>
      </w:r>
      <w:r w:rsidR="00585560">
        <w:tab/>
      </w:r>
      <w:r w:rsidR="00585560" w:rsidRPr="00185390">
        <w:rPr>
          <w:color w:val="000000"/>
          <w:lang w:val="fr-FR"/>
        </w:rPr>
        <w:t xml:space="preserve">Le Groupe de travail a confirmé que </w:t>
      </w:r>
      <w:r w:rsidR="00585560">
        <w:rPr>
          <w:color w:val="000000"/>
          <w:lang w:val="fr-FR"/>
        </w:rPr>
        <w:t>la</w:t>
      </w:r>
      <w:r w:rsidR="00585560" w:rsidRPr="00185390">
        <w:rPr>
          <w:color w:val="000000"/>
          <w:lang w:val="fr-FR"/>
        </w:rPr>
        <w:t xml:space="preserve"> correction</w:t>
      </w:r>
      <w:r w:rsidR="00585560">
        <w:rPr>
          <w:color w:val="000000"/>
          <w:lang w:val="fr-FR"/>
        </w:rPr>
        <w:t xml:space="preserve"> proposée</w:t>
      </w:r>
      <w:r w:rsidR="00585560" w:rsidRPr="00185390">
        <w:rPr>
          <w:color w:val="000000"/>
          <w:lang w:val="fr-FR"/>
        </w:rPr>
        <w:t xml:space="preserve"> par </w:t>
      </w:r>
      <w:r w:rsidR="00585560">
        <w:rPr>
          <w:color w:val="000000"/>
          <w:lang w:val="fr-FR"/>
        </w:rPr>
        <w:t>le secrétariat</w:t>
      </w:r>
      <w:r w:rsidR="00585560" w:rsidRPr="00185390">
        <w:rPr>
          <w:color w:val="000000"/>
          <w:lang w:val="fr-FR"/>
        </w:rPr>
        <w:t xml:space="preserve"> </w:t>
      </w:r>
      <w:r w:rsidR="00585560">
        <w:rPr>
          <w:color w:val="000000"/>
          <w:lang w:val="fr-FR"/>
        </w:rPr>
        <w:t>visai</w:t>
      </w:r>
      <w:r w:rsidR="00585560" w:rsidRPr="00185390">
        <w:rPr>
          <w:color w:val="000000"/>
          <w:lang w:val="fr-FR"/>
        </w:rPr>
        <w:t xml:space="preserve">t à </w:t>
      </w:r>
      <w:r w:rsidR="00585560">
        <w:rPr>
          <w:color w:val="000000"/>
          <w:lang w:val="fr-FR"/>
        </w:rPr>
        <w:t>assurer la</w:t>
      </w:r>
      <w:r w:rsidR="00585560" w:rsidRPr="00185390">
        <w:rPr>
          <w:color w:val="000000"/>
          <w:lang w:val="fr-FR"/>
        </w:rPr>
        <w:t xml:space="preserve"> concordance entre les</w:t>
      </w:r>
      <w:r w:rsidR="00585560">
        <w:rPr>
          <w:rStyle w:val="apple-converted-space"/>
          <w:color w:val="000000"/>
          <w:lang w:val="fr-FR"/>
        </w:rPr>
        <w:t xml:space="preserve"> </w:t>
      </w:r>
      <w:r w:rsidR="00585560">
        <w:rPr>
          <w:color w:val="000000"/>
          <w:lang w:val="fr-FR"/>
        </w:rPr>
        <w:t>différentes versions linguistiques de l’ADR</w:t>
      </w:r>
      <w:r w:rsidR="00585560" w:rsidRPr="00185390">
        <w:rPr>
          <w:color w:val="000000"/>
          <w:lang w:val="fr-FR"/>
        </w:rPr>
        <w:t xml:space="preserve">. </w:t>
      </w:r>
      <w:r w:rsidR="00585560">
        <w:rPr>
          <w:color w:val="000000"/>
        </w:rPr>
        <w:t>L</w:t>
      </w:r>
      <w:r w:rsidR="00585560" w:rsidRPr="00BF4685">
        <w:rPr>
          <w:lang w:val="fr-FR"/>
        </w:rPr>
        <w:t xml:space="preserve">e Groupe de travail a adopté </w:t>
      </w:r>
      <w:r w:rsidR="00585560">
        <w:rPr>
          <w:lang w:val="fr-FR"/>
        </w:rPr>
        <w:t>la correction proposée</w:t>
      </w:r>
      <w:r w:rsidR="00585560" w:rsidRPr="00BF4685">
        <w:rPr>
          <w:lang w:val="fr-FR"/>
        </w:rPr>
        <w:t xml:space="preserve"> et a demandé </w:t>
      </w:r>
      <w:r w:rsidR="00585560">
        <w:rPr>
          <w:lang w:val="fr-FR"/>
        </w:rPr>
        <w:t xml:space="preserve">au secrétariat </w:t>
      </w:r>
      <w:r w:rsidR="00585560" w:rsidRPr="00BF4685">
        <w:rPr>
          <w:lang w:val="fr-FR"/>
        </w:rPr>
        <w:t xml:space="preserve">de faire le nécessaire pour qu'un rectificatif puisse être publié au plus vite (voir annexe </w:t>
      </w:r>
      <w:r w:rsidR="008C19CB">
        <w:rPr>
          <w:lang w:val="fr-FR"/>
        </w:rPr>
        <w:t>II</w:t>
      </w:r>
      <w:r w:rsidR="008C19CB" w:rsidRPr="00BF4685">
        <w:rPr>
          <w:lang w:val="fr-FR"/>
        </w:rPr>
        <w:t>).</w:t>
      </w:r>
    </w:p>
    <w:p w14:paraId="72E83D45" w14:textId="77777777" w:rsidR="00585560" w:rsidRPr="004B4555" w:rsidRDefault="00585560" w:rsidP="00585560">
      <w:pPr>
        <w:pStyle w:val="H23G"/>
        <w:rPr>
          <w:lang w:val="fr-FR"/>
        </w:rPr>
      </w:pPr>
      <w:r w:rsidRPr="004B4555">
        <w:rPr>
          <w:lang w:val="fr-FR"/>
        </w:rPr>
        <w:tab/>
      </w:r>
      <w:r>
        <w:rPr>
          <w:lang w:val="fr-FR"/>
        </w:rPr>
        <w:t>6</w:t>
      </w:r>
      <w:r w:rsidRPr="004B4555">
        <w:rPr>
          <w:lang w:val="fr-FR"/>
        </w:rPr>
        <w:t>.</w:t>
      </w:r>
      <w:r w:rsidRPr="004B4555">
        <w:rPr>
          <w:lang w:val="fr-FR"/>
        </w:rPr>
        <w:tab/>
      </w:r>
      <w:r>
        <w:t>Titre du 7.5.5.3</w:t>
      </w:r>
    </w:p>
    <w:p w14:paraId="528372C8" w14:textId="77777777" w:rsidR="00585560" w:rsidRDefault="00585560" w:rsidP="00585560">
      <w:pPr>
        <w:pStyle w:val="SingleTxtG"/>
        <w:spacing w:before="120"/>
        <w:ind w:left="2268" w:hanging="1134"/>
        <w:jc w:val="left"/>
      </w:pPr>
      <w:r w:rsidRPr="008E380C">
        <w:rPr>
          <w:i/>
        </w:rPr>
        <w:t>Document</w:t>
      </w:r>
      <w:r>
        <w:rPr>
          <w:i/>
        </w:rPr>
        <w:t xml:space="preserve"> informel</w:t>
      </w:r>
      <w:r w:rsidRPr="008E380C">
        <w:rPr>
          <w:i/>
        </w:rPr>
        <w:t xml:space="preserve">: </w:t>
      </w:r>
      <w:r>
        <w:t>INF.10 (Suède)</w:t>
      </w:r>
    </w:p>
    <w:p w14:paraId="17D74018" w14:textId="2CA99D6D" w:rsidR="00585560" w:rsidRDefault="008C19CB" w:rsidP="00585560">
      <w:pPr>
        <w:pStyle w:val="SingleTxtG"/>
        <w:rPr>
          <w:color w:val="000000"/>
          <w:lang w:val="fr-FR"/>
        </w:rPr>
      </w:pPr>
      <w:r>
        <w:t>29</w:t>
      </w:r>
      <w:r w:rsidR="00585560">
        <w:t>.</w:t>
      </w:r>
      <w:r w:rsidR="00585560">
        <w:tab/>
      </w:r>
      <w:r w:rsidR="00585560" w:rsidRPr="00185390">
        <w:rPr>
          <w:color w:val="000000"/>
          <w:lang w:val="fr-FR"/>
        </w:rPr>
        <w:t xml:space="preserve">Le Groupe de travail a confirmé que </w:t>
      </w:r>
      <w:r w:rsidR="00585560">
        <w:rPr>
          <w:color w:val="000000"/>
          <w:lang w:val="fr-FR"/>
        </w:rPr>
        <w:t xml:space="preserve">les amendements adoptés à sa quatre-vingt-unième session, sur la base de l’option 2 du document </w:t>
      </w:r>
      <w:r w:rsidR="00585560" w:rsidRPr="00932433">
        <w:rPr>
          <w:color w:val="000000"/>
          <w:lang w:val="fr-FR"/>
        </w:rPr>
        <w:t>ECE/TRANS/WP.15/2006/12</w:t>
      </w:r>
      <w:r w:rsidR="00585560">
        <w:rPr>
          <w:color w:val="000000"/>
          <w:lang w:val="fr-FR"/>
        </w:rPr>
        <w:t xml:space="preserve">, ne prévoyaient pas la suppression du titre du 7.5.5.3. </w:t>
      </w:r>
    </w:p>
    <w:p w14:paraId="37C29F9A" w14:textId="6636B7EA" w:rsidR="00585560" w:rsidRDefault="00E636B6" w:rsidP="00585560">
      <w:pPr>
        <w:pStyle w:val="SingleTxtG"/>
        <w:rPr>
          <w:color w:val="000000"/>
        </w:rPr>
      </w:pPr>
      <w:r>
        <w:rPr>
          <w:color w:val="000000"/>
          <w:lang w:val="fr-FR"/>
        </w:rPr>
        <w:lastRenderedPageBreak/>
        <w:t>3</w:t>
      </w:r>
      <w:r w:rsidR="008C19CB">
        <w:rPr>
          <w:color w:val="000000"/>
          <w:lang w:val="fr-FR"/>
        </w:rPr>
        <w:t>0</w:t>
      </w:r>
      <w:r w:rsidR="00585560">
        <w:rPr>
          <w:color w:val="000000"/>
          <w:lang w:val="fr-FR"/>
        </w:rPr>
        <w:t>.</w:t>
      </w:r>
      <w:r w:rsidR="00585560">
        <w:rPr>
          <w:color w:val="000000"/>
          <w:lang w:val="fr-FR"/>
        </w:rPr>
        <w:tab/>
        <w:t xml:space="preserve">Le Groupe de travail a adopté la correction proposée dans le document informel INF.10 et </w:t>
      </w:r>
      <w:r w:rsidR="00585560" w:rsidRPr="00BF4685">
        <w:rPr>
          <w:lang w:val="fr-FR"/>
        </w:rPr>
        <w:t xml:space="preserve">a demandé </w:t>
      </w:r>
      <w:r w:rsidR="00585560">
        <w:rPr>
          <w:lang w:val="fr-FR"/>
        </w:rPr>
        <w:t xml:space="preserve">au secrétariat </w:t>
      </w:r>
      <w:r w:rsidR="00585560" w:rsidRPr="00BF4685">
        <w:rPr>
          <w:lang w:val="fr-FR"/>
        </w:rPr>
        <w:t xml:space="preserve">de faire le nécessaire pour qu'un rectificatif puisse être publié au plus vite (voir annexe </w:t>
      </w:r>
      <w:r w:rsidR="008C19CB">
        <w:rPr>
          <w:lang w:val="fr-FR"/>
        </w:rPr>
        <w:t>II</w:t>
      </w:r>
      <w:r w:rsidR="008C19CB" w:rsidRPr="00BF4685">
        <w:rPr>
          <w:lang w:val="fr-FR"/>
        </w:rPr>
        <w:t>).</w:t>
      </w:r>
    </w:p>
    <w:p w14:paraId="4071AA57" w14:textId="77777777" w:rsidR="00585560" w:rsidRPr="004B4555" w:rsidRDefault="00585560" w:rsidP="00585560">
      <w:pPr>
        <w:pStyle w:val="H23G"/>
        <w:rPr>
          <w:lang w:val="fr-FR"/>
        </w:rPr>
      </w:pPr>
      <w:r w:rsidRPr="004B4555">
        <w:rPr>
          <w:lang w:val="fr-FR"/>
        </w:rPr>
        <w:tab/>
      </w:r>
      <w:r>
        <w:rPr>
          <w:lang w:val="fr-FR"/>
        </w:rPr>
        <w:t>7</w:t>
      </w:r>
      <w:r w:rsidRPr="004B4555">
        <w:rPr>
          <w:lang w:val="fr-FR"/>
        </w:rPr>
        <w:t>.</w:t>
      </w:r>
      <w:r w:rsidRPr="004B4555">
        <w:rPr>
          <w:lang w:val="fr-FR"/>
        </w:rPr>
        <w:tab/>
      </w:r>
      <w:r>
        <w:t>Disposition spéciale 636</w:t>
      </w:r>
    </w:p>
    <w:p w14:paraId="63A0ABD0" w14:textId="77777777" w:rsidR="00585560" w:rsidRDefault="00585560" w:rsidP="00585560">
      <w:pPr>
        <w:pStyle w:val="SingleTxtG"/>
        <w:spacing w:before="120"/>
        <w:ind w:left="2268" w:hanging="1134"/>
        <w:jc w:val="left"/>
      </w:pPr>
      <w:r w:rsidRPr="008E380C">
        <w:rPr>
          <w:i/>
        </w:rPr>
        <w:t>Document</w:t>
      </w:r>
      <w:r>
        <w:rPr>
          <w:i/>
        </w:rPr>
        <w:t xml:space="preserve"> informel</w:t>
      </w:r>
      <w:r w:rsidRPr="008E380C">
        <w:rPr>
          <w:i/>
        </w:rPr>
        <w:t xml:space="preserve">: </w:t>
      </w:r>
      <w:r>
        <w:t>INF.19 (Suisse)</w:t>
      </w:r>
    </w:p>
    <w:p w14:paraId="25EC2D18" w14:textId="49C08C37" w:rsidR="00585560" w:rsidRDefault="00E636B6" w:rsidP="00585560">
      <w:pPr>
        <w:pStyle w:val="SingleTxtG"/>
      </w:pPr>
      <w:r>
        <w:t>3</w:t>
      </w:r>
      <w:r w:rsidR="008C19CB">
        <w:t>1</w:t>
      </w:r>
      <w:r w:rsidR="00585560">
        <w:t>.</w:t>
      </w:r>
      <w:r w:rsidR="00585560">
        <w:tab/>
        <w:t xml:space="preserve">Le groupe de travail a noté que la Réunion commune avait adopté, à sa session d’automne 2016, un amendement visant à préciser que les piles et batteries au lithium entrant dans le champ d’application de la disposition spéciale 636 b) pouvait être </w:t>
      </w:r>
      <w:r w:rsidR="00585560" w:rsidRPr="00EF7613">
        <w:t>en mélange avec des piles ou batteries autres qu’au lithium</w:t>
      </w:r>
      <w:r w:rsidR="00585560">
        <w:t>.</w:t>
      </w:r>
    </w:p>
    <w:p w14:paraId="708AC616" w14:textId="7AD0002E" w:rsidR="00585560" w:rsidRDefault="00E636B6" w:rsidP="00585560">
      <w:pPr>
        <w:pStyle w:val="SingleTxtG"/>
      </w:pPr>
      <w:r>
        <w:t>3</w:t>
      </w:r>
      <w:r w:rsidR="008C19CB">
        <w:t>2</w:t>
      </w:r>
      <w:r w:rsidR="00585560">
        <w:t>.</w:t>
      </w:r>
      <w:r w:rsidR="00585560">
        <w:tab/>
        <w:t>Cette précision figurait déjà dans les éditions 2015 du RID/ADR/ADN mais n’avait pas été reprise dans le texte modifié de la disposition spéciale 636 adopté pour entrée en vigueur au 1</w:t>
      </w:r>
      <w:r w:rsidR="00585560" w:rsidRPr="00986C52">
        <w:t>er</w:t>
      </w:r>
      <w:r w:rsidR="00585560">
        <w:t xml:space="preserve"> janvier 2017. </w:t>
      </w:r>
    </w:p>
    <w:p w14:paraId="16DE2811" w14:textId="612D46CA" w:rsidR="00585560" w:rsidRDefault="00E636B6" w:rsidP="00585560">
      <w:pPr>
        <w:pStyle w:val="SingleTxtG"/>
      </w:pPr>
      <w:r>
        <w:t>3</w:t>
      </w:r>
      <w:r w:rsidR="008C19CB">
        <w:t>3</w:t>
      </w:r>
      <w:r w:rsidR="00585560">
        <w:t>.</w:t>
      </w:r>
      <w:r w:rsidR="00585560">
        <w:tab/>
        <w:t xml:space="preserve">Le représentant de la Suisse proposait de réintroduire cette précision dans les textes entrant en vigueur en 2017 en tant que correction. Un membre du secrétariat a rappelé que la Réunion commune avait discuté et adopté la suppression de ce texte et que revenir sur cette décision impliquerait l'adoption d'un nouvel amendement plutôt qu'une correction. </w:t>
      </w:r>
    </w:p>
    <w:p w14:paraId="63B3C135" w14:textId="2101A008" w:rsidR="00585560" w:rsidRDefault="00E636B6" w:rsidP="00585560">
      <w:pPr>
        <w:pStyle w:val="SingleTxtG"/>
      </w:pPr>
      <w:r>
        <w:t>3</w:t>
      </w:r>
      <w:r w:rsidR="008C19CB">
        <w:t>4</w:t>
      </w:r>
      <w:r w:rsidR="00585560">
        <w:t>.</w:t>
      </w:r>
      <w:r w:rsidR="00585560">
        <w:tab/>
        <w:t>Le représentant de la Suisse a retiré sa proposition.</w:t>
      </w:r>
    </w:p>
    <w:p w14:paraId="7E023150" w14:textId="14C20121" w:rsidR="001409C5" w:rsidRDefault="001409C5" w:rsidP="001409C5">
      <w:pPr>
        <w:pStyle w:val="H23G"/>
      </w:pPr>
      <w:r>
        <w:tab/>
        <w:t>8.</w:t>
      </w:r>
      <w:r>
        <w:tab/>
        <w:t>Q</w:t>
      </w:r>
      <w:r w:rsidRPr="0092400A">
        <w:t>uantité maximale de matière explosible autorisée par unité de transport</w:t>
      </w:r>
    </w:p>
    <w:p w14:paraId="352AC373" w14:textId="77777777" w:rsidR="001409C5" w:rsidRDefault="001409C5" w:rsidP="001409C5">
      <w:pPr>
        <w:pStyle w:val="SingleTxtG"/>
        <w:tabs>
          <w:tab w:val="left" w:pos="1418"/>
        </w:tabs>
        <w:ind w:left="3119" w:hanging="1985"/>
        <w:jc w:val="left"/>
      </w:pPr>
      <w:r>
        <w:rPr>
          <w:i/>
        </w:rPr>
        <w:t>Document informel</w:t>
      </w:r>
      <w:r>
        <w:t>:</w:t>
      </w:r>
      <w:r>
        <w:tab/>
        <w:t>INF.13 (Espagne)</w:t>
      </w:r>
    </w:p>
    <w:p w14:paraId="4498D025" w14:textId="5811FE80" w:rsidR="001409C5" w:rsidRDefault="00E636B6" w:rsidP="001409C5">
      <w:pPr>
        <w:pStyle w:val="SingleTxtG"/>
      </w:pPr>
      <w:r>
        <w:t>3</w:t>
      </w:r>
      <w:r w:rsidR="008C19CB">
        <w:t>5</w:t>
      </w:r>
      <w:r w:rsidR="001409C5">
        <w:t>.</w:t>
      </w:r>
      <w:r w:rsidR="001409C5">
        <w:tab/>
        <w:t xml:space="preserve">Plusieurs délégations souhaitaient avoir plus de temps pour étudier la proposition de l’Espagne visant à augmenter la quantité maximale de matière explosible autorisée par unité de transport. Le représentant de l’Espagne a prié les délégations qui le souhaiteraient de lui transmettre leurs commentaires par écrit. Il préparera une proposition officielle pour la prochaine session. </w:t>
      </w:r>
    </w:p>
    <w:p w14:paraId="3575EC37" w14:textId="455D5E39" w:rsidR="001409C5" w:rsidRDefault="00E636B6" w:rsidP="001409C5">
      <w:pPr>
        <w:pStyle w:val="SingleTxtG"/>
      </w:pPr>
      <w:r>
        <w:t>3</w:t>
      </w:r>
      <w:r w:rsidR="008C19CB">
        <w:t>6</w:t>
      </w:r>
      <w:r w:rsidR="001409C5">
        <w:t>.</w:t>
      </w:r>
      <w:r w:rsidR="001409C5">
        <w:tab/>
        <w:t>Les discussions futures sur ce sujet devront notamment tenir compte des points suivants:</w:t>
      </w:r>
    </w:p>
    <w:p w14:paraId="07F3CC7B" w14:textId="77777777" w:rsidR="001409C5" w:rsidRDefault="001409C5" w:rsidP="001409C5">
      <w:pPr>
        <w:pStyle w:val="SingleTxtG"/>
        <w:numPr>
          <w:ilvl w:val="0"/>
          <w:numId w:val="9"/>
        </w:numPr>
      </w:pPr>
      <w:r>
        <w:t>différences nationales en ce qui concerne le poids maximal autorisé pour les véhicules;</w:t>
      </w:r>
    </w:p>
    <w:p w14:paraId="2EF83DA3" w14:textId="77777777" w:rsidR="001409C5" w:rsidRDefault="001409C5" w:rsidP="001409C5">
      <w:pPr>
        <w:pStyle w:val="SingleTxtG"/>
        <w:numPr>
          <w:ilvl w:val="0"/>
          <w:numId w:val="9"/>
        </w:numPr>
      </w:pPr>
      <w:r>
        <w:t>limites autorisées pour les autres modes de transport;</w:t>
      </w:r>
    </w:p>
    <w:p w14:paraId="04615D7A" w14:textId="77777777" w:rsidR="001409C5" w:rsidRDefault="001409C5" w:rsidP="001409C5">
      <w:pPr>
        <w:pStyle w:val="SingleTxtG"/>
        <w:numPr>
          <w:ilvl w:val="0"/>
          <w:numId w:val="9"/>
        </w:numPr>
      </w:pPr>
      <w:r>
        <w:t>dispositions supplémentaires de prévention des accidents et de protection en cas d’accident à prévoir si la quantité autorisée est augmentée;</w:t>
      </w:r>
    </w:p>
    <w:p w14:paraId="264BBAD5" w14:textId="77777777" w:rsidR="001409C5" w:rsidRDefault="001409C5" w:rsidP="001409C5">
      <w:pPr>
        <w:pStyle w:val="SingleTxtG"/>
        <w:numPr>
          <w:ilvl w:val="0"/>
          <w:numId w:val="9"/>
        </w:numPr>
      </w:pPr>
      <w:r>
        <w:t>dispositions relatives à la sûreté;</w:t>
      </w:r>
    </w:p>
    <w:p w14:paraId="424B48FB" w14:textId="29F495DD" w:rsidR="001409C5" w:rsidRDefault="001409C5" w:rsidP="001409C5">
      <w:pPr>
        <w:pStyle w:val="SingleTxtG"/>
        <w:numPr>
          <w:ilvl w:val="0"/>
          <w:numId w:val="9"/>
        </w:numPr>
      </w:pPr>
      <w:r>
        <w:t xml:space="preserve">analyses de risques. </w:t>
      </w:r>
    </w:p>
    <w:p w14:paraId="521847EB" w14:textId="12E479EE" w:rsidR="006067BE" w:rsidRDefault="006067BE" w:rsidP="006067BE">
      <w:pPr>
        <w:pStyle w:val="HChG"/>
      </w:pPr>
      <w:r>
        <w:tab/>
        <w:t>VII.</w:t>
      </w:r>
      <w:r>
        <w:tab/>
      </w:r>
      <w:r w:rsidRPr="00787CF7">
        <w:rPr>
          <w:lang w:val="fr-FR"/>
        </w:rPr>
        <w:t>Interprétation de l’ADR</w:t>
      </w:r>
      <w:r>
        <w:rPr>
          <w:lang w:val="fr-FR"/>
        </w:rPr>
        <w:t xml:space="preserve"> </w:t>
      </w:r>
      <w:r w:rsidRPr="005B2C1D">
        <w:t xml:space="preserve">(point </w:t>
      </w:r>
      <w:r>
        <w:t>6</w:t>
      </w:r>
      <w:r w:rsidRPr="005B2C1D">
        <w:t xml:space="preserve"> de l</w:t>
      </w:r>
      <w:r>
        <w:t>’</w:t>
      </w:r>
      <w:r w:rsidRPr="005B2C1D">
        <w:t>ordre du jour)</w:t>
      </w:r>
    </w:p>
    <w:p w14:paraId="088BD432" w14:textId="77777777" w:rsidR="006067BE" w:rsidRDefault="006067BE" w:rsidP="006067BE">
      <w:pPr>
        <w:pStyle w:val="H1G"/>
      </w:pPr>
      <w:r>
        <w:tab/>
      </w:r>
      <w:r w:rsidRPr="003659AC">
        <w:t>A.</w:t>
      </w:r>
      <w:r w:rsidRPr="003659AC">
        <w:tab/>
      </w:r>
      <w:r>
        <w:t>Entrée en vigueur d’une loi polonaise pour la mention du propriétaire de la marchandise dangereuse dans le document de transport</w:t>
      </w:r>
    </w:p>
    <w:p w14:paraId="77584320" w14:textId="77777777" w:rsidR="006067BE" w:rsidRDefault="006067BE" w:rsidP="006067BE">
      <w:pPr>
        <w:pStyle w:val="SingleTxtG"/>
        <w:tabs>
          <w:tab w:val="left" w:pos="1418"/>
        </w:tabs>
        <w:ind w:left="3119" w:hanging="1985"/>
        <w:jc w:val="left"/>
      </w:pPr>
      <w:r>
        <w:rPr>
          <w:i/>
        </w:rPr>
        <w:t>Document informel</w:t>
      </w:r>
      <w:r>
        <w:t>:</w:t>
      </w:r>
      <w:r>
        <w:tab/>
        <w:t>INF.7 (IRU)</w:t>
      </w:r>
    </w:p>
    <w:p w14:paraId="10140EF9" w14:textId="19B815D7" w:rsidR="006067BE" w:rsidRDefault="00E636B6" w:rsidP="006067BE">
      <w:pPr>
        <w:pStyle w:val="SingleTxtG"/>
      </w:pPr>
      <w:r>
        <w:t>3</w:t>
      </w:r>
      <w:r w:rsidR="008C19CB">
        <w:t>7</w:t>
      </w:r>
      <w:r w:rsidR="006067BE">
        <w:t>.</w:t>
      </w:r>
      <w:r w:rsidR="006067BE">
        <w:tab/>
        <w:t xml:space="preserve">Le Groupe de travail a noté qu’une nouvelle loi était entrée en vigueur en Pologne exigeant que les intervenants dans le transport de marchandises dangereuses indiquent dans les documents prescrits par le RID/ADR/ADN le nom et l’adresse du propriétaire de la marchandise dangereuse au moment de la remise au transporteur. </w:t>
      </w:r>
    </w:p>
    <w:p w14:paraId="6C8F331B" w14:textId="462AA169" w:rsidR="006067BE" w:rsidRDefault="00E636B6" w:rsidP="006067BE">
      <w:pPr>
        <w:pStyle w:val="SingleTxtG"/>
      </w:pPr>
      <w:r>
        <w:lastRenderedPageBreak/>
        <w:t>3</w:t>
      </w:r>
      <w:r w:rsidR="008C19CB">
        <w:t>8</w:t>
      </w:r>
      <w:r w:rsidR="006067BE">
        <w:t>.</w:t>
      </w:r>
      <w:r w:rsidR="006067BE">
        <w:tab/>
        <w:t>Le Groupe de travail a également noté que les transports pour lesquels cette exigence n’était pas respectée pourraient faire l’objet d’une amende et être interdits sur le territoire polonais.</w:t>
      </w:r>
    </w:p>
    <w:p w14:paraId="4CA88C0B" w14:textId="6C7F1DD9" w:rsidR="006067BE" w:rsidRDefault="008C19CB" w:rsidP="006067BE">
      <w:pPr>
        <w:pStyle w:val="SingleTxtG"/>
      </w:pPr>
      <w:r>
        <w:t>39</w:t>
      </w:r>
      <w:r w:rsidR="006067BE">
        <w:t>.</w:t>
      </w:r>
      <w:r w:rsidR="006067BE">
        <w:tab/>
        <w:t>Le représentant de la Pologne a précisé que cette loi avait pour objectif de lutter contre le marché clandestin de certaines marchandises dangereuses et donc des raisons autres que la sécurité en cours de transport.</w:t>
      </w:r>
    </w:p>
    <w:p w14:paraId="791157F0" w14:textId="63A8EC77" w:rsidR="006067BE" w:rsidRDefault="00E636B6" w:rsidP="006067BE">
      <w:pPr>
        <w:pStyle w:val="SingleTxtG"/>
      </w:pPr>
      <w:r>
        <w:t>4</w:t>
      </w:r>
      <w:r w:rsidR="008C19CB">
        <w:t>0</w:t>
      </w:r>
      <w:r w:rsidR="006067BE">
        <w:t>.</w:t>
      </w:r>
      <w:r w:rsidR="006067BE">
        <w:tab/>
        <w:t xml:space="preserve">Le Groupe de travail a confirmé que dans ce cas, l’article 4 (1) de l’accord ADR s’applique mais a regretté cette décision qui fait obstacle au commerce international de marchandises dangereuses. </w:t>
      </w:r>
    </w:p>
    <w:p w14:paraId="29677924" w14:textId="019698D5" w:rsidR="006067BE" w:rsidRDefault="00E636B6" w:rsidP="006067BE">
      <w:pPr>
        <w:pStyle w:val="SingleTxtG"/>
      </w:pPr>
      <w:r>
        <w:t>4</w:t>
      </w:r>
      <w:r w:rsidR="008C19CB">
        <w:t>1</w:t>
      </w:r>
      <w:r w:rsidR="006067BE">
        <w:t>.</w:t>
      </w:r>
      <w:r w:rsidR="006067BE">
        <w:tab/>
        <w:t xml:space="preserve">Quelques délégations ont soulevé un problème d’interprétation de la notion de propriétaire d’une marchandise. </w:t>
      </w:r>
    </w:p>
    <w:p w14:paraId="019F23BD" w14:textId="521FDE77" w:rsidR="006067BE" w:rsidRDefault="00E636B6" w:rsidP="006067BE">
      <w:pPr>
        <w:pStyle w:val="SingleTxtG"/>
      </w:pPr>
      <w:r>
        <w:t>4</w:t>
      </w:r>
      <w:r w:rsidR="008C19CB">
        <w:t>2</w:t>
      </w:r>
      <w:r w:rsidR="006067BE">
        <w:t>.</w:t>
      </w:r>
      <w:r w:rsidR="006067BE">
        <w:tab/>
        <w:t>Le représentant de la Pologne a indiqué que son gouvernement avait pris note des problèmes soulevés et que des analyses étaient en cours afin de trouver la meilleure solution à la fois pour l’économie et la facilitation du commerce international. Dans l’attente, le ministère des transports a recommandé aux autorités de contrôle de ne pas sanctionner les transports en infraction avec cette loi. Cependant cette recommandation n’a pas de caractère légal et les autorités de contrôle restent libres de sanctionner o</w:t>
      </w:r>
      <w:r w:rsidR="00E04A84">
        <w:t>u non le non-respect de la loi.</w:t>
      </w:r>
      <w:r w:rsidR="00E04A84" w:rsidRPr="00E04A84">
        <w:rPr>
          <w:rStyle w:val="FootnoteReference"/>
          <w:sz w:val="20"/>
          <w:vertAlign w:val="baseline"/>
        </w:rPr>
        <w:footnoteReference w:customMarkFollows="1" w:id="2"/>
        <w:t>*</w:t>
      </w:r>
    </w:p>
    <w:p w14:paraId="512AABFA" w14:textId="6DF6509E" w:rsidR="006067BE" w:rsidRDefault="00E636B6" w:rsidP="006067BE">
      <w:pPr>
        <w:pStyle w:val="SingleTxtG"/>
      </w:pPr>
      <w:r>
        <w:t>4</w:t>
      </w:r>
      <w:r w:rsidR="008C19CB">
        <w:t>3</w:t>
      </w:r>
      <w:r w:rsidR="006067BE">
        <w:t>.</w:t>
      </w:r>
      <w:r w:rsidR="006067BE">
        <w:tab/>
        <w:t xml:space="preserve">Le représentant de l’Union européenne a indiqué que plusieurs membres avaient formulé des plaintes à ce sujet et qu’une procédure officielle était en cours entre l’Union européenne et le Gouvernement de la Pologne. </w:t>
      </w:r>
    </w:p>
    <w:p w14:paraId="1F007BFD" w14:textId="77777777" w:rsidR="006067BE" w:rsidRDefault="006067BE" w:rsidP="006067BE">
      <w:pPr>
        <w:pStyle w:val="H1G"/>
      </w:pPr>
      <w:r>
        <w:tab/>
        <w:t>B</w:t>
      </w:r>
      <w:r w:rsidRPr="003659AC">
        <w:t>.</w:t>
      </w:r>
      <w:r w:rsidRPr="003659AC">
        <w:tab/>
      </w:r>
      <w:r>
        <w:rPr>
          <w:lang w:val="fr-FR"/>
        </w:rPr>
        <w:t xml:space="preserve">Interprétation de la section </w:t>
      </w:r>
      <w:r>
        <w:rPr>
          <w:lang w:val="ru-RU"/>
        </w:rPr>
        <w:t>9.2.5</w:t>
      </w:r>
    </w:p>
    <w:p w14:paraId="70A16C01" w14:textId="77777777" w:rsidR="006067BE" w:rsidRDefault="006067BE" w:rsidP="006067BE">
      <w:pPr>
        <w:pStyle w:val="SingleTxtG"/>
        <w:spacing w:before="120"/>
        <w:ind w:left="2268" w:hanging="1134"/>
        <w:jc w:val="left"/>
      </w:pPr>
      <w:r w:rsidRPr="008E380C">
        <w:rPr>
          <w:i/>
        </w:rPr>
        <w:t xml:space="preserve">Document: </w:t>
      </w:r>
      <w:r w:rsidRPr="008E380C">
        <w:rPr>
          <w:i/>
        </w:rPr>
        <w:tab/>
      </w:r>
      <w:r>
        <w:t>ECE/TRANS/WP.15/2016/13</w:t>
      </w:r>
      <w:r w:rsidRPr="008E380C">
        <w:t xml:space="preserve"> </w:t>
      </w:r>
      <w:r>
        <w:t>(Fédération de Russie)</w:t>
      </w:r>
    </w:p>
    <w:p w14:paraId="7BB94D0F" w14:textId="2183AA4D" w:rsidR="006067BE" w:rsidRDefault="00E636B6" w:rsidP="006067BE">
      <w:pPr>
        <w:pStyle w:val="SingleTxtG"/>
      </w:pPr>
      <w:r>
        <w:t>4</w:t>
      </w:r>
      <w:r w:rsidR="008C19CB">
        <w:t>4</w:t>
      </w:r>
      <w:r w:rsidR="006067BE">
        <w:t>.</w:t>
      </w:r>
      <w:r w:rsidR="006067BE">
        <w:tab/>
        <w:t xml:space="preserve">Plusieurs délégations étaient d’avis qu’un véhicule doté d’une fonction de limitation de </w:t>
      </w:r>
      <w:r w:rsidR="006067BE" w:rsidRPr="00837E47">
        <w:t>vitesse</w:t>
      </w:r>
      <w:r w:rsidR="006067BE">
        <w:t xml:space="preserve"> </w:t>
      </w:r>
      <w:r w:rsidR="006067BE" w:rsidRPr="00837E47">
        <w:t>(FLV)</w:t>
      </w:r>
      <w:r w:rsidR="006067BE">
        <w:t xml:space="preserve"> pouvait être considéré comme répondant au 9.2.5 mais que cela méritait d’être clarifié dans la section 9.2.5. Cette section devrait par ailleurs être modifiée pour tenir compte des progrès techniques et des nouvelles technologies utilisées en termes de limitation de vitesse.</w:t>
      </w:r>
    </w:p>
    <w:p w14:paraId="0ECE2B78" w14:textId="5329103B" w:rsidR="006067BE" w:rsidRDefault="00E636B6" w:rsidP="006067BE">
      <w:pPr>
        <w:pStyle w:val="SingleTxtG"/>
      </w:pPr>
      <w:r>
        <w:t>4</w:t>
      </w:r>
      <w:r w:rsidR="008C19CB">
        <w:t>5</w:t>
      </w:r>
      <w:r w:rsidR="006067BE">
        <w:t>.</w:t>
      </w:r>
      <w:r w:rsidR="006067BE">
        <w:tab/>
        <w:t xml:space="preserve">Le Groupe de travail a invité le représentant de la Fédération de Russie à demander également l’avis du </w:t>
      </w:r>
      <w:r w:rsidR="006067BE" w:rsidRPr="00802CD0">
        <w:t>Groupe de travail en matière de roulement et de freinage</w:t>
      </w:r>
      <w:r w:rsidR="006067BE">
        <w:t xml:space="preserve"> du </w:t>
      </w:r>
      <w:r w:rsidR="006067BE" w:rsidRPr="005915A5">
        <w:rPr>
          <w:lang w:val="fr-FR"/>
        </w:rPr>
        <w:t>Forum mondial de l’harmonisation des Règl</w:t>
      </w:r>
      <w:r w:rsidR="006067BE">
        <w:rPr>
          <w:lang w:val="fr-FR"/>
        </w:rPr>
        <w:t>ements concernant les véhicules (WP.29)</w:t>
      </w:r>
      <w:r w:rsidR="006067BE">
        <w:t xml:space="preserve">. Le </w:t>
      </w:r>
      <w:r w:rsidR="006067BE">
        <w:lastRenderedPageBreak/>
        <w:t xml:space="preserve">représentant de la Fédération de Russie présentera une proposition de modification du 9.2.5 à une prochaine session. </w:t>
      </w:r>
    </w:p>
    <w:p w14:paraId="1666472E" w14:textId="77777777" w:rsidR="006067BE" w:rsidRDefault="006067BE" w:rsidP="006067BE">
      <w:pPr>
        <w:pStyle w:val="H1G"/>
      </w:pPr>
      <w:r>
        <w:tab/>
        <w:t>C</w:t>
      </w:r>
      <w:r w:rsidRPr="003659AC">
        <w:t>.</w:t>
      </w:r>
      <w:r w:rsidRPr="003659AC">
        <w:tab/>
      </w:r>
      <w:r>
        <w:rPr>
          <w:lang w:val="fr-FR"/>
        </w:rPr>
        <w:t>Champ d’application de la disposition spéciale 601</w:t>
      </w:r>
    </w:p>
    <w:p w14:paraId="6CC5661B" w14:textId="77777777" w:rsidR="006067BE" w:rsidRDefault="006067BE" w:rsidP="006067BE">
      <w:pPr>
        <w:pStyle w:val="SingleTxtG"/>
        <w:spacing w:before="120"/>
        <w:ind w:left="2268" w:hanging="1134"/>
        <w:jc w:val="left"/>
      </w:pPr>
      <w:r w:rsidRPr="008E380C">
        <w:rPr>
          <w:i/>
        </w:rPr>
        <w:t>Document</w:t>
      </w:r>
      <w:r>
        <w:rPr>
          <w:i/>
        </w:rPr>
        <w:t xml:space="preserve"> informel</w:t>
      </w:r>
      <w:r w:rsidRPr="008E380C">
        <w:rPr>
          <w:i/>
        </w:rPr>
        <w:t xml:space="preserve">: </w:t>
      </w:r>
      <w:r w:rsidRPr="008E380C">
        <w:rPr>
          <w:i/>
        </w:rPr>
        <w:tab/>
      </w:r>
      <w:r>
        <w:t>INF.6</w:t>
      </w:r>
      <w:r w:rsidRPr="008E380C">
        <w:t xml:space="preserve"> </w:t>
      </w:r>
      <w:r>
        <w:t>(Suisse)</w:t>
      </w:r>
    </w:p>
    <w:p w14:paraId="6BEB1510" w14:textId="6960937A" w:rsidR="006067BE" w:rsidRDefault="00E636B6" w:rsidP="006067BE">
      <w:pPr>
        <w:pStyle w:val="SingleTxtG"/>
      </w:pPr>
      <w:r>
        <w:t>4</w:t>
      </w:r>
      <w:r w:rsidR="008C19CB">
        <w:t>6</w:t>
      </w:r>
      <w:r w:rsidR="006067BE">
        <w:t>.</w:t>
      </w:r>
      <w:r w:rsidR="006067BE">
        <w:tab/>
        <w:t xml:space="preserve">Le représentant de l’Autriche a indiqué qu’en Autriche la disposition spéciale 601 n’était utilisée que pour les produits emballés dans leur emballage de vente au détail. Le représentant du CEFIC a également confirmé que les membres du CEFIC n’appliquaient cette disposition spéciale que dans ce même cas. </w:t>
      </w:r>
    </w:p>
    <w:p w14:paraId="2CB8C365" w14:textId="77777777" w:rsidR="006067BE" w:rsidRDefault="006067BE" w:rsidP="006067BE">
      <w:pPr>
        <w:pStyle w:val="H1G"/>
      </w:pPr>
      <w:r>
        <w:tab/>
        <w:t>D</w:t>
      </w:r>
      <w:r w:rsidRPr="003659AC">
        <w:t>.</w:t>
      </w:r>
      <w:r w:rsidRPr="003659AC">
        <w:tab/>
      </w:r>
      <w:r>
        <w:rPr>
          <w:lang w:val="fr-FR"/>
        </w:rPr>
        <w:t>Ajout d’une référence à la section 8.2.3 dans les chapitres 3.4 et 3.5</w:t>
      </w:r>
    </w:p>
    <w:p w14:paraId="472CB20A" w14:textId="77777777" w:rsidR="006067BE" w:rsidRDefault="006067BE" w:rsidP="006067BE">
      <w:pPr>
        <w:pStyle w:val="SingleTxtG"/>
        <w:spacing w:before="120"/>
        <w:ind w:left="2268" w:hanging="1134"/>
        <w:jc w:val="left"/>
      </w:pPr>
      <w:r w:rsidRPr="008E380C">
        <w:rPr>
          <w:i/>
        </w:rPr>
        <w:t>Document</w:t>
      </w:r>
      <w:r>
        <w:rPr>
          <w:i/>
        </w:rPr>
        <w:t xml:space="preserve"> informel</w:t>
      </w:r>
      <w:r w:rsidRPr="008E380C">
        <w:rPr>
          <w:i/>
        </w:rPr>
        <w:t xml:space="preserve">: </w:t>
      </w:r>
      <w:r w:rsidRPr="008E380C">
        <w:rPr>
          <w:i/>
        </w:rPr>
        <w:tab/>
      </w:r>
      <w:r>
        <w:t>INF.11</w:t>
      </w:r>
      <w:r w:rsidRPr="008E380C">
        <w:t xml:space="preserve"> </w:t>
      </w:r>
      <w:r>
        <w:t>(Roumanie)</w:t>
      </w:r>
    </w:p>
    <w:p w14:paraId="18B6F3E4" w14:textId="2C534252" w:rsidR="006067BE" w:rsidRDefault="00E636B6" w:rsidP="006067BE">
      <w:pPr>
        <w:pStyle w:val="SingleTxtG"/>
      </w:pPr>
      <w:r>
        <w:t>4</w:t>
      </w:r>
      <w:r w:rsidR="008C19CB">
        <w:t>7</w:t>
      </w:r>
      <w:r w:rsidR="006067BE">
        <w:t>.</w:t>
      </w:r>
      <w:r w:rsidR="006067BE">
        <w:tab/>
        <w:t>Il n’y a pas eu consensus sur la nécessité ou non de faire référence au 8.2.3 dans les chapitres 3.4 et 3.5.</w:t>
      </w:r>
    </w:p>
    <w:p w14:paraId="3DB72587" w14:textId="11241B62" w:rsidR="006067BE" w:rsidRPr="009365CC" w:rsidRDefault="00E636B6" w:rsidP="006067BE">
      <w:pPr>
        <w:pStyle w:val="SingleTxtG"/>
      </w:pPr>
      <w:r>
        <w:t>4</w:t>
      </w:r>
      <w:r w:rsidR="008C19CB">
        <w:t>8</w:t>
      </w:r>
      <w:r w:rsidR="006067BE">
        <w:t>.</w:t>
      </w:r>
      <w:r w:rsidR="006067BE">
        <w:tab/>
        <w:t xml:space="preserve">Quelques délégations qui se sont prononcées étaient d’avis que la référence au chapitre 1.3 au 3.4.1 et au 3.5.1.1 était suffisante dans la mesure où le 8.2.3 renvoyait aux dispositions du chapitre 1.3 sans apporter des prescriptions supplémentaires. D’autres délégations considéraient que le 8.2.3 complétait le chapitre 1.3 et qu’il serait cohérent d’y faire référence. </w:t>
      </w:r>
    </w:p>
    <w:p w14:paraId="3627929F" w14:textId="77777777" w:rsidR="006067BE" w:rsidRDefault="006067BE" w:rsidP="006067BE">
      <w:pPr>
        <w:pStyle w:val="H1G"/>
      </w:pPr>
      <w:r>
        <w:tab/>
        <w:t>E</w:t>
      </w:r>
      <w:r w:rsidRPr="003659AC">
        <w:t>.</w:t>
      </w:r>
      <w:r w:rsidRPr="003659AC">
        <w:tab/>
      </w:r>
      <w:r>
        <w:rPr>
          <w:lang w:val="fr-FR"/>
        </w:rPr>
        <w:t>Baudrier fluorescent et référence à la norme EN 471</w:t>
      </w:r>
    </w:p>
    <w:p w14:paraId="2730AACA" w14:textId="77777777" w:rsidR="006067BE" w:rsidRDefault="006067BE" w:rsidP="006067BE">
      <w:pPr>
        <w:pStyle w:val="SingleTxtG"/>
        <w:spacing w:before="120"/>
        <w:ind w:left="2268" w:hanging="1134"/>
        <w:jc w:val="left"/>
      </w:pPr>
      <w:r w:rsidRPr="008E380C">
        <w:rPr>
          <w:i/>
        </w:rPr>
        <w:t>Document</w:t>
      </w:r>
      <w:r>
        <w:rPr>
          <w:i/>
        </w:rPr>
        <w:t xml:space="preserve"> informel</w:t>
      </w:r>
      <w:r w:rsidRPr="008E380C">
        <w:rPr>
          <w:i/>
        </w:rPr>
        <w:t xml:space="preserve">: </w:t>
      </w:r>
      <w:r w:rsidRPr="008E380C">
        <w:rPr>
          <w:i/>
        </w:rPr>
        <w:tab/>
      </w:r>
      <w:r>
        <w:t>INF.14</w:t>
      </w:r>
      <w:r w:rsidRPr="008E380C">
        <w:t xml:space="preserve"> </w:t>
      </w:r>
      <w:r>
        <w:t>(Finlande)</w:t>
      </w:r>
    </w:p>
    <w:p w14:paraId="1114D6BC" w14:textId="48EE4490" w:rsidR="006067BE" w:rsidRDefault="008C19CB" w:rsidP="006067BE">
      <w:pPr>
        <w:pStyle w:val="SingleTxtG"/>
      </w:pPr>
      <w:r>
        <w:t>49</w:t>
      </w:r>
      <w:r w:rsidR="006067BE">
        <w:t>.</w:t>
      </w:r>
      <w:r w:rsidR="006067BE">
        <w:tab/>
        <w:t xml:space="preserve">Le Groupe de travail a adopté l’amendement proposé par la représentante de la Finlande visant à remplacer la référence à la norme EN 471 par une référence à la norme </w:t>
      </w:r>
      <w:r w:rsidR="006067BE" w:rsidRPr="0039268C">
        <w:t>EN ISO 20471</w:t>
      </w:r>
      <w:r w:rsidR="006067BE">
        <w:t>.</w:t>
      </w:r>
    </w:p>
    <w:p w14:paraId="677EAB7B" w14:textId="77C931A9" w:rsidR="006067BE" w:rsidRDefault="00E636B6" w:rsidP="006067BE">
      <w:pPr>
        <w:pStyle w:val="SingleTxtG"/>
      </w:pPr>
      <w:r>
        <w:t>5</w:t>
      </w:r>
      <w:r w:rsidR="008C19CB">
        <w:t>0</w:t>
      </w:r>
      <w:r w:rsidR="006067BE">
        <w:t>.</w:t>
      </w:r>
      <w:r w:rsidR="006067BE">
        <w:tab/>
        <w:t xml:space="preserve">Les délégations qui se sont prononcées étaient d’avis que le type de vêtement requis au quatrième tiret du 8.1.5.2 pouvait être indifféremment une veste avec ou sans manches dès lors qu’il apportait une visibilité suffisante. </w:t>
      </w:r>
    </w:p>
    <w:p w14:paraId="01858EF0" w14:textId="7C830911" w:rsidR="006067BE" w:rsidRDefault="00E636B6" w:rsidP="006067BE">
      <w:pPr>
        <w:pStyle w:val="SingleTxtG"/>
      </w:pPr>
      <w:r>
        <w:t>5</w:t>
      </w:r>
      <w:r w:rsidR="008C19CB">
        <w:t>1</w:t>
      </w:r>
      <w:r w:rsidR="006067BE">
        <w:t>.</w:t>
      </w:r>
      <w:r w:rsidR="006067BE">
        <w:tab/>
        <w:t>Le Groupe de travail a noté que les termes utilisés pour ce vêtement étaient différents dans les différentes versions linguistiques de l’ADR et qu’il conviendrait d’harmoniser les termes retenus éventuellement en reprenant les termes utilisés dans la norme EN ISO 20471.</w:t>
      </w:r>
    </w:p>
    <w:p w14:paraId="7BC94D53" w14:textId="49FFC7F0" w:rsidR="006067BE" w:rsidRPr="0039268C" w:rsidRDefault="00E636B6" w:rsidP="006067BE">
      <w:pPr>
        <w:pStyle w:val="SingleTxtG"/>
      </w:pPr>
      <w:r>
        <w:t>5</w:t>
      </w:r>
      <w:r w:rsidR="008C19CB">
        <w:t>2</w:t>
      </w:r>
      <w:r w:rsidR="006067BE">
        <w:t>.</w:t>
      </w:r>
      <w:r w:rsidR="006067BE">
        <w:tab/>
        <w:t>La représentante de la Finlande présentera éventuellement une proposition de modification du 8.1.5.2 à une prochaine session.</w:t>
      </w:r>
    </w:p>
    <w:p w14:paraId="74A85592" w14:textId="77777777" w:rsidR="006067BE" w:rsidRDefault="006067BE" w:rsidP="006067BE">
      <w:pPr>
        <w:pStyle w:val="HChG"/>
        <w:rPr>
          <w:lang w:val="fr-FR"/>
        </w:rPr>
      </w:pPr>
      <w:r>
        <w:rPr>
          <w:lang w:val="fr-FR"/>
        </w:rPr>
        <w:tab/>
        <w:t>VIII.</w:t>
      </w:r>
      <w:r>
        <w:rPr>
          <w:lang w:val="fr-FR"/>
        </w:rPr>
        <w:tab/>
      </w:r>
      <w:r>
        <w:t xml:space="preserve">Programme de travail (point 7 de l’ordre du jour) </w:t>
      </w:r>
    </w:p>
    <w:p w14:paraId="78E7C77C" w14:textId="74A61847" w:rsidR="006067BE" w:rsidRDefault="00E636B6" w:rsidP="006067BE">
      <w:pPr>
        <w:pStyle w:val="SingleTxtG"/>
        <w:rPr>
          <w:lang w:val="fr-FR"/>
        </w:rPr>
      </w:pPr>
      <w:r>
        <w:t>5</w:t>
      </w:r>
      <w:r w:rsidR="008C19CB">
        <w:t>3</w:t>
      </w:r>
      <w:r w:rsidR="006067BE">
        <w:rPr>
          <w:lang w:val="fr-FR"/>
        </w:rPr>
        <w:t>.</w:t>
      </w:r>
      <w:r w:rsidR="006067BE">
        <w:rPr>
          <w:lang w:val="fr-FR"/>
        </w:rPr>
        <w:tab/>
        <w:t>Les points à l'ordre du jour de la prochaine session seront:</w:t>
      </w:r>
    </w:p>
    <w:p w14:paraId="6EDCCD37" w14:textId="77777777" w:rsidR="006067BE" w:rsidRDefault="006067BE" w:rsidP="006067BE">
      <w:pPr>
        <w:pStyle w:val="SingleTxtG"/>
        <w:ind w:firstLine="567"/>
      </w:pPr>
      <w:r>
        <w:t>-</w:t>
      </w:r>
      <w:r>
        <w:tab/>
        <w:t>Adoption de l’ordre du jour;</w:t>
      </w:r>
    </w:p>
    <w:p w14:paraId="27B9A9D9" w14:textId="77777777" w:rsidR="006067BE" w:rsidRDefault="006067BE" w:rsidP="006067BE">
      <w:pPr>
        <w:pStyle w:val="SingleTxtG"/>
        <w:ind w:firstLine="567"/>
      </w:pPr>
      <w:r>
        <w:t>-</w:t>
      </w:r>
      <w:r>
        <w:rPr>
          <w:lang w:val="fr-FR"/>
        </w:rPr>
        <w:tab/>
        <w:t>Soixante-dix-neuvième session du Comité des transports intérieurs</w:t>
      </w:r>
      <w:r>
        <w:t>;</w:t>
      </w:r>
    </w:p>
    <w:p w14:paraId="18B5AED8" w14:textId="77777777" w:rsidR="006067BE" w:rsidRDefault="006067BE" w:rsidP="006067BE">
      <w:pPr>
        <w:pStyle w:val="SingleTxtG"/>
        <w:ind w:left="1701"/>
      </w:pPr>
      <w:r>
        <w:t>-</w:t>
      </w:r>
      <w:r>
        <w:tab/>
        <w:t>État de l’Accord européen relatif au transport international des marchandises dangereuses par route (ADR) et questions connexes;</w:t>
      </w:r>
    </w:p>
    <w:p w14:paraId="0D01531D" w14:textId="77777777" w:rsidR="006067BE" w:rsidRDefault="006067BE" w:rsidP="006067BE">
      <w:pPr>
        <w:pStyle w:val="SingleTxtG"/>
        <w:ind w:firstLine="567"/>
      </w:pPr>
      <w:r>
        <w:lastRenderedPageBreak/>
        <w:t>-</w:t>
      </w:r>
      <w:r>
        <w:tab/>
        <w:t>Travaux de la Réunion commune RID/ADR/ADN;</w:t>
      </w:r>
    </w:p>
    <w:p w14:paraId="06DE2D52" w14:textId="77777777" w:rsidR="006067BE" w:rsidRDefault="006067BE" w:rsidP="006067BE">
      <w:pPr>
        <w:pStyle w:val="SingleTxtG"/>
        <w:ind w:firstLine="567"/>
      </w:pPr>
      <w:r>
        <w:t>-</w:t>
      </w:r>
      <w:r>
        <w:tab/>
        <w:t>Propositions d'amendement aux annexes A et B de l'ADR;</w:t>
      </w:r>
    </w:p>
    <w:p w14:paraId="147D5598" w14:textId="77777777" w:rsidR="006067BE" w:rsidRDefault="006067BE" w:rsidP="006067BE">
      <w:pPr>
        <w:pStyle w:val="SingleTxtG"/>
        <w:ind w:firstLine="567"/>
      </w:pPr>
      <w:r>
        <w:t>-</w:t>
      </w:r>
      <w:r>
        <w:tab/>
        <w:t>Interprétation de l’ADR;</w:t>
      </w:r>
    </w:p>
    <w:p w14:paraId="2749618A" w14:textId="77777777" w:rsidR="006067BE" w:rsidRDefault="006067BE" w:rsidP="006067BE">
      <w:pPr>
        <w:pStyle w:val="SingleTxtG"/>
        <w:ind w:firstLine="567"/>
      </w:pPr>
      <w:r>
        <w:t>-</w:t>
      </w:r>
      <w:r>
        <w:tab/>
        <w:t>Programme de travail;</w:t>
      </w:r>
    </w:p>
    <w:p w14:paraId="452FC340" w14:textId="77777777" w:rsidR="006067BE" w:rsidRDefault="006067BE" w:rsidP="006067BE">
      <w:pPr>
        <w:pStyle w:val="SingleTxtG"/>
        <w:ind w:firstLine="567"/>
      </w:pPr>
      <w:r>
        <w:t>-</w:t>
      </w:r>
      <w:r>
        <w:tab/>
        <w:t>Questions diverses;</w:t>
      </w:r>
    </w:p>
    <w:p w14:paraId="5462391A" w14:textId="77777777" w:rsidR="006067BE" w:rsidRDefault="006067BE" w:rsidP="006067BE">
      <w:pPr>
        <w:pStyle w:val="SingleTxtG"/>
        <w:ind w:firstLine="567"/>
      </w:pPr>
      <w:r>
        <w:t>-</w:t>
      </w:r>
      <w:r>
        <w:tab/>
        <w:t>Adoption du rapport.</w:t>
      </w:r>
    </w:p>
    <w:p w14:paraId="573585E4" w14:textId="77777777" w:rsidR="006067BE" w:rsidRPr="00BF4685" w:rsidRDefault="006067BE" w:rsidP="006067BE">
      <w:pPr>
        <w:pStyle w:val="HChG"/>
        <w:rPr>
          <w:lang w:val="fr-FR"/>
        </w:rPr>
      </w:pPr>
      <w:r>
        <w:rPr>
          <w:lang w:val="fr-FR"/>
        </w:rPr>
        <w:tab/>
        <w:t>IX.</w:t>
      </w:r>
      <w:r w:rsidRPr="00033163">
        <w:rPr>
          <w:lang w:val="fr-FR"/>
        </w:rPr>
        <w:tab/>
      </w:r>
      <w:r w:rsidRPr="00033163">
        <w:t xml:space="preserve">Élection du bureau pour </w:t>
      </w:r>
      <w:r>
        <w:t>2017</w:t>
      </w:r>
      <w:r w:rsidRPr="00033163">
        <w:t xml:space="preserve"> (point </w:t>
      </w:r>
      <w:r>
        <w:t>8</w:t>
      </w:r>
      <w:r w:rsidRPr="00033163">
        <w:t xml:space="preserve"> de l’ordre du jour)</w:t>
      </w:r>
      <w:r>
        <w:t xml:space="preserve"> </w:t>
      </w:r>
    </w:p>
    <w:p w14:paraId="3B5E67CD" w14:textId="22FE50AF" w:rsidR="006067BE" w:rsidRDefault="00E636B6" w:rsidP="006067BE">
      <w:pPr>
        <w:pStyle w:val="SingleTxtG"/>
      </w:pPr>
      <w:r>
        <w:t>5</w:t>
      </w:r>
      <w:r w:rsidR="008C19CB">
        <w:t>4</w:t>
      </w:r>
      <w:r w:rsidR="006067BE" w:rsidRPr="00C4723A">
        <w:t>.</w:t>
      </w:r>
      <w:r w:rsidR="006067BE" w:rsidRPr="00C4723A">
        <w:tab/>
        <w:t>Sur proposition de la représentante de l'</w:t>
      </w:r>
      <w:r w:rsidR="006067BE">
        <w:t>Allemagne,</w:t>
      </w:r>
      <w:r w:rsidR="006067BE" w:rsidRPr="00C4723A">
        <w:t xml:space="preserve"> appuyée par le</w:t>
      </w:r>
      <w:r w:rsidR="006067BE">
        <w:t>s</w:t>
      </w:r>
      <w:r w:rsidR="006067BE" w:rsidRPr="00C4723A">
        <w:t xml:space="preserve"> représentant</w:t>
      </w:r>
      <w:r w:rsidR="006067BE">
        <w:t>s</w:t>
      </w:r>
      <w:r w:rsidR="006067BE" w:rsidRPr="00C4723A">
        <w:t xml:space="preserve"> de la Roumanie</w:t>
      </w:r>
      <w:r w:rsidR="006067BE">
        <w:t xml:space="preserve">, </w:t>
      </w:r>
      <w:r w:rsidR="006067BE" w:rsidRPr="00C4723A">
        <w:t>de la Turquie</w:t>
      </w:r>
      <w:r w:rsidR="006067BE">
        <w:t xml:space="preserve"> et des Pays-Bas</w:t>
      </w:r>
      <w:r w:rsidR="006067BE" w:rsidRPr="00C4723A">
        <w:t>, le Groupe de travail a réélu M. J. A. Franco (Portugal) et Mme A. Roumier (France) respectivement Président et Vice-Présidente pour l’année 2017.</w:t>
      </w:r>
    </w:p>
    <w:p w14:paraId="290E113C" w14:textId="744D1D4C" w:rsidR="00332FC3" w:rsidRPr="00986C52" w:rsidRDefault="00986C52" w:rsidP="00332FC3">
      <w:pPr>
        <w:pStyle w:val="HChG"/>
        <w:rPr>
          <w:lang w:val="fr-FR"/>
        </w:rPr>
      </w:pPr>
      <w:r>
        <w:rPr>
          <w:lang w:val="fr-FR"/>
        </w:rPr>
        <w:tab/>
      </w:r>
      <w:r w:rsidR="00332FC3" w:rsidRPr="00986C52">
        <w:rPr>
          <w:lang w:val="fr-FR"/>
        </w:rPr>
        <w:t>X.</w:t>
      </w:r>
      <w:r w:rsidR="00332FC3" w:rsidRPr="00986C52">
        <w:rPr>
          <w:lang w:val="fr-FR"/>
        </w:rPr>
        <w:tab/>
      </w:r>
      <w:r w:rsidR="00332FC3" w:rsidRPr="00EF51C7">
        <w:rPr>
          <w:lang w:val="fr-FR"/>
        </w:rPr>
        <w:t>Questions diverses</w:t>
      </w:r>
      <w:r w:rsidR="00332FC3">
        <w:rPr>
          <w:lang w:val="fr-FR"/>
        </w:rPr>
        <w:t xml:space="preserve"> </w:t>
      </w:r>
      <w:r w:rsidR="00332FC3" w:rsidRPr="00986C52">
        <w:rPr>
          <w:lang w:val="fr-FR"/>
        </w:rPr>
        <w:t>(point 9 de l’ordre du jour)</w:t>
      </w:r>
    </w:p>
    <w:p w14:paraId="1BB80084" w14:textId="30C6EF83" w:rsidR="00332FC3" w:rsidRDefault="00332FC3" w:rsidP="00332FC3">
      <w:pPr>
        <w:pStyle w:val="H1G"/>
      </w:pPr>
      <w:r>
        <w:tab/>
        <w:t>A.</w:t>
      </w:r>
      <w:r>
        <w:tab/>
        <w:t>Présentation du projet E</w:t>
      </w:r>
      <w:r w:rsidR="006B191D">
        <w:t>uro</w:t>
      </w:r>
      <w:r>
        <w:t>M</w:t>
      </w:r>
      <w:r w:rsidR="006B191D">
        <w:t>ed</w:t>
      </w:r>
    </w:p>
    <w:p w14:paraId="7CF899FF" w14:textId="77777777" w:rsidR="00332FC3" w:rsidRDefault="00332FC3" w:rsidP="00332FC3">
      <w:pPr>
        <w:pStyle w:val="SingleTxtG"/>
        <w:tabs>
          <w:tab w:val="left" w:pos="1418"/>
        </w:tabs>
        <w:ind w:left="3119" w:hanging="1985"/>
        <w:jc w:val="left"/>
      </w:pPr>
      <w:r>
        <w:rPr>
          <w:i/>
        </w:rPr>
        <w:t>Document informel</w:t>
      </w:r>
      <w:r>
        <w:t>:</w:t>
      </w:r>
      <w:r>
        <w:tab/>
        <w:t xml:space="preserve">INF.21 (EuroMed) </w:t>
      </w:r>
    </w:p>
    <w:p w14:paraId="6838C7DE" w14:textId="697D6E2C" w:rsidR="00332FC3" w:rsidRDefault="00E636B6" w:rsidP="00332FC3">
      <w:pPr>
        <w:pStyle w:val="SingleTxtG"/>
        <w:rPr>
          <w:color w:val="000000"/>
          <w:lang w:val="fr-FR"/>
        </w:rPr>
      </w:pPr>
      <w:r>
        <w:rPr>
          <w:color w:val="000000"/>
          <w:lang w:val="fr-FR"/>
        </w:rPr>
        <w:t>5</w:t>
      </w:r>
      <w:r w:rsidR="008C19CB">
        <w:rPr>
          <w:color w:val="000000"/>
          <w:lang w:val="fr-FR"/>
        </w:rPr>
        <w:t>5</w:t>
      </w:r>
      <w:r w:rsidR="00332FC3">
        <w:rPr>
          <w:color w:val="000000"/>
          <w:lang w:val="fr-FR"/>
        </w:rPr>
        <w:t>.</w:t>
      </w:r>
      <w:r w:rsidR="00332FC3">
        <w:rPr>
          <w:color w:val="000000"/>
          <w:lang w:val="fr-FR"/>
        </w:rPr>
        <w:tab/>
        <w:t xml:space="preserve">Un représentant du programme EuroMed a présenté les différentes actions réalisées dans le cadre du programme EuroMed Transport afin d’harmoniser les règlements nationaux et internationaux des pays partenaires </w:t>
      </w:r>
      <w:r w:rsidR="00332FC3" w:rsidRPr="00A03BD1">
        <w:rPr>
          <w:color w:val="000000"/>
          <w:lang w:val="fr-FR"/>
        </w:rPr>
        <w:t>sur le modèle de l’ADR.</w:t>
      </w:r>
      <w:r w:rsidR="00332FC3">
        <w:rPr>
          <w:color w:val="000000"/>
          <w:lang w:val="fr-FR"/>
        </w:rPr>
        <w:t xml:space="preserve"> </w:t>
      </w:r>
    </w:p>
    <w:p w14:paraId="65586FC8" w14:textId="0BF88606" w:rsidR="00332FC3" w:rsidRDefault="00E636B6" w:rsidP="00332FC3">
      <w:pPr>
        <w:pStyle w:val="SingleTxtG"/>
        <w:rPr>
          <w:color w:val="000000"/>
          <w:lang w:val="fr-FR"/>
        </w:rPr>
      </w:pPr>
      <w:r>
        <w:rPr>
          <w:color w:val="000000"/>
          <w:lang w:val="fr-FR"/>
        </w:rPr>
        <w:t>5</w:t>
      </w:r>
      <w:r w:rsidR="008C19CB">
        <w:rPr>
          <w:color w:val="000000"/>
          <w:lang w:val="fr-FR"/>
        </w:rPr>
        <w:t>6</w:t>
      </w:r>
      <w:r w:rsidR="00332FC3">
        <w:rPr>
          <w:color w:val="000000"/>
          <w:lang w:val="fr-FR"/>
        </w:rPr>
        <w:t>.</w:t>
      </w:r>
      <w:r w:rsidR="00332FC3">
        <w:rPr>
          <w:color w:val="000000"/>
          <w:lang w:val="fr-FR"/>
        </w:rPr>
        <w:tab/>
        <w:t>Le Groupe de travail s’est félicité des activités en cours en Algérie, Israël et Jordanie en vue d’adhérer à l’ADR dans un prochain avenir.</w:t>
      </w:r>
    </w:p>
    <w:p w14:paraId="0CC52739" w14:textId="583A4734" w:rsidR="00332FC3" w:rsidRDefault="00E636B6" w:rsidP="00332FC3">
      <w:pPr>
        <w:pStyle w:val="SingleTxtG"/>
        <w:rPr>
          <w:color w:val="000000"/>
          <w:lang w:val="fr-FR"/>
        </w:rPr>
      </w:pPr>
      <w:r>
        <w:rPr>
          <w:color w:val="000000"/>
          <w:lang w:val="fr-FR"/>
        </w:rPr>
        <w:t>5</w:t>
      </w:r>
      <w:r w:rsidR="008C19CB">
        <w:rPr>
          <w:color w:val="000000"/>
          <w:lang w:val="fr-FR"/>
        </w:rPr>
        <w:t>7</w:t>
      </w:r>
      <w:r w:rsidR="00332FC3">
        <w:rPr>
          <w:color w:val="000000"/>
          <w:lang w:val="fr-FR"/>
        </w:rPr>
        <w:t>.</w:t>
      </w:r>
      <w:r w:rsidR="00332FC3">
        <w:rPr>
          <w:color w:val="000000"/>
          <w:lang w:val="fr-FR"/>
        </w:rPr>
        <w:tab/>
        <w:t xml:space="preserve">Le Groupe de travail s’est également félicité de la participation du représentant de la Tunisie (Partie contractante à l’ADR) au Groupe de travail pour cette session et de son intention de participer aux prochaines sessions. </w:t>
      </w:r>
    </w:p>
    <w:p w14:paraId="2B635467" w14:textId="77777777" w:rsidR="006067BE" w:rsidRDefault="006067BE" w:rsidP="006067BE">
      <w:pPr>
        <w:pStyle w:val="H1G"/>
      </w:pPr>
      <w:r>
        <w:tab/>
        <w:t>B.</w:t>
      </w:r>
      <w:r>
        <w:tab/>
        <w:t>Amendements à l’annexe 2 de l’</w:t>
      </w:r>
      <w:r w:rsidRPr="004720B4">
        <w:t xml:space="preserve">Accord concernant le transport international des marchandises par chemins de fer </w:t>
      </w:r>
      <w:r>
        <w:t>(SMGS)</w:t>
      </w:r>
    </w:p>
    <w:p w14:paraId="1CA9B7E8" w14:textId="77777777" w:rsidR="006067BE" w:rsidRDefault="006067BE" w:rsidP="006067BE">
      <w:pPr>
        <w:pStyle w:val="SingleTxtG"/>
        <w:tabs>
          <w:tab w:val="left" w:pos="1418"/>
        </w:tabs>
        <w:ind w:left="3119" w:hanging="1985"/>
        <w:jc w:val="left"/>
      </w:pPr>
      <w:r>
        <w:rPr>
          <w:i/>
        </w:rPr>
        <w:t>Document informel</w:t>
      </w:r>
      <w:r>
        <w:t>:</w:t>
      </w:r>
      <w:r>
        <w:tab/>
        <w:t>INF.18 (OTIF)</w:t>
      </w:r>
    </w:p>
    <w:p w14:paraId="3600F382" w14:textId="2F99B3C0" w:rsidR="006067BE" w:rsidRDefault="00E636B6" w:rsidP="006067BE">
      <w:pPr>
        <w:pStyle w:val="SingleTxtG"/>
      </w:pPr>
      <w:r>
        <w:t>5</w:t>
      </w:r>
      <w:r w:rsidR="008C19CB">
        <w:t>8</w:t>
      </w:r>
      <w:r w:rsidR="006067BE">
        <w:t>.</w:t>
      </w:r>
      <w:r w:rsidR="006067BE">
        <w:tab/>
      </w:r>
      <w:r w:rsidR="006067BE" w:rsidRPr="004720B4">
        <w:t xml:space="preserve">Le Groupe de travail a noté que les </w:t>
      </w:r>
      <w:r w:rsidR="006067BE">
        <w:t>propositions d’amendements</w:t>
      </w:r>
      <w:r w:rsidR="006067BE" w:rsidRPr="004720B4">
        <w:t xml:space="preserve"> à l’annexe 2 du SMGS visant notamment à harmoniser le SMGS avec l’édition 2017 du RID </w:t>
      </w:r>
      <w:r w:rsidR="006067BE">
        <w:t xml:space="preserve">avaient été rejetées lors de la dernière réunion de </w:t>
      </w:r>
      <w:r w:rsidR="006067BE" w:rsidRPr="004720B4">
        <w:t>la Commission pour le droit des transports de l’OSJD</w:t>
      </w:r>
      <w:r w:rsidR="006067BE">
        <w:t>. La Fédération de Russie s’était opposée à l’adoption de ces amendements dont une partie comportait des références à des normes européennes ou à des directives de l’Union européenne non traduites en russe.</w:t>
      </w:r>
    </w:p>
    <w:p w14:paraId="5D8A8CDB" w14:textId="36919043" w:rsidR="006067BE" w:rsidRDefault="008C19CB" w:rsidP="006067BE">
      <w:pPr>
        <w:pStyle w:val="SingleTxtG"/>
      </w:pPr>
      <w:r>
        <w:t>59</w:t>
      </w:r>
      <w:r w:rsidR="006067BE">
        <w:t>.</w:t>
      </w:r>
      <w:r w:rsidR="006067BE">
        <w:tab/>
        <w:t>Le Groupe de travail s’est déclaré préoccupé par cette décision qui entrainera des divergences entre le SMGS et le RID, l’ADR et l’ADN. Il a encouragé l’OTIF et l’OSJD à poursuivre les travaux d’harmonisation. Il a invité l’OSJD à essayer de trouver une solution pour limiter les divergences qui existeront entre l’annexe 2 du SMGS et les autres Règlements internationaux à partir du 1er juillet 2017.</w:t>
      </w:r>
    </w:p>
    <w:p w14:paraId="7D65E123" w14:textId="5C2D679E" w:rsidR="001409C5" w:rsidRDefault="001409C5" w:rsidP="001409C5">
      <w:pPr>
        <w:pStyle w:val="H1G"/>
      </w:pPr>
      <w:r>
        <w:lastRenderedPageBreak/>
        <w:tab/>
        <w:t>C.</w:t>
      </w:r>
      <w:r>
        <w:tab/>
      </w:r>
      <w:r>
        <w:rPr>
          <w:lang w:val="fr-FR"/>
        </w:rPr>
        <w:t>Accident</w:t>
      </w:r>
      <w:r w:rsidR="00653C15">
        <w:rPr>
          <w:lang w:val="fr-FR"/>
        </w:rPr>
        <w:t>s</w:t>
      </w:r>
      <w:r>
        <w:rPr>
          <w:lang w:val="fr-FR"/>
        </w:rPr>
        <w:t xml:space="preserve"> de transport de marchandises dangereuses</w:t>
      </w:r>
    </w:p>
    <w:p w14:paraId="487B07E8" w14:textId="77777777" w:rsidR="001409C5" w:rsidRDefault="001409C5" w:rsidP="001409C5">
      <w:pPr>
        <w:pStyle w:val="SingleTxtG"/>
        <w:spacing w:before="120"/>
        <w:ind w:left="2268" w:hanging="1134"/>
        <w:jc w:val="left"/>
      </w:pPr>
      <w:r w:rsidRPr="008E380C">
        <w:rPr>
          <w:i/>
        </w:rPr>
        <w:t xml:space="preserve">Document: </w:t>
      </w:r>
      <w:r w:rsidRPr="008E380C">
        <w:rPr>
          <w:i/>
        </w:rPr>
        <w:tab/>
      </w:r>
      <w:r>
        <w:t>ECE/TRANS/WP.15/2016/15</w:t>
      </w:r>
      <w:r w:rsidRPr="008E380C">
        <w:t xml:space="preserve"> </w:t>
      </w:r>
      <w:r>
        <w:t>(Allemagne)</w:t>
      </w:r>
    </w:p>
    <w:p w14:paraId="32EB236D" w14:textId="77777777" w:rsidR="001409C5" w:rsidRDefault="001409C5" w:rsidP="001409C5">
      <w:pPr>
        <w:pStyle w:val="SingleTxtG"/>
        <w:tabs>
          <w:tab w:val="left" w:pos="1418"/>
        </w:tabs>
        <w:ind w:left="3119" w:hanging="1985"/>
        <w:jc w:val="left"/>
      </w:pPr>
      <w:r>
        <w:rPr>
          <w:i/>
        </w:rPr>
        <w:t>Document informel</w:t>
      </w:r>
      <w:r>
        <w:t>:</w:t>
      </w:r>
      <w:r>
        <w:tab/>
        <w:t>INF.3 (Allemagne)</w:t>
      </w:r>
    </w:p>
    <w:p w14:paraId="01BAE5C4" w14:textId="5C590321" w:rsidR="001409C5" w:rsidRDefault="00E636B6" w:rsidP="001409C5">
      <w:pPr>
        <w:pStyle w:val="SingleTxtG"/>
      </w:pPr>
      <w:r>
        <w:t>6</w:t>
      </w:r>
      <w:r w:rsidR="008C19CB">
        <w:t>0</w:t>
      </w:r>
      <w:r w:rsidR="001409C5" w:rsidRPr="00802CD0">
        <w:t>.</w:t>
      </w:r>
      <w:r w:rsidR="001409C5" w:rsidRPr="00802CD0">
        <w:tab/>
      </w:r>
      <w:r w:rsidR="001409C5" w:rsidRPr="006D1074">
        <w:t>La représentante de l’Allemagne a informé le Groupe de travail sur les circonstances et conséquences d’un accident concernant un transport de métal en fusion</w:t>
      </w:r>
      <w:r w:rsidR="001409C5">
        <w:t xml:space="preserve"> (Aluminium, No ONU 3257)</w:t>
      </w:r>
      <w:r w:rsidR="001409C5" w:rsidRPr="006D1074">
        <w:t xml:space="preserve"> dans des conteneurs spéciaux</w:t>
      </w:r>
      <w:r w:rsidR="001409C5">
        <w:t xml:space="preserve"> et d’un accident </w:t>
      </w:r>
      <w:r w:rsidR="001409C5" w:rsidRPr="006D1074">
        <w:t>concernant un transport de</w:t>
      </w:r>
      <w:r w:rsidR="001409C5">
        <w:t xml:space="preserve"> mercure (No ONU 2809)</w:t>
      </w:r>
      <w:r w:rsidR="001409C5" w:rsidRPr="006D1074">
        <w:t xml:space="preserve">. </w:t>
      </w:r>
    </w:p>
    <w:p w14:paraId="7A0D4985" w14:textId="07523C19" w:rsidR="001409C5" w:rsidRPr="006D1074" w:rsidRDefault="00E636B6" w:rsidP="001409C5">
      <w:pPr>
        <w:pStyle w:val="SingleTxtG"/>
      </w:pPr>
      <w:r>
        <w:t>6</w:t>
      </w:r>
      <w:r w:rsidR="008C19CB">
        <w:t>1</w:t>
      </w:r>
      <w:r w:rsidR="001409C5">
        <w:t>.</w:t>
      </w:r>
      <w:r w:rsidR="001409C5">
        <w:tab/>
        <w:t>La discussion a porté sur l’accident concernant le transport d’aluminium. Le Groupe de travail a noté que l’évaluation de cet accident était toujours en cours et a invité la représentante de l’Allemagne à le maintenir informé des suites de l’enquête notamment en ce qui concerne les causes de la défaillance structurelle d’un conteneur et les conditions prescrites par l’autorité compétente conformément à la prescription VC3.</w:t>
      </w:r>
    </w:p>
    <w:p w14:paraId="6ACA71CC" w14:textId="77777777" w:rsidR="001409C5" w:rsidRDefault="001409C5" w:rsidP="001409C5">
      <w:pPr>
        <w:pStyle w:val="H1G"/>
      </w:pPr>
      <w:r>
        <w:tab/>
        <w:t>D.</w:t>
      </w:r>
      <w:r>
        <w:tab/>
      </w:r>
      <w:r>
        <w:rPr>
          <w:lang w:val="fr-FR"/>
        </w:rPr>
        <w:t>Accident de transport de marchandises dangereuses et protection arrière des véhicules</w:t>
      </w:r>
    </w:p>
    <w:p w14:paraId="737C810A" w14:textId="77777777" w:rsidR="001409C5" w:rsidRDefault="001409C5" w:rsidP="001409C5">
      <w:pPr>
        <w:pStyle w:val="SingleTxtG"/>
        <w:spacing w:before="120"/>
        <w:ind w:left="2268" w:hanging="1134"/>
        <w:jc w:val="left"/>
      </w:pPr>
      <w:r w:rsidRPr="008E380C">
        <w:rPr>
          <w:i/>
        </w:rPr>
        <w:t xml:space="preserve">Document: </w:t>
      </w:r>
      <w:r w:rsidRPr="008E380C">
        <w:rPr>
          <w:i/>
        </w:rPr>
        <w:tab/>
      </w:r>
      <w:r>
        <w:t>ECE/TRANS/WP.15/2016/16</w:t>
      </w:r>
      <w:r w:rsidRPr="008E380C">
        <w:t xml:space="preserve"> </w:t>
      </w:r>
      <w:r>
        <w:t>(Allemagne)</w:t>
      </w:r>
    </w:p>
    <w:p w14:paraId="0A6F460F" w14:textId="77777777" w:rsidR="001409C5" w:rsidRDefault="001409C5" w:rsidP="001409C5">
      <w:pPr>
        <w:pStyle w:val="SingleTxtG"/>
        <w:tabs>
          <w:tab w:val="left" w:pos="1418"/>
        </w:tabs>
        <w:ind w:left="3119" w:hanging="1985"/>
        <w:jc w:val="left"/>
      </w:pPr>
      <w:r>
        <w:rPr>
          <w:i/>
        </w:rPr>
        <w:t>Document informel</w:t>
      </w:r>
      <w:r>
        <w:t>:</w:t>
      </w:r>
      <w:r>
        <w:tab/>
        <w:t>INF.4 (Allemagne)</w:t>
      </w:r>
    </w:p>
    <w:p w14:paraId="69DF76CD" w14:textId="41ABEA4B" w:rsidR="001409C5" w:rsidRDefault="00E636B6" w:rsidP="001409C5">
      <w:pPr>
        <w:pStyle w:val="SingleTxtG"/>
      </w:pPr>
      <w:r>
        <w:rPr>
          <w:lang w:val="fr-FR"/>
        </w:rPr>
        <w:t>6</w:t>
      </w:r>
      <w:r w:rsidR="008C19CB">
        <w:rPr>
          <w:lang w:val="fr-FR"/>
        </w:rPr>
        <w:t>2</w:t>
      </w:r>
      <w:r w:rsidR="001409C5" w:rsidRPr="005915A5">
        <w:rPr>
          <w:lang w:val="fr-FR"/>
        </w:rPr>
        <w:t xml:space="preserve">. </w:t>
      </w:r>
      <w:r w:rsidR="001409C5" w:rsidRPr="005915A5">
        <w:rPr>
          <w:lang w:val="fr-FR"/>
        </w:rPr>
        <w:tab/>
      </w:r>
      <w:r w:rsidR="001409C5" w:rsidRPr="006D1074">
        <w:t xml:space="preserve">La représentante de l’Allemagne a informé le Groupe de travail sur les </w:t>
      </w:r>
      <w:r w:rsidR="001409C5">
        <w:t xml:space="preserve">conséquences d’une collision par l’arrière sur un véhicule-citerne transportant de l’oxygène liquide réfrigéré (No ONU 1073). </w:t>
      </w:r>
    </w:p>
    <w:p w14:paraId="3CDD9002" w14:textId="7B480D18" w:rsidR="001409C5" w:rsidRDefault="00E636B6" w:rsidP="001409C5">
      <w:pPr>
        <w:pStyle w:val="SingleTxtG"/>
      </w:pPr>
      <w:r>
        <w:t>6</w:t>
      </w:r>
      <w:r w:rsidR="008C19CB">
        <w:t>3</w:t>
      </w:r>
      <w:r w:rsidR="001409C5">
        <w:t>.</w:t>
      </w:r>
      <w:r w:rsidR="001409C5">
        <w:tab/>
        <w:t xml:space="preserve">Plusieurs délégations considéraient que le nombre d’accidents de ce type rapporté ne justifiait pas pour l’instant la poursuite des débats sur la protection arrière des véhicules. </w:t>
      </w:r>
    </w:p>
    <w:p w14:paraId="1AEA6808" w14:textId="37A48854" w:rsidR="001409C5" w:rsidRPr="005915A5" w:rsidRDefault="00E636B6" w:rsidP="001409C5">
      <w:pPr>
        <w:pStyle w:val="SingleTxtG"/>
        <w:rPr>
          <w:lang w:val="fr-FR"/>
        </w:rPr>
      </w:pPr>
      <w:r>
        <w:t>6</w:t>
      </w:r>
      <w:r w:rsidR="008C19CB">
        <w:t>4</w:t>
      </w:r>
      <w:r w:rsidR="001409C5">
        <w:t>.</w:t>
      </w:r>
      <w:r w:rsidR="001409C5">
        <w:tab/>
        <w:t xml:space="preserve">La représentante de l’Allemagne a été invitée à fournir des informations supplémentaires sur cet accident, notamment afin de vérifier si les prescriptions du 9.7.6 étaient respectées. </w:t>
      </w:r>
    </w:p>
    <w:p w14:paraId="2DA5C370" w14:textId="3E0EDC67" w:rsidR="001409C5" w:rsidRDefault="00E636B6" w:rsidP="001409C5">
      <w:pPr>
        <w:pStyle w:val="SingleTxtG"/>
        <w:rPr>
          <w:lang w:val="fr-FR"/>
        </w:rPr>
      </w:pPr>
      <w:r>
        <w:rPr>
          <w:lang w:val="fr-FR"/>
        </w:rPr>
        <w:t>6</w:t>
      </w:r>
      <w:r w:rsidR="008C19CB">
        <w:rPr>
          <w:lang w:val="fr-FR"/>
        </w:rPr>
        <w:t>5</w:t>
      </w:r>
      <w:r w:rsidR="001409C5">
        <w:rPr>
          <w:lang w:val="fr-FR"/>
        </w:rPr>
        <w:t>.</w:t>
      </w:r>
      <w:r w:rsidR="001409C5">
        <w:rPr>
          <w:lang w:val="fr-FR"/>
        </w:rPr>
        <w:tab/>
        <w:t>L</w:t>
      </w:r>
      <w:r w:rsidR="001409C5" w:rsidRPr="005915A5">
        <w:rPr>
          <w:lang w:val="fr-FR"/>
        </w:rPr>
        <w:t xml:space="preserve">e Groupe de travail a </w:t>
      </w:r>
      <w:r w:rsidR="001409C5">
        <w:rPr>
          <w:lang w:val="fr-FR"/>
        </w:rPr>
        <w:t xml:space="preserve">également invité la représentante de l’Allemagne à prendre l’avis du </w:t>
      </w:r>
      <w:r w:rsidR="001409C5" w:rsidRPr="005915A5">
        <w:rPr>
          <w:lang w:val="fr-FR"/>
        </w:rPr>
        <w:t>Groupe de travail des dispositions générales de sécurité du Forum mondial de l’harmonisation des Règl</w:t>
      </w:r>
      <w:r w:rsidR="001409C5">
        <w:rPr>
          <w:lang w:val="fr-FR"/>
        </w:rPr>
        <w:t>ements concernant les véhicules (WP.29), notamment en ce qui concerne les mesures de prévention des collisions.</w:t>
      </w:r>
    </w:p>
    <w:p w14:paraId="0F707056" w14:textId="77777777" w:rsidR="001409C5" w:rsidRPr="005915A5" w:rsidRDefault="001409C5" w:rsidP="001409C5">
      <w:pPr>
        <w:pStyle w:val="HChG"/>
        <w:rPr>
          <w:lang w:val="fr-FR"/>
        </w:rPr>
      </w:pPr>
      <w:r>
        <w:rPr>
          <w:lang w:val="fr-FR"/>
        </w:rPr>
        <w:tab/>
        <w:t>XI</w:t>
      </w:r>
      <w:r w:rsidRPr="005915A5">
        <w:rPr>
          <w:lang w:val="fr-FR"/>
        </w:rPr>
        <w:t>.</w:t>
      </w:r>
      <w:r w:rsidRPr="005915A5">
        <w:rPr>
          <w:lang w:val="fr-FR"/>
        </w:rPr>
        <w:tab/>
        <w:t>Adoption du rapport (point</w:t>
      </w:r>
      <w:r>
        <w:rPr>
          <w:lang w:val="fr-FR"/>
        </w:rPr>
        <w:t xml:space="preserve"> 10</w:t>
      </w:r>
      <w:r w:rsidRPr="005915A5">
        <w:rPr>
          <w:lang w:val="fr-FR"/>
        </w:rPr>
        <w:t xml:space="preserve"> de l’ordre du jour)</w:t>
      </w:r>
    </w:p>
    <w:p w14:paraId="2193930A" w14:textId="7EF1F6A2" w:rsidR="001409C5" w:rsidRDefault="008C19CB" w:rsidP="001409C5">
      <w:pPr>
        <w:pStyle w:val="SingleTxtG"/>
        <w:rPr>
          <w:lang w:val="fr-FR"/>
        </w:rPr>
      </w:pPr>
      <w:r>
        <w:rPr>
          <w:lang w:val="fr-FR"/>
        </w:rPr>
        <w:t>66</w:t>
      </w:r>
      <w:r w:rsidR="001409C5" w:rsidRPr="005915A5">
        <w:rPr>
          <w:lang w:val="fr-FR"/>
        </w:rPr>
        <w:t>.</w:t>
      </w:r>
      <w:r w:rsidR="001409C5" w:rsidRPr="005915A5">
        <w:rPr>
          <w:lang w:val="fr-FR"/>
        </w:rPr>
        <w:tab/>
        <w:t xml:space="preserve">Le Groupe de travail a adopté le rapport sur sa </w:t>
      </w:r>
      <w:r w:rsidR="001409C5">
        <w:rPr>
          <w:lang w:val="fr-FR"/>
        </w:rPr>
        <w:t>101</w:t>
      </w:r>
      <w:r w:rsidR="001409C5" w:rsidRPr="00F41DE2">
        <w:rPr>
          <w:vertAlign w:val="superscript"/>
          <w:lang w:val="fr-FR"/>
        </w:rPr>
        <w:t>e</w:t>
      </w:r>
      <w:r w:rsidR="001409C5" w:rsidRPr="005915A5">
        <w:rPr>
          <w:lang w:val="fr-FR"/>
        </w:rPr>
        <w:t xml:space="preserve"> session et ses annexes sur la base d'un projet établi par le secrétariat.</w:t>
      </w:r>
    </w:p>
    <w:p w14:paraId="42DA63BF" w14:textId="77777777" w:rsidR="00392706" w:rsidRDefault="00392706">
      <w:pPr>
        <w:suppressAutoHyphens w:val="0"/>
        <w:spacing w:line="240" w:lineRule="auto"/>
        <w:rPr>
          <w:b/>
          <w:sz w:val="28"/>
        </w:rPr>
      </w:pPr>
      <w:r>
        <w:br w:type="page"/>
      </w:r>
    </w:p>
    <w:p w14:paraId="4F3174DF" w14:textId="77777777" w:rsidR="0090466B" w:rsidRDefault="0090466B" w:rsidP="0090466B">
      <w:pPr>
        <w:pStyle w:val="HChG"/>
      </w:pPr>
      <w:r>
        <w:lastRenderedPageBreak/>
        <w:t>Annexe I</w:t>
      </w:r>
    </w:p>
    <w:p w14:paraId="6F8CC8C9" w14:textId="0E13F4E1" w:rsidR="000A56E1" w:rsidRPr="0005447D" w:rsidRDefault="000A56E1" w:rsidP="000A56E1">
      <w:pPr>
        <w:pStyle w:val="HChG"/>
      </w:pPr>
      <w:r w:rsidRPr="0005447D">
        <w:tab/>
      </w:r>
      <w:r w:rsidRPr="0005447D">
        <w:tab/>
        <w:t xml:space="preserve">Projet d’amendements </w:t>
      </w:r>
      <w:r>
        <w:t xml:space="preserve">aux </w:t>
      </w:r>
      <w:r w:rsidRPr="0005447D">
        <w:t>annexe</w:t>
      </w:r>
      <w:r>
        <w:t>s</w:t>
      </w:r>
      <w:r w:rsidRPr="0005447D">
        <w:t xml:space="preserve"> A et B de l’ADR </w:t>
      </w:r>
      <w:r w:rsidR="006B191D">
        <w:br/>
      </w:r>
      <w:r w:rsidRPr="000A56E1">
        <w:t xml:space="preserve">adopté par le Groupe de travail </w:t>
      </w:r>
      <w:r w:rsidRPr="0005447D">
        <w:t xml:space="preserve">pour entrée en vigueur </w:t>
      </w:r>
      <w:r w:rsidR="006B191D">
        <w:br/>
      </w:r>
      <w:r w:rsidRPr="0005447D">
        <w:t>le 1er janvier 2019</w:t>
      </w:r>
    </w:p>
    <w:p w14:paraId="3E1EF41D" w14:textId="77777777" w:rsidR="00B333A3" w:rsidRPr="00B23115" w:rsidRDefault="00B333A3" w:rsidP="00B333A3">
      <w:pPr>
        <w:pStyle w:val="H1G"/>
      </w:pPr>
      <w:r>
        <w:tab/>
      </w:r>
      <w:r>
        <w:tab/>
      </w:r>
      <w:r w:rsidRPr="00B23115">
        <w:t>Chapitre 1.6</w:t>
      </w:r>
    </w:p>
    <w:p w14:paraId="4487D759" w14:textId="77777777" w:rsidR="00B333A3" w:rsidRPr="00F96999" w:rsidRDefault="00B333A3" w:rsidP="00B333A3">
      <w:pPr>
        <w:pStyle w:val="ParNoG"/>
        <w:numPr>
          <w:ilvl w:val="0"/>
          <w:numId w:val="0"/>
        </w:numPr>
        <w:ind w:left="1134"/>
        <w:rPr>
          <w:rFonts w:eastAsiaTheme="minorEastAsia"/>
        </w:rPr>
      </w:pPr>
      <w:r>
        <w:t>1.6.5</w:t>
      </w:r>
      <w:r>
        <w:tab/>
        <w:t xml:space="preserve">Ajouter la nouvelle mesure transitoire suivante : </w:t>
      </w:r>
    </w:p>
    <w:p w14:paraId="2A5D50DE" w14:textId="77777777" w:rsidR="00B333A3" w:rsidRPr="00674A55" w:rsidRDefault="00B333A3" w:rsidP="00B333A3">
      <w:pPr>
        <w:pStyle w:val="SingleTxtG"/>
        <w:rPr>
          <w:rFonts w:eastAsiaTheme="minorEastAsia"/>
        </w:rPr>
      </w:pPr>
      <w:r>
        <w:t>«</w:t>
      </w:r>
      <w:r w:rsidRPr="00674A55">
        <w:t>1.6.5.21</w:t>
      </w:r>
      <w:r w:rsidRPr="00674A55">
        <w:tab/>
        <w:t xml:space="preserve">Les certificats d’agrément des véhicules EX/III destinés au transport de matières explosibles en citerne qui ont été établis conformément aux prescriptions du 9.1.3.3 applicables jusqu’au 31 décembre 2018 et délivrés avant le 1er juillet 2019 et sur lesquels ne figure aucune mention relative à la conformité du véhicule avec le 9.7.9 peuvent être utilisés jusqu’à la prochaine visite </w:t>
      </w:r>
      <w:r>
        <w:t>technique annuelle du véhicule.</w:t>
      </w:r>
      <w:r w:rsidRPr="00674A55">
        <w:t>».</w:t>
      </w:r>
    </w:p>
    <w:p w14:paraId="58F41ED4" w14:textId="77777777" w:rsidR="00B333A3" w:rsidRDefault="00B333A3" w:rsidP="00B333A3">
      <w:pPr>
        <w:ind w:left="1134"/>
        <w:rPr>
          <w:i/>
        </w:rPr>
      </w:pPr>
      <w:r w:rsidRPr="007B06B0">
        <w:rPr>
          <w:i/>
          <w:iCs/>
        </w:rPr>
        <w:t>(Document de référence :</w:t>
      </w:r>
      <w:r>
        <w:t xml:space="preserve"> </w:t>
      </w:r>
      <w:r>
        <w:rPr>
          <w:i/>
        </w:rPr>
        <w:t>ECE/TRANS/WP.15/2016/18, tel que modifié)</w:t>
      </w:r>
    </w:p>
    <w:p w14:paraId="06FFCB0C" w14:textId="77777777" w:rsidR="000A56E1" w:rsidRPr="0005447D" w:rsidRDefault="000A56E1" w:rsidP="000A56E1">
      <w:pPr>
        <w:pStyle w:val="H1G"/>
      </w:pPr>
      <w:r w:rsidRPr="0005447D">
        <w:tab/>
      </w:r>
      <w:r w:rsidRPr="0005447D">
        <w:tab/>
        <w:t>Chapitre 1.8</w:t>
      </w:r>
    </w:p>
    <w:p w14:paraId="1E1D40EF" w14:textId="77777777" w:rsidR="000A56E1" w:rsidRDefault="000A56E1" w:rsidP="000A56E1">
      <w:pPr>
        <w:pStyle w:val="SingleTxtG"/>
        <w:tabs>
          <w:tab w:val="left" w:pos="1843"/>
        </w:tabs>
        <w:rPr>
          <w:lang w:val="fr-FR"/>
        </w:rPr>
      </w:pPr>
      <w:r>
        <w:rPr>
          <w:lang w:val="fr-FR"/>
        </w:rPr>
        <w:t>1.8.3.1</w:t>
      </w:r>
      <w:r>
        <w:rPr>
          <w:lang w:val="fr-FR"/>
        </w:rPr>
        <w:tab/>
        <w:t>Après «dont l’activité comporte», insérer: «l’expédition,».</w:t>
      </w:r>
    </w:p>
    <w:p w14:paraId="6350E5CB" w14:textId="77777777" w:rsidR="000A56E1" w:rsidRDefault="000A56E1" w:rsidP="000A56E1">
      <w:pPr>
        <w:pStyle w:val="SingleTxtG"/>
        <w:tabs>
          <w:tab w:val="left" w:pos="1843"/>
        </w:tabs>
        <w:rPr>
          <w:lang w:val="fr-FR"/>
        </w:rPr>
      </w:pPr>
      <w:r>
        <w:rPr>
          <w:lang w:val="fr-FR"/>
        </w:rPr>
        <w:t>1.8.3.2</w:t>
      </w:r>
      <w:r>
        <w:rPr>
          <w:lang w:val="fr-FR"/>
        </w:rPr>
        <w:tab/>
        <w:t>À l’alinéa a), remplacer «situées en deçà des seuils» par «ne dépassant pas les seuils».</w:t>
      </w:r>
    </w:p>
    <w:p w14:paraId="318C75D6" w14:textId="77777777" w:rsidR="000A56E1" w:rsidRDefault="000A56E1" w:rsidP="000A56E1">
      <w:pPr>
        <w:pStyle w:val="SingleTxtG"/>
        <w:tabs>
          <w:tab w:val="left" w:pos="1843"/>
        </w:tabs>
        <w:rPr>
          <w:lang w:val="fr-FR"/>
        </w:rPr>
      </w:pPr>
      <w:r>
        <w:rPr>
          <w:lang w:val="fr-FR"/>
        </w:rPr>
        <w:t>1.8.3.3</w:t>
      </w:r>
      <w:r>
        <w:rPr>
          <w:lang w:val="fr-FR"/>
        </w:rPr>
        <w:tab/>
        <w:t>Dans le deuxième paragraphe, au neuvième tiret, après «le personnel affecté», insérer: «à l’expédition,».</w:t>
      </w:r>
    </w:p>
    <w:p w14:paraId="74916B74" w14:textId="77777777" w:rsidR="000A56E1" w:rsidRDefault="000A56E1" w:rsidP="000A56E1">
      <w:pPr>
        <w:pStyle w:val="SingleTxtG"/>
        <w:tabs>
          <w:tab w:val="left" w:pos="1843"/>
        </w:tabs>
        <w:rPr>
          <w:lang w:val="fr-FR"/>
        </w:rPr>
      </w:pPr>
      <w:r>
        <w:rPr>
          <w:lang w:val="fr-FR"/>
        </w:rPr>
        <w:t>1.8.3.18</w:t>
      </w:r>
      <w:r>
        <w:rPr>
          <w:lang w:val="fr-FR"/>
        </w:rPr>
        <w:tab/>
        <w:t>Dans la huitième rubrique du modèle de certificat («Valable jusqu’au …»), après «des opérations», insérer: «d’expédition,».</w:t>
      </w:r>
    </w:p>
    <w:p w14:paraId="09D443BF" w14:textId="77777777" w:rsidR="000A56E1" w:rsidRDefault="000A56E1" w:rsidP="000A56E1">
      <w:pPr>
        <w:pStyle w:val="SingleTxtG"/>
        <w:tabs>
          <w:tab w:val="left" w:pos="1843"/>
        </w:tabs>
        <w:rPr>
          <w:lang w:val="fr-FR"/>
        </w:rPr>
      </w:pPr>
      <w:r>
        <w:rPr>
          <w:i/>
          <w:iCs/>
          <w:lang w:val="fr-FR"/>
        </w:rPr>
        <w:t xml:space="preserve">(Document de référence: </w:t>
      </w:r>
      <w:r>
        <w:rPr>
          <w:i/>
        </w:rPr>
        <w:t>ECE/TRANS/WP.15/AC.1/142/Add.2</w:t>
      </w:r>
      <w:r>
        <w:rPr>
          <w:i/>
          <w:iCs/>
          <w:lang w:val="fr-FR"/>
        </w:rPr>
        <w:t>)</w:t>
      </w:r>
    </w:p>
    <w:p w14:paraId="2F379A94" w14:textId="77777777" w:rsidR="000A56E1" w:rsidRPr="009B16C4" w:rsidRDefault="000A56E1" w:rsidP="000A56E1">
      <w:pPr>
        <w:pStyle w:val="H1G"/>
      </w:pPr>
      <w:r>
        <w:tab/>
      </w:r>
      <w:r>
        <w:tab/>
      </w:r>
      <w:r w:rsidRPr="009B16C4">
        <w:t>Chapitre 4.1</w:t>
      </w:r>
    </w:p>
    <w:p w14:paraId="0331EF58" w14:textId="77777777" w:rsidR="000A56E1" w:rsidRDefault="000A56E1" w:rsidP="000A56E1">
      <w:pPr>
        <w:pStyle w:val="SingleTxtG"/>
        <w:rPr>
          <w:lang w:val="fr-FR"/>
        </w:rPr>
      </w:pPr>
      <w:r>
        <w:rPr>
          <w:lang w:val="fr-FR"/>
        </w:rPr>
        <w:t>Sous le titre, ajouter le nouveau Nota suivant:</w:t>
      </w:r>
    </w:p>
    <w:p w14:paraId="2DB7B2B3" w14:textId="0E9A8896" w:rsidR="000A56E1" w:rsidRDefault="000A56E1" w:rsidP="000A56E1">
      <w:pPr>
        <w:pStyle w:val="SingleTxtG"/>
        <w:rPr>
          <w:lang w:val="fr-FR"/>
        </w:rPr>
      </w:pPr>
      <w:r>
        <w:rPr>
          <w:lang w:val="fr-FR"/>
        </w:rPr>
        <w:t>«</w:t>
      </w:r>
      <w:r>
        <w:rPr>
          <w:b/>
          <w:i/>
          <w:lang w:val="fr-FR"/>
        </w:rPr>
        <w:t>NOTA:</w:t>
      </w:r>
      <w:r>
        <w:rPr>
          <w:i/>
          <w:lang w:val="fr-FR"/>
        </w:rPr>
        <w:tab/>
      </w:r>
      <w:r>
        <w:rPr>
          <w:i/>
          <w:lang w:val="fr-FR"/>
        </w:rPr>
        <w:tab/>
        <w:t xml:space="preserve">Les emballages, y compris les GRV et les grands emballages, dont les marques correspondent au 6.1.3, 6.2.2.7, 6.2.2.8, 6.3.1, 6.5.2 ou 6.6.3, mais qui ont été agréés dans </w:t>
      </w:r>
      <w:r w:rsidR="006B191D">
        <w:rPr>
          <w:i/>
          <w:lang w:val="fr-FR"/>
        </w:rPr>
        <w:t xml:space="preserve">un pays </w:t>
      </w:r>
      <w:r w:rsidR="00B75974">
        <w:rPr>
          <w:bCs/>
          <w:i/>
          <w:lang w:val="fr-FR"/>
        </w:rPr>
        <w:t xml:space="preserve">n’étant pas </w:t>
      </w:r>
      <w:r>
        <w:rPr>
          <w:i/>
          <w:lang w:val="fr-FR"/>
        </w:rPr>
        <w:t>Partie contractante à l'ADR, peuvent également être utilisés pour le transport selon l'ADR.</w:t>
      </w:r>
      <w:r>
        <w:rPr>
          <w:lang w:val="fr-FR"/>
        </w:rPr>
        <w:t>».</w:t>
      </w:r>
    </w:p>
    <w:p w14:paraId="7B4F4B8D" w14:textId="77777777" w:rsidR="000A56E1" w:rsidRDefault="000A56E1" w:rsidP="000A56E1">
      <w:pPr>
        <w:pStyle w:val="SingleTxtG"/>
        <w:rPr>
          <w:lang w:val="fr-FR"/>
        </w:rPr>
      </w:pPr>
      <w:r>
        <w:rPr>
          <w:lang w:val="fr-FR"/>
        </w:rPr>
        <w:t>4.1.1.17</w:t>
      </w:r>
      <w:r>
        <w:rPr>
          <w:lang w:val="fr-FR"/>
        </w:rPr>
        <w:tab/>
        <w:t>Supprimer et ajouter:</w:t>
      </w:r>
    </w:p>
    <w:p w14:paraId="2C125EDA" w14:textId="77777777" w:rsidR="000A56E1" w:rsidRDefault="000A56E1" w:rsidP="000A56E1">
      <w:pPr>
        <w:pStyle w:val="SingleTxtG"/>
        <w:rPr>
          <w:lang w:val="fr-FR"/>
        </w:rPr>
      </w:pPr>
      <w:r>
        <w:rPr>
          <w:lang w:val="fr-FR"/>
        </w:rPr>
        <w:t>«4.1.1.17</w:t>
      </w:r>
      <w:r>
        <w:rPr>
          <w:lang w:val="fr-FR"/>
        </w:rPr>
        <w:tab/>
      </w:r>
      <w:r>
        <w:rPr>
          <w:i/>
          <w:lang w:val="fr-FR"/>
        </w:rPr>
        <w:t>(Supprimé)</w:t>
      </w:r>
      <w:r>
        <w:rPr>
          <w:lang w:val="fr-FR"/>
        </w:rPr>
        <w:t xml:space="preserve">». </w:t>
      </w:r>
    </w:p>
    <w:p w14:paraId="57CDAA22" w14:textId="77777777" w:rsidR="000A56E1" w:rsidRDefault="000A56E1" w:rsidP="000A56E1">
      <w:pPr>
        <w:pStyle w:val="SingleTxtG"/>
        <w:rPr>
          <w:i/>
          <w:lang w:val="fr-FR"/>
        </w:rPr>
      </w:pPr>
      <w:r>
        <w:rPr>
          <w:i/>
          <w:lang w:val="fr-FR"/>
        </w:rPr>
        <w:t xml:space="preserve">(Documents de référence: </w:t>
      </w:r>
      <w:r>
        <w:rPr>
          <w:i/>
        </w:rPr>
        <w:t>ECE/TRANS/WP.15/AC.1/142/Add.2</w:t>
      </w:r>
      <w:r>
        <w:rPr>
          <w:i/>
          <w:lang w:val="fr-FR"/>
        </w:rPr>
        <w:t>)</w:t>
      </w:r>
    </w:p>
    <w:p w14:paraId="0804CB7F" w14:textId="77777777" w:rsidR="000A56E1" w:rsidRPr="009B16C4" w:rsidRDefault="000A56E1" w:rsidP="000A56E1">
      <w:pPr>
        <w:pStyle w:val="H1G"/>
      </w:pPr>
      <w:r>
        <w:tab/>
      </w:r>
      <w:r>
        <w:tab/>
      </w:r>
      <w:r w:rsidRPr="009B16C4">
        <w:t>Chapitre 7.3</w:t>
      </w:r>
    </w:p>
    <w:p w14:paraId="3AFF8541" w14:textId="77777777" w:rsidR="000A56E1" w:rsidRDefault="000A56E1" w:rsidP="000A56E1">
      <w:pPr>
        <w:pStyle w:val="SingleTxtG"/>
        <w:rPr>
          <w:lang w:val="fr-FR"/>
        </w:rPr>
      </w:pPr>
      <w:r>
        <w:rPr>
          <w:lang w:val="fr-FR"/>
        </w:rPr>
        <w:t>7.3.2.10</w:t>
      </w:r>
      <w:r>
        <w:rPr>
          <w:lang w:val="fr-FR"/>
        </w:rPr>
        <w:tab/>
        <w:t>Sous le titre, insérer le nouveau nota suivant:</w:t>
      </w:r>
    </w:p>
    <w:p w14:paraId="77A7D857" w14:textId="77777777" w:rsidR="000A56E1" w:rsidRDefault="000A56E1" w:rsidP="000A56E1">
      <w:pPr>
        <w:pStyle w:val="SingleTxtG"/>
        <w:rPr>
          <w:lang w:val="fr-FR"/>
        </w:rPr>
      </w:pPr>
      <w:r>
        <w:rPr>
          <w:lang w:val="fr-FR"/>
        </w:rPr>
        <w:t>«</w:t>
      </w:r>
      <w:r>
        <w:rPr>
          <w:rFonts w:cs="Arial"/>
          <w:b/>
          <w:i/>
          <w:szCs w:val="22"/>
          <w:lang w:val="fr-FR"/>
        </w:rPr>
        <w:t>NOTA:</w:t>
      </w:r>
      <w:r>
        <w:rPr>
          <w:rFonts w:cs="Arial"/>
          <w:i/>
          <w:szCs w:val="22"/>
          <w:lang w:val="fr-FR"/>
        </w:rPr>
        <w:tab/>
      </w:r>
      <w:r>
        <w:rPr>
          <w:bCs/>
          <w:i/>
          <w:lang w:val="fr-FR"/>
        </w:rPr>
        <w:t>Les conteneurs pour vrac souples dont le marquage correspond aux 6.11.5.5, mais qui ont été agréés dans un pays n’étant pas Partie contractante à l’ADR peuvent également être utilisés pour le transport selon l’ADR</w:t>
      </w:r>
      <w:r>
        <w:rPr>
          <w:bCs/>
          <w:lang w:val="fr-FR"/>
        </w:rPr>
        <w:t>».</w:t>
      </w:r>
    </w:p>
    <w:p w14:paraId="7D23779D" w14:textId="77777777" w:rsidR="000A56E1" w:rsidRDefault="000A56E1" w:rsidP="000A56E1">
      <w:pPr>
        <w:pStyle w:val="SingleTxtG"/>
        <w:rPr>
          <w:lang w:val="fr-FR"/>
        </w:rPr>
      </w:pPr>
      <w:r>
        <w:rPr>
          <w:lang w:val="fr-FR"/>
        </w:rPr>
        <w:lastRenderedPageBreak/>
        <w:t>7.3.3.1</w:t>
      </w:r>
      <w:r>
        <w:rPr>
          <w:lang w:val="fr-FR"/>
        </w:rPr>
        <w:tab/>
      </w:r>
      <w:r>
        <w:rPr>
          <w:lang w:val="fr-FR"/>
        </w:rPr>
        <w:tab/>
        <w:t>Après le premier paragraphe, ajouter le nouveau nota suivant:</w:t>
      </w:r>
    </w:p>
    <w:p w14:paraId="54B0C589" w14:textId="77777777" w:rsidR="000A56E1" w:rsidRDefault="000A56E1" w:rsidP="000A56E1">
      <w:pPr>
        <w:pStyle w:val="SingleTxtG"/>
        <w:rPr>
          <w:lang w:val="fr-FR"/>
        </w:rPr>
      </w:pPr>
      <w:r>
        <w:rPr>
          <w:lang w:val="fr-FR"/>
        </w:rPr>
        <w:t>«</w:t>
      </w:r>
      <w:r>
        <w:rPr>
          <w:b/>
          <w:i/>
          <w:lang w:val="fr-FR"/>
        </w:rPr>
        <w:t>NOTA:</w:t>
      </w:r>
      <w:r>
        <w:rPr>
          <w:b/>
          <w:i/>
          <w:lang w:val="fr-FR"/>
        </w:rPr>
        <w:tab/>
      </w:r>
      <w:r>
        <w:rPr>
          <w:i/>
          <w:lang w:val="fr-FR"/>
        </w:rPr>
        <w:t>Pour cette raison, lorsqu’un code VC1 figure dans la colonne (17) du tableau A du chapitre 3.2, il est également possible d’utiliser un conteneur pour vrac BK1 pour le transport terrestre si les conditions spécifiées au 7.3.3.2 sont en outre remplies. Lorsqu’un code VC2 figure dans la colonne (17) du tableau A du chapitre 3.2, il est également possible d’utiliser un conteneur pour vrac BK2 pour le transport terrestre si les conditions spécifiées au 7.3.3.2 sont en outre remplies.</w:t>
      </w:r>
      <w:r>
        <w:rPr>
          <w:lang w:val="fr-FR"/>
        </w:rPr>
        <w:t>».</w:t>
      </w:r>
    </w:p>
    <w:p w14:paraId="1C96EA38" w14:textId="77777777" w:rsidR="000A56E1" w:rsidRDefault="000A56E1" w:rsidP="000A56E1">
      <w:pPr>
        <w:pStyle w:val="SingleTxtG"/>
        <w:rPr>
          <w:i/>
          <w:lang w:val="fr-FR"/>
        </w:rPr>
      </w:pPr>
      <w:r>
        <w:rPr>
          <w:i/>
          <w:lang w:val="fr-FR"/>
        </w:rPr>
        <w:t xml:space="preserve">(Document de référence: </w:t>
      </w:r>
      <w:r>
        <w:rPr>
          <w:i/>
        </w:rPr>
        <w:t>ECE/TRANS/WP.15/AC.1/142/Add.2</w:t>
      </w:r>
      <w:r>
        <w:rPr>
          <w:i/>
          <w:lang w:val="fr-FR"/>
        </w:rPr>
        <w:t>)</w:t>
      </w:r>
    </w:p>
    <w:p w14:paraId="64A42AD4" w14:textId="77777777" w:rsidR="000A56E1" w:rsidRPr="009B16C4" w:rsidRDefault="000A56E1" w:rsidP="000A56E1">
      <w:pPr>
        <w:pStyle w:val="H1G"/>
      </w:pPr>
      <w:r>
        <w:tab/>
      </w:r>
      <w:r>
        <w:tab/>
      </w:r>
      <w:r w:rsidRPr="009B16C4">
        <w:t>Chapitre 7.</w:t>
      </w:r>
      <w:r>
        <w:t>5</w:t>
      </w:r>
    </w:p>
    <w:p w14:paraId="090BE19C" w14:textId="77777777" w:rsidR="000A56E1" w:rsidRDefault="000A56E1" w:rsidP="000A56E1">
      <w:pPr>
        <w:pStyle w:val="SingleTxtG"/>
      </w:pPr>
      <w:r>
        <w:t>7.5.1.1</w:t>
      </w:r>
      <w:r>
        <w:tab/>
      </w:r>
      <w:r>
        <w:tab/>
        <w:t>Remplacer «le véhicule et son conducteur» par «le véhicule et les membres de l’équipage»</w:t>
      </w:r>
    </w:p>
    <w:p w14:paraId="27DAC1F0" w14:textId="06B4FB6C" w:rsidR="000A56E1" w:rsidRDefault="000A56E1" w:rsidP="000A56E1">
      <w:pPr>
        <w:pStyle w:val="SingleTxtG"/>
      </w:pPr>
      <w:r>
        <w:t>7.5.1.2</w:t>
      </w:r>
      <w:r>
        <w:tab/>
      </w:r>
      <w:r>
        <w:tab/>
        <w:t>Remplacer «le véhicule, le conducteur» par «le véhicule et les membres de l’équipage».</w:t>
      </w:r>
    </w:p>
    <w:p w14:paraId="0E4EEABC" w14:textId="7DC96FCE" w:rsidR="000A56E1" w:rsidRDefault="000A56E1" w:rsidP="000A56E1">
      <w:pPr>
        <w:pStyle w:val="SingleTxtG"/>
        <w:rPr>
          <w:i/>
        </w:rPr>
      </w:pPr>
      <w:r>
        <w:rPr>
          <w:i/>
          <w:lang w:val="fr-FR"/>
        </w:rPr>
        <w:t xml:space="preserve">(Document de référence: </w:t>
      </w:r>
      <w:r>
        <w:rPr>
          <w:i/>
        </w:rPr>
        <w:t>ECE/TRANS/WP.15/AC.1/2016/12 tel que modifiée)</w:t>
      </w:r>
    </w:p>
    <w:p w14:paraId="4A8089EF" w14:textId="77777777" w:rsidR="00B333A3" w:rsidRDefault="00B333A3" w:rsidP="00B333A3">
      <w:pPr>
        <w:pStyle w:val="H1G"/>
      </w:pPr>
      <w:r>
        <w:tab/>
      </w:r>
      <w:r>
        <w:tab/>
        <w:t>Chapitre 8.1</w:t>
      </w:r>
    </w:p>
    <w:p w14:paraId="403866AC" w14:textId="77777777" w:rsidR="00B333A3" w:rsidRDefault="00B333A3" w:rsidP="00B333A3">
      <w:pPr>
        <w:pStyle w:val="SingleTxtG"/>
      </w:pPr>
      <w:r w:rsidRPr="007B06B0">
        <w:t>8.1.5.2</w:t>
      </w:r>
      <w:r>
        <w:tab/>
      </w:r>
      <w:r w:rsidRPr="007B06B0">
        <w:tab/>
      </w:r>
      <w:r>
        <w:t>Au quatrième tiret, r</w:t>
      </w:r>
      <w:r w:rsidRPr="007B06B0">
        <w:t xml:space="preserve">emplacer </w:t>
      </w:r>
      <w:r>
        <w:rPr>
          <w:b/>
          <w:bCs/>
        </w:rPr>
        <w:t>«</w:t>
      </w:r>
      <w:r>
        <w:t>EN 471:2003+A1:2007» par «EN ISO 20471».</w:t>
      </w:r>
    </w:p>
    <w:p w14:paraId="5D691878" w14:textId="59335ADE" w:rsidR="00B333A3" w:rsidRPr="00C1186D" w:rsidRDefault="00B333A3" w:rsidP="00B333A3">
      <w:pPr>
        <w:ind w:left="1134"/>
        <w:rPr>
          <w:i/>
          <w:iCs/>
        </w:rPr>
      </w:pPr>
      <w:r w:rsidRPr="007B06B0">
        <w:rPr>
          <w:i/>
          <w:iCs/>
        </w:rPr>
        <w:t xml:space="preserve">(Document de </w:t>
      </w:r>
      <w:r>
        <w:rPr>
          <w:i/>
          <w:iCs/>
        </w:rPr>
        <w:t>référence</w:t>
      </w:r>
      <w:r w:rsidRPr="007B06B0">
        <w:rPr>
          <w:i/>
          <w:iCs/>
        </w:rPr>
        <w:t>:</w:t>
      </w:r>
      <w:r>
        <w:rPr>
          <w:i/>
          <w:iCs/>
        </w:rPr>
        <w:t xml:space="preserve"> document informel INF.14)</w:t>
      </w:r>
    </w:p>
    <w:p w14:paraId="23DCA197" w14:textId="77777777" w:rsidR="00B333A3" w:rsidRDefault="00B333A3" w:rsidP="00B333A3">
      <w:pPr>
        <w:pStyle w:val="H1G"/>
      </w:pPr>
      <w:r>
        <w:tab/>
      </w:r>
      <w:r>
        <w:tab/>
        <w:t>Chapitre 9.1</w:t>
      </w:r>
    </w:p>
    <w:p w14:paraId="622FEA35" w14:textId="77777777" w:rsidR="00B333A3" w:rsidRDefault="00B333A3" w:rsidP="00B333A3">
      <w:pPr>
        <w:pStyle w:val="SingleTxtG"/>
      </w:pPr>
      <w:r w:rsidRPr="00A164C3">
        <w:t>9.1.3.3</w:t>
      </w:r>
      <w:r>
        <w:tab/>
      </w:r>
      <w:r>
        <w:tab/>
        <w:t>A la fin, ajouter le nouveau paragraphe suivant :</w:t>
      </w:r>
    </w:p>
    <w:p w14:paraId="6338D09D" w14:textId="2F075845" w:rsidR="00B333A3" w:rsidRPr="00A164C3" w:rsidRDefault="00B333A3" w:rsidP="00B333A3">
      <w:pPr>
        <w:pStyle w:val="SingleTxtG"/>
      </w:pPr>
      <w:r>
        <w:t>«Le certificat d’agrément pour un véhicule EX/III destiné au transport des matières explosibles en citerne, conforme aux prescriptions du 9.7.9, doit porter la mention suivante sous le point 11: "Véhicule conforme au 9.7.9 de l’ADR pour le transport de matières explosibles en citerne".».</w:t>
      </w:r>
    </w:p>
    <w:p w14:paraId="33D33B2E" w14:textId="2231CAA5" w:rsidR="00B333A3" w:rsidRPr="00B333A3" w:rsidRDefault="00B333A3" w:rsidP="00C1186D">
      <w:pPr>
        <w:ind w:left="1134"/>
        <w:rPr>
          <w:i/>
        </w:rPr>
      </w:pPr>
      <w:r w:rsidRPr="007B06B0">
        <w:rPr>
          <w:i/>
          <w:iCs/>
        </w:rPr>
        <w:t>(Document de référence :</w:t>
      </w:r>
      <w:r>
        <w:t xml:space="preserve"> </w:t>
      </w:r>
      <w:r>
        <w:rPr>
          <w:i/>
        </w:rPr>
        <w:t>ECE/TRANS/WP.15/2016/18, tel que modifié)</w:t>
      </w:r>
    </w:p>
    <w:p w14:paraId="15D421A3" w14:textId="77777777" w:rsidR="0090466B" w:rsidRDefault="0090466B" w:rsidP="0090466B">
      <w:pPr>
        <w:pStyle w:val="HChG"/>
      </w:pPr>
      <w:r>
        <w:br w:type="page"/>
      </w:r>
      <w:r>
        <w:lastRenderedPageBreak/>
        <w:t>Annexe II</w:t>
      </w:r>
    </w:p>
    <w:p w14:paraId="49AB2CB4" w14:textId="7DC4F30E" w:rsidR="00B333A3" w:rsidRPr="00553448" w:rsidRDefault="00B333A3" w:rsidP="00B333A3">
      <w:pPr>
        <w:pStyle w:val="HChG"/>
      </w:pPr>
      <w:r w:rsidRPr="00553448">
        <w:tab/>
      </w:r>
      <w:r w:rsidRPr="00553448">
        <w:tab/>
        <w:t>Corrections aux annexes A et B de l'ADR telles que modifiées par les amendements entrant en vigueur le 1er janvier 2017</w:t>
      </w:r>
    </w:p>
    <w:p w14:paraId="46DEC869" w14:textId="4914BB39" w:rsidR="00B333A3" w:rsidRPr="005171C0" w:rsidRDefault="00B333A3" w:rsidP="00B333A3">
      <w:pPr>
        <w:pStyle w:val="SingleTxtG"/>
      </w:pPr>
      <w:r>
        <w:rPr>
          <w:i/>
          <w:lang w:val="fr-FR"/>
        </w:rPr>
        <w:t xml:space="preserve">(Documents de référence: </w:t>
      </w:r>
      <w:r w:rsidRPr="00674A55">
        <w:rPr>
          <w:i/>
          <w:iCs/>
        </w:rPr>
        <w:t>ECE/TRANS/WP.15/2016/14</w:t>
      </w:r>
      <w:r>
        <w:rPr>
          <w:i/>
          <w:iCs/>
        </w:rPr>
        <w:t xml:space="preserve">, </w:t>
      </w:r>
      <w:r>
        <w:rPr>
          <w:i/>
          <w:lang w:val="fr-FR"/>
        </w:rPr>
        <w:t>ECE/TRANS/WP.15/2016/21 et documents informels INF.8/Rev.1 et INF.10)</w:t>
      </w:r>
    </w:p>
    <w:p w14:paraId="6BBB47DF" w14:textId="77777777" w:rsidR="00B333A3" w:rsidRPr="005171C0" w:rsidRDefault="00B333A3" w:rsidP="00B333A3">
      <w:pPr>
        <w:pStyle w:val="H23G"/>
        <w:rPr>
          <w:lang w:val="fr-FR"/>
        </w:rPr>
      </w:pPr>
      <w:r>
        <w:rPr>
          <w:lang w:val="fr-FR"/>
        </w:rPr>
        <w:tab/>
      </w:r>
      <w:r>
        <w:rPr>
          <w:lang w:val="fr-FR"/>
        </w:rPr>
        <w:tab/>
      </w:r>
      <w:r w:rsidRPr="005171C0">
        <w:rPr>
          <w:lang w:val="fr-FR"/>
        </w:rPr>
        <w:t>Chapitre 1.1</w:t>
      </w:r>
      <w:r>
        <w:rPr>
          <w:lang w:val="fr-FR"/>
        </w:rPr>
        <w:t xml:space="preserve">, </w:t>
      </w:r>
      <w:r w:rsidRPr="009B16C4">
        <w:rPr>
          <w:lang w:val="fr-FR"/>
        </w:rPr>
        <w:t>1.1.3.2 a), dans le tableau, pour «Gaz naturel/Biogaz» et pour «Hydrogène», dans la colonne pour «Teneur énergétique»</w:t>
      </w:r>
    </w:p>
    <w:p w14:paraId="0AC12D27" w14:textId="77777777" w:rsidR="00B333A3" w:rsidRPr="005171C0" w:rsidRDefault="00B333A3" w:rsidP="00B333A3">
      <w:pPr>
        <w:pStyle w:val="SingleTxtG"/>
      </w:pPr>
      <w:r w:rsidRPr="009B16C4">
        <w:rPr>
          <w:i/>
        </w:rPr>
        <w:t>Au lieu de</w:t>
      </w:r>
      <w:r w:rsidRPr="005171C0">
        <w:t xml:space="preserve"> litre </w:t>
      </w:r>
      <w:r w:rsidRPr="009B16C4">
        <w:rPr>
          <w:i/>
        </w:rPr>
        <w:t>lire</w:t>
      </w:r>
      <w:r w:rsidRPr="005171C0">
        <w:t xml:space="preserve"> Nm</w:t>
      </w:r>
      <w:r w:rsidRPr="009B16C4">
        <w:rPr>
          <w:vertAlign w:val="superscript"/>
        </w:rPr>
        <w:t>3</w:t>
      </w:r>
    </w:p>
    <w:p w14:paraId="2FEDDD74" w14:textId="77777777" w:rsidR="00B333A3" w:rsidRPr="005171C0" w:rsidRDefault="00B333A3" w:rsidP="00B333A3">
      <w:pPr>
        <w:pStyle w:val="H23G"/>
        <w:rPr>
          <w:lang w:val="fr-FR"/>
        </w:rPr>
      </w:pPr>
      <w:r>
        <w:rPr>
          <w:lang w:val="fr-FR"/>
        </w:rPr>
        <w:tab/>
      </w:r>
      <w:r>
        <w:rPr>
          <w:lang w:val="fr-FR"/>
        </w:rPr>
        <w:tab/>
      </w:r>
      <w:r w:rsidRPr="005171C0">
        <w:rPr>
          <w:lang w:val="fr-FR"/>
        </w:rPr>
        <w:t>Chapitre 2.2</w:t>
      </w:r>
      <w:r>
        <w:rPr>
          <w:lang w:val="fr-FR"/>
        </w:rPr>
        <w:t>, 2.2.43.1.8 c)</w:t>
      </w:r>
    </w:p>
    <w:p w14:paraId="53556C07" w14:textId="77777777" w:rsidR="00B333A3" w:rsidRPr="005171C0" w:rsidRDefault="00B333A3" w:rsidP="00B333A3">
      <w:pPr>
        <w:pStyle w:val="SingleTxtG"/>
      </w:pPr>
      <w:r w:rsidRPr="009B16C4">
        <w:rPr>
          <w:i/>
        </w:rPr>
        <w:t>Au lieu de</w:t>
      </w:r>
      <w:r w:rsidRPr="005171C0">
        <w:t xml:space="preserve"> </w:t>
      </w:r>
      <w:r>
        <w:t xml:space="preserve">au taux maximal d’un litre ou plus </w:t>
      </w:r>
      <w:r>
        <w:rPr>
          <w:i/>
        </w:rPr>
        <w:t>lire</w:t>
      </w:r>
      <w:r>
        <w:t xml:space="preserve"> à un taux maximal supérieur à un litre</w:t>
      </w:r>
    </w:p>
    <w:p w14:paraId="0F1E2DED" w14:textId="77777777" w:rsidR="00B333A3" w:rsidRPr="005171C0" w:rsidRDefault="00B333A3" w:rsidP="00B333A3">
      <w:pPr>
        <w:pStyle w:val="H23G"/>
        <w:rPr>
          <w:lang w:val="fr-FR"/>
        </w:rPr>
      </w:pPr>
      <w:r>
        <w:rPr>
          <w:lang w:val="fr-FR"/>
        </w:rPr>
        <w:tab/>
      </w:r>
      <w:r>
        <w:rPr>
          <w:lang w:val="fr-FR"/>
        </w:rPr>
        <w:tab/>
      </w:r>
      <w:r w:rsidRPr="005171C0">
        <w:rPr>
          <w:lang w:val="fr-FR"/>
        </w:rPr>
        <w:t>Chapitre 2.2</w:t>
      </w:r>
      <w:r>
        <w:rPr>
          <w:lang w:val="fr-FR"/>
        </w:rPr>
        <w:t>, 2.2.7.2.3.3.6 a) i)</w:t>
      </w:r>
    </w:p>
    <w:p w14:paraId="13D4875C" w14:textId="77777777" w:rsidR="00B333A3" w:rsidRPr="005171C0" w:rsidRDefault="00B333A3" w:rsidP="00B333A3">
      <w:pPr>
        <w:pStyle w:val="SingleTxtG"/>
      </w:pPr>
      <w:r w:rsidRPr="005171C0">
        <w:t>Ne s’applique pas au texte français.</w:t>
      </w:r>
    </w:p>
    <w:p w14:paraId="5B5998FB" w14:textId="77777777" w:rsidR="00B333A3" w:rsidRPr="005171C0" w:rsidRDefault="00B333A3" w:rsidP="00B333A3">
      <w:pPr>
        <w:pStyle w:val="H23G"/>
        <w:rPr>
          <w:lang w:val="fr-FR"/>
        </w:rPr>
      </w:pPr>
      <w:r>
        <w:rPr>
          <w:lang w:val="fr-FR"/>
        </w:rPr>
        <w:tab/>
      </w:r>
      <w:r>
        <w:rPr>
          <w:lang w:val="fr-FR"/>
        </w:rPr>
        <w:tab/>
      </w:r>
      <w:r w:rsidRPr="005171C0">
        <w:rPr>
          <w:lang w:val="fr-FR"/>
        </w:rPr>
        <w:t>Chapitre 3.3</w:t>
      </w:r>
      <w:r>
        <w:rPr>
          <w:lang w:val="fr-FR"/>
        </w:rPr>
        <w:t xml:space="preserve">, </w:t>
      </w:r>
      <w:r>
        <w:t>d</w:t>
      </w:r>
      <w:r w:rsidRPr="005171C0">
        <w:t>ans la disposition spéciale 363 a)</w:t>
      </w:r>
    </w:p>
    <w:p w14:paraId="174EB6BE" w14:textId="77777777" w:rsidR="00B333A3" w:rsidRPr="005171C0" w:rsidRDefault="00B333A3" w:rsidP="00B333A3">
      <w:pPr>
        <w:pStyle w:val="SingleTxtG"/>
      </w:pPr>
      <w:r w:rsidRPr="00B66DA7">
        <w:rPr>
          <w:i/>
        </w:rPr>
        <w:t>Supprimer</w:t>
      </w:r>
      <w:r>
        <w:t xml:space="preserve"> </w:t>
      </w:r>
      <w:r w:rsidRPr="005171C0">
        <w:t>en quantités supérieures à celles indiquées dans la colonne (7a)</w:t>
      </w:r>
      <w:r>
        <w:t xml:space="preserve"> du tableau A du chapitre 3.2,</w:t>
      </w:r>
    </w:p>
    <w:p w14:paraId="41C55D88" w14:textId="77777777" w:rsidR="00B333A3" w:rsidRPr="005171C0" w:rsidRDefault="00B333A3" w:rsidP="00B333A3">
      <w:pPr>
        <w:pStyle w:val="H23G"/>
      </w:pPr>
      <w:r>
        <w:rPr>
          <w:lang w:val="fr-FR"/>
        </w:rPr>
        <w:tab/>
      </w:r>
      <w:r>
        <w:rPr>
          <w:lang w:val="fr-FR"/>
        </w:rPr>
        <w:tab/>
      </w:r>
      <w:r w:rsidRPr="005171C0">
        <w:rPr>
          <w:lang w:val="fr-FR"/>
        </w:rPr>
        <w:t>Chapitre 4.3</w:t>
      </w:r>
      <w:r>
        <w:rPr>
          <w:lang w:val="fr-FR"/>
        </w:rPr>
        <w:t xml:space="preserve">, </w:t>
      </w:r>
      <w:r w:rsidRPr="005171C0">
        <w:t>4.3.2.3.7, premier paragraphe, à la fin</w:t>
      </w:r>
    </w:p>
    <w:p w14:paraId="4BA20153" w14:textId="77777777" w:rsidR="00B333A3" w:rsidRPr="005171C0" w:rsidRDefault="00B333A3" w:rsidP="00B333A3">
      <w:pPr>
        <w:pStyle w:val="SingleTxtG"/>
      </w:pPr>
      <w:r w:rsidRPr="00B66DA7">
        <w:rPr>
          <w:i/>
        </w:rPr>
        <w:t>Au lieu de</w:t>
      </w:r>
      <w:r w:rsidRPr="005171C0">
        <w:t xml:space="preserve"> 6.8.3.4.10 </w:t>
      </w:r>
      <w:r w:rsidRPr="009B16C4">
        <w:rPr>
          <w:i/>
        </w:rPr>
        <w:t>lire</w:t>
      </w:r>
      <w:r w:rsidRPr="005171C0">
        <w:t xml:space="preserve"> 6.8.3.4.12</w:t>
      </w:r>
    </w:p>
    <w:p w14:paraId="21199B9B" w14:textId="77777777" w:rsidR="00B333A3" w:rsidRPr="005171C0" w:rsidRDefault="00B333A3" w:rsidP="00B333A3">
      <w:pPr>
        <w:pStyle w:val="H23G"/>
      </w:pPr>
      <w:r>
        <w:rPr>
          <w:lang w:val="fr-FR"/>
        </w:rPr>
        <w:tab/>
      </w:r>
      <w:r>
        <w:rPr>
          <w:lang w:val="fr-FR"/>
        </w:rPr>
        <w:tab/>
      </w:r>
      <w:r w:rsidRPr="005171C0">
        <w:rPr>
          <w:lang w:val="fr-FR"/>
        </w:rPr>
        <w:t>Chapitre 4.3</w:t>
      </w:r>
      <w:r>
        <w:rPr>
          <w:lang w:val="fr-FR"/>
        </w:rPr>
        <w:t xml:space="preserve">, </w:t>
      </w:r>
      <w:r w:rsidRPr="005171C0">
        <w:t>4.3.4.1.3 (b)</w:t>
      </w:r>
    </w:p>
    <w:p w14:paraId="6E73439A" w14:textId="77777777" w:rsidR="00B333A3" w:rsidRPr="005171C0" w:rsidRDefault="00B333A3" w:rsidP="00B333A3">
      <w:pPr>
        <w:pStyle w:val="SingleTxtG"/>
      </w:pPr>
      <w:r w:rsidRPr="005171C0">
        <w:t>Ne s’applique pas au texte français.</w:t>
      </w:r>
    </w:p>
    <w:p w14:paraId="56F550EC" w14:textId="77777777" w:rsidR="00B333A3" w:rsidRPr="005171C0" w:rsidRDefault="00B333A3" w:rsidP="00B333A3">
      <w:pPr>
        <w:pStyle w:val="H23G"/>
        <w:rPr>
          <w:lang w:val="fr-FR"/>
        </w:rPr>
      </w:pPr>
      <w:r>
        <w:rPr>
          <w:lang w:val="fr-FR"/>
        </w:rPr>
        <w:tab/>
      </w:r>
      <w:r>
        <w:rPr>
          <w:lang w:val="fr-FR"/>
        </w:rPr>
        <w:tab/>
      </w:r>
      <w:r w:rsidRPr="005171C0">
        <w:rPr>
          <w:lang w:val="fr-FR"/>
        </w:rPr>
        <w:t>Chapitre 6.2</w:t>
      </w:r>
      <w:r>
        <w:rPr>
          <w:lang w:val="fr-FR"/>
        </w:rPr>
        <w:t xml:space="preserve">, </w:t>
      </w:r>
      <w:r>
        <w:t>6.2.4.1, d</w:t>
      </w:r>
      <w:r w:rsidRPr="005171C0">
        <w:rPr>
          <w:rFonts w:eastAsia="Calibri"/>
        </w:rPr>
        <w:t>ans le tableau, pour EN 1251-2:2000, Nota</w:t>
      </w:r>
    </w:p>
    <w:p w14:paraId="1C2E4FD1" w14:textId="77777777" w:rsidR="00B333A3" w:rsidRPr="005171C0" w:rsidRDefault="00B333A3" w:rsidP="00B333A3">
      <w:pPr>
        <w:pStyle w:val="SingleTxtG"/>
      </w:pPr>
      <w:r w:rsidRPr="00B66DA7">
        <w:rPr>
          <w:i/>
        </w:rPr>
        <w:t>Substituer</w:t>
      </w:r>
      <w:r w:rsidRPr="005171C0">
        <w:t xml:space="preserve"> au texte existant</w:t>
      </w:r>
    </w:p>
    <w:p w14:paraId="37B8D5D9" w14:textId="77777777" w:rsidR="00B333A3" w:rsidRDefault="00B333A3" w:rsidP="00B333A3">
      <w:pPr>
        <w:pStyle w:val="SingleTxtG"/>
      </w:pPr>
      <w:r>
        <w:t xml:space="preserve">NOTA: </w:t>
      </w:r>
      <w:r w:rsidRPr="005171C0">
        <w:t>La norme EN 1252-1:1998 à laquelle il est fait référence dans cette norme est également applicable aux récipients cryogéniques fermés pour le transport du No ONU 1972 (MÉTHANE LIQUIDE RÉFRIGÉRÉ ou GAZ NATUREL LIQUIDE RÉFRIGÉRÉ)</w:t>
      </w:r>
    </w:p>
    <w:p w14:paraId="48F0C644" w14:textId="77777777" w:rsidR="00B333A3" w:rsidRPr="005171C0" w:rsidRDefault="00B333A3" w:rsidP="00B333A3">
      <w:pPr>
        <w:pStyle w:val="H23G"/>
        <w:rPr>
          <w:rFonts w:eastAsia="Calibri"/>
        </w:rPr>
      </w:pPr>
      <w:r>
        <w:rPr>
          <w:lang w:val="fr-FR"/>
        </w:rPr>
        <w:tab/>
      </w:r>
      <w:r>
        <w:rPr>
          <w:lang w:val="fr-FR"/>
        </w:rPr>
        <w:tab/>
      </w:r>
      <w:r w:rsidRPr="005171C0">
        <w:rPr>
          <w:lang w:val="fr-FR"/>
        </w:rPr>
        <w:t>Chapitre 6.8</w:t>
      </w:r>
      <w:r>
        <w:rPr>
          <w:lang w:val="fr-FR"/>
        </w:rPr>
        <w:t xml:space="preserve">, </w:t>
      </w:r>
      <w:r w:rsidRPr="005171C0">
        <w:rPr>
          <w:rFonts w:eastAsia="Calibri"/>
        </w:rPr>
        <w:t>6.8.2.6.1</w:t>
      </w:r>
      <w:r>
        <w:rPr>
          <w:rFonts w:eastAsia="Calibri"/>
        </w:rPr>
        <w:t>, d</w:t>
      </w:r>
      <w:r w:rsidRPr="005171C0">
        <w:rPr>
          <w:rFonts w:eastAsia="Calibri"/>
        </w:rPr>
        <w:t xml:space="preserve">ans le tableau, </w:t>
      </w:r>
      <w:r w:rsidRPr="005171C0">
        <w:t xml:space="preserve">sous «Pour la conception et la construction des citernes», </w:t>
      </w:r>
      <w:r w:rsidRPr="005171C0">
        <w:rPr>
          <w:rFonts w:eastAsia="Calibri"/>
        </w:rPr>
        <w:t>pour EN 13530-2:2002 + A1:2004, Nota</w:t>
      </w:r>
    </w:p>
    <w:p w14:paraId="57F2EFC6" w14:textId="77777777" w:rsidR="00B333A3" w:rsidRPr="005171C0" w:rsidRDefault="00B333A3" w:rsidP="00B333A3">
      <w:pPr>
        <w:pStyle w:val="SingleTxtG"/>
      </w:pPr>
      <w:r w:rsidRPr="00B66DA7">
        <w:rPr>
          <w:i/>
        </w:rPr>
        <w:t>Substituer</w:t>
      </w:r>
      <w:r w:rsidRPr="005171C0">
        <w:t xml:space="preserve"> au texte existant</w:t>
      </w:r>
    </w:p>
    <w:p w14:paraId="1DE56D4D" w14:textId="77777777" w:rsidR="00B333A3" w:rsidRPr="005171C0" w:rsidRDefault="00B333A3" w:rsidP="00B333A3">
      <w:pPr>
        <w:pStyle w:val="SingleTxtG"/>
      </w:pPr>
      <w:r>
        <w:t xml:space="preserve">NOTA: </w:t>
      </w:r>
      <w:r w:rsidRPr="005171C0">
        <w:t>La norme EN 1252-1:1998 à laquelle il est fait référence dans cette norme est également applicable aux citernes pour le transport du No ONU 1972 (MÉTHANE LIQUIDE RÉFRIGÉRÉ ou GAZ NATUREL LIQUIDE RÉFRIGÉRÉ)</w:t>
      </w:r>
    </w:p>
    <w:p w14:paraId="059EEBCF" w14:textId="77777777" w:rsidR="00B333A3" w:rsidRPr="005171C0" w:rsidRDefault="00B333A3" w:rsidP="00B333A3">
      <w:pPr>
        <w:pStyle w:val="H23G"/>
        <w:rPr>
          <w:rFonts w:eastAsia="Calibri"/>
        </w:rPr>
      </w:pPr>
      <w:r>
        <w:rPr>
          <w:lang w:val="fr-FR"/>
        </w:rPr>
        <w:tab/>
      </w:r>
      <w:r>
        <w:rPr>
          <w:lang w:val="fr-FR"/>
        </w:rPr>
        <w:tab/>
      </w:r>
      <w:r w:rsidRPr="005171C0">
        <w:rPr>
          <w:lang w:val="fr-FR"/>
        </w:rPr>
        <w:t>Chapitre 6.8</w:t>
      </w:r>
      <w:r>
        <w:rPr>
          <w:lang w:val="fr-FR"/>
        </w:rPr>
        <w:t xml:space="preserve">, </w:t>
      </w:r>
      <w:r>
        <w:rPr>
          <w:rFonts w:eastAsia="Calibri"/>
        </w:rPr>
        <w:t>6.8.3.2.15, d</w:t>
      </w:r>
      <w:r w:rsidRPr="005171C0">
        <w:rPr>
          <w:rFonts w:eastAsia="Calibri"/>
        </w:rPr>
        <w:t>ernière phrase (Pour l’essai de type de l’efficacité du système d’isolation, voir le paragraphe 6.8.3.4.11.)</w:t>
      </w:r>
    </w:p>
    <w:p w14:paraId="3CC90698" w14:textId="77777777" w:rsidR="00B333A3" w:rsidRDefault="00B333A3" w:rsidP="00B333A3">
      <w:pPr>
        <w:pStyle w:val="SingleTxtG"/>
        <w:rPr>
          <w:rFonts w:eastAsia="Calibri"/>
        </w:rPr>
      </w:pPr>
      <w:r w:rsidRPr="00B66DA7">
        <w:rPr>
          <w:rFonts w:eastAsia="Calibri"/>
          <w:i/>
        </w:rPr>
        <w:t>Transférer</w:t>
      </w:r>
      <w:r w:rsidRPr="005171C0">
        <w:rPr>
          <w:rFonts w:eastAsia="Calibri"/>
        </w:rPr>
        <w:t xml:space="preserve"> dans la colonne de droite.</w:t>
      </w:r>
    </w:p>
    <w:p w14:paraId="070EB702" w14:textId="77777777" w:rsidR="00B333A3" w:rsidRPr="005171C0" w:rsidRDefault="00B333A3" w:rsidP="00B333A3">
      <w:pPr>
        <w:pStyle w:val="H23G"/>
        <w:rPr>
          <w:lang w:val="fr-FR"/>
        </w:rPr>
      </w:pPr>
      <w:r>
        <w:rPr>
          <w:lang w:val="fr-FR"/>
        </w:rPr>
        <w:lastRenderedPageBreak/>
        <w:tab/>
      </w:r>
      <w:r>
        <w:rPr>
          <w:lang w:val="fr-FR"/>
        </w:rPr>
        <w:tab/>
      </w:r>
      <w:r w:rsidRPr="005171C0">
        <w:rPr>
          <w:lang w:val="fr-FR"/>
        </w:rPr>
        <w:t>Chapitre 7.5</w:t>
      </w:r>
      <w:r>
        <w:rPr>
          <w:lang w:val="fr-FR"/>
        </w:rPr>
        <w:t xml:space="preserve">, </w:t>
      </w:r>
      <w:r>
        <w:t>7.5.2.1, d</w:t>
      </w:r>
      <w:r w:rsidRPr="005171C0">
        <w:t>ans le tableau, dans l’intitulé de la dernière ligne et de la dernière colonne</w:t>
      </w:r>
    </w:p>
    <w:p w14:paraId="5A8F8DA2" w14:textId="77777777" w:rsidR="00B333A3" w:rsidRDefault="00B333A3" w:rsidP="00B333A3">
      <w:pPr>
        <w:pStyle w:val="SingleTxtG"/>
      </w:pPr>
      <w:r w:rsidRPr="00D33F2D">
        <w:rPr>
          <w:i/>
        </w:rPr>
        <w:t>Au lieu de</w:t>
      </w:r>
      <w:r>
        <w:t xml:space="preserve"> 9</w:t>
      </w:r>
      <w:r w:rsidRPr="005171C0">
        <w:t xml:space="preserve"> </w:t>
      </w:r>
      <w:r w:rsidRPr="00D33F2D">
        <w:rPr>
          <w:i/>
        </w:rPr>
        <w:t>lire</w:t>
      </w:r>
      <w:r>
        <w:t xml:space="preserve"> 9, 9A</w:t>
      </w:r>
    </w:p>
    <w:p w14:paraId="50396BBF" w14:textId="77777777" w:rsidR="00B333A3" w:rsidRDefault="00B333A3" w:rsidP="00B333A3">
      <w:pPr>
        <w:pStyle w:val="SingleTxtG"/>
      </w:pPr>
      <w:r w:rsidRPr="00886C9B">
        <w:rPr>
          <w:b/>
          <w:bCs/>
          <w:lang w:val="fr-FR"/>
        </w:rPr>
        <w:t>Chapitre 7.5, 7.5.5.3</w:t>
      </w:r>
    </w:p>
    <w:p w14:paraId="45E76DCE" w14:textId="77777777" w:rsidR="00B333A3" w:rsidRDefault="00B333A3" w:rsidP="00B333A3">
      <w:pPr>
        <w:pStyle w:val="SingleTxtG"/>
      </w:pPr>
      <w:r w:rsidRPr="008F724A">
        <w:rPr>
          <w:i/>
        </w:rPr>
        <w:t>Insérer</w:t>
      </w:r>
      <w:r>
        <w:t xml:space="preserve"> le titre suivant: </w:t>
      </w:r>
    </w:p>
    <w:p w14:paraId="5A6C557F" w14:textId="69A1152E" w:rsidR="00B333A3" w:rsidRDefault="00B333A3" w:rsidP="00B333A3">
      <w:pPr>
        <w:pStyle w:val="SingleTxtG"/>
        <w:rPr>
          <w:b/>
          <w:bCs/>
          <w:i/>
          <w:iCs/>
        </w:rPr>
      </w:pPr>
      <w:r w:rsidRPr="00886C9B">
        <w:rPr>
          <w:b/>
          <w:bCs/>
          <w:i/>
          <w:iCs/>
        </w:rPr>
        <w:t xml:space="preserve">Limitations relatives aux peroxydes organiques, aux matières autoréactives et aux </w:t>
      </w:r>
      <w:r>
        <w:rPr>
          <w:b/>
          <w:bCs/>
          <w:i/>
          <w:iCs/>
        </w:rPr>
        <w:t>matières</w:t>
      </w:r>
      <w:r w:rsidRPr="00886C9B">
        <w:rPr>
          <w:b/>
          <w:bCs/>
          <w:i/>
          <w:iCs/>
        </w:rPr>
        <w:t xml:space="preserve"> qui polymérisent</w:t>
      </w:r>
    </w:p>
    <w:p w14:paraId="604DC529" w14:textId="77777777" w:rsidR="00B333A3" w:rsidRDefault="00B333A3" w:rsidP="00B333A3">
      <w:pPr>
        <w:pStyle w:val="SingleTxtG"/>
        <w:rPr>
          <w:b/>
          <w:bCs/>
        </w:rPr>
      </w:pPr>
      <w:r>
        <w:rPr>
          <w:b/>
          <w:bCs/>
        </w:rPr>
        <w:t>Chapitre 9.2, 9.2.1.1, tableau, à la fin</w:t>
      </w:r>
    </w:p>
    <w:p w14:paraId="2291A983" w14:textId="77777777" w:rsidR="00B333A3" w:rsidRPr="00881F21" w:rsidRDefault="00B333A3" w:rsidP="00B333A3">
      <w:pPr>
        <w:pStyle w:val="SingleTxtG"/>
      </w:pPr>
      <w:r w:rsidRPr="00674A55">
        <w:rPr>
          <w:i/>
        </w:rPr>
        <w:t>Ajouter</w:t>
      </w:r>
      <w:r>
        <w:t xml:space="preserve"> la nouvelle ligne suivante:</w:t>
      </w:r>
    </w:p>
    <w:tbl>
      <w:tblPr>
        <w:tblStyle w:val="TableGrid"/>
        <w:tblW w:w="9639" w:type="dxa"/>
        <w:jc w:val="center"/>
        <w:tblLook w:val="04A0" w:firstRow="1" w:lastRow="0" w:firstColumn="1" w:lastColumn="0" w:noHBand="0" w:noVBand="1"/>
      </w:tblPr>
      <w:tblGrid>
        <w:gridCol w:w="829"/>
        <w:gridCol w:w="2993"/>
        <w:gridCol w:w="851"/>
        <w:gridCol w:w="761"/>
        <w:gridCol w:w="940"/>
        <w:gridCol w:w="1007"/>
        <w:gridCol w:w="2258"/>
      </w:tblGrid>
      <w:tr w:rsidR="00B333A3" w:rsidRPr="001149C1" w14:paraId="47A0B21E" w14:textId="77777777" w:rsidTr="008F0B7E">
        <w:trPr>
          <w:jc w:val="center"/>
        </w:trPr>
        <w:tc>
          <w:tcPr>
            <w:tcW w:w="3822" w:type="dxa"/>
            <w:gridSpan w:val="2"/>
          </w:tcPr>
          <w:p w14:paraId="4920C47B" w14:textId="77777777" w:rsidR="00B333A3" w:rsidRPr="001149C1" w:rsidRDefault="00B333A3" w:rsidP="008F0B7E">
            <w:pPr>
              <w:suppressAutoHyphens w:val="0"/>
              <w:spacing w:before="60" w:after="60" w:line="240" w:lineRule="auto"/>
              <w:ind w:left="113" w:right="113"/>
              <w:rPr>
                <w:rFonts w:eastAsiaTheme="minorEastAsia"/>
                <w:lang w:eastAsia="zh-CN"/>
              </w:rPr>
            </w:pPr>
          </w:p>
        </w:tc>
        <w:tc>
          <w:tcPr>
            <w:tcW w:w="3559" w:type="dxa"/>
            <w:gridSpan w:val="4"/>
          </w:tcPr>
          <w:p w14:paraId="091E7DE0"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VÉHICULES</w:t>
            </w:r>
          </w:p>
        </w:tc>
        <w:tc>
          <w:tcPr>
            <w:tcW w:w="2258" w:type="dxa"/>
          </w:tcPr>
          <w:p w14:paraId="71CFB005"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REMARQUES</w:t>
            </w:r>
          </w:p>
        </w:tc>
      </w:tr>
      <w:tr w:rsidR="00B333A3" w:rsidRPr="001149C1" w14:paraId="5E00616D" w14:textId="77777777" w:rsidTr="008F0B7E">
        <w:trPr>
          <w:jc w:val="center"/>
        </w:trPr>
        <w:tc>
          <w:tcPr>
            <w:tcW w:w="3652" w:type="dxa"/>
            <w:gridSpan w:val="2"/>
            <w:tcBorders>
              <w:bottom w:val="single" w:sz="4" w:space="0" w:color="auto"/>
            </w:tcBorders>
          </w:tcPr>
          <w:p w14:paraId="7ADDFDF0"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SPÉCIFICATIONS TECHNIQUES</w:t>
            </w:r>
          </w:p>
        </w:tc>
        <w:tc>
          <w:tcPr>
            <w:tcW w:w="851" w:type="dxa"/>
            <w:tcBorders>
              <w:bottom w:val="single" w:sz="4" w:space="0" w:color="auto"/>
            </w:tcBorders>
          </w:tcPr>
          <w:p w14:paraId="3163E69C"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EX/II</w:t>
            </w:r>
          </w:p>
        </w:tc>
        <w:tc>
          <w:tcPr>
            <w:tcW w:w="761" w:type="dxa"/>
            <w:tcBorders>
              <w:bottom w:val="single" w:sz="4" w:space="0" w:color="auto"/>
            </w:tcBorders>
          </w:tcPr>
          <w:p w14:paraId="6092C36A"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EX/III</w:t>
            </w:r>
          </w:p>
        </w:tc>
        <w:tc>
          <w:tcPr>
            <w:tcW w:w="940" w:type="dxa"/>
            <w:tcBorders>
              <w:bottom w:val="single" w:sz="4" w:space="0" w:color="auto"/>
            </w:tcBorders>
          </w:tcPr>
          <w:p w14:paraId="795FA40D"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FL</w:t>
            </w:r>
          </w:p>
        </w:tc>
        <w:tc>
          <w:tcPr>
            <w:tcW w:w="850" w:type="dxa"/>
            <w:tcBorders>
              <w:bottom w:val="single" w:sz="4" w:space="0" w:color="auto"/>
            </w:tcBorders>
          </w:tcPr>
          <w:p w14:paraId="6525922A"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AT</w:t>
            </w:r>
          </w:p>
        </w:tc>
        <w:tc>
          <w:tcPr>
            <w:tcW w:w="2158" w:type="dxa"/>
            <w:tcBorders>
              <w:bottom w:val="single" w:sz="4" w:space="0" w:color="auto"/>
            </w:tcBorders>
          </w:tcPr>
          <w:p w14:paraId="6D653071" w14:textId="77777777" w:rsidR="00B333A3" w:rsidRPr="001149C1" w:rsidRDefault="00B333A3" w:rsidP="008F0B7E">
            <w:pPr>
              <w:suppressAutoHyphens w:val="0"/>
              <w:spacing w:before="60" w:after="60" w:line="240" w:lineRule="auto"/>
              <w:ind w:left="113" w:right="113"/>
              <w:rPr>
                <w:rFonts w:eastAsiaTheme="minorEastAsia"/>
                <w:lang w:eastAsia="zh-CN"/>
              </w:rPr>
            </w:pPr>
          </w:p>
        </w:tc>
      </w:tr>
      <w:tr w:rsidR="00B333A3" w:rsidRPr="001149C1" w14:paraId="1BC48C71" w14:textId="77777777" w:rsidTr="008F0B7E">
        <w:trPr>
          <w:jc w:val="center"/>
        </w:trPr>
        <w:tc>
          <w:tcPr>
            <w:tcW w:w="829" w:type="dxa"/>
          </w:tcPr>
          <w:p w14:paraId="4FA66E89"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9.2.7</w:t>
            </w:r>
          </w:p>
        </w:tc>
        <w:tc>
          <w:tcPr>
            <w:tcW w:w="2823" w:type="dxa"/>
          </w:tcPr>
          <w:p w14:paraId="3EEB52BD"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Prévention des autres risques dus aux carburants</w:t>
            </w:r>
          </w:p>
        </w:tc>
        <w:tc>
          <w:tcPr>
            <w:tcW w:w="851" w:type="dxa"/>
          </w:tcPr>
          <w:p w14:paraId="64D1F5BF" w14:textId="77777777" w:rsidR="00B333A3" w:rsidRPr="001149C1" w:rsidRDefault="00B333A3" w:rsidP="008F0B7E">
            <w:pPr>
              <w:suppressAutoHyphens w:val="0"/>
              <w:spacing w:before="60" w:after="60" w:line="240" w:lineRule="auto"/>
              <w:ind w:left="113" w:right="113"/>
              <w:rPr>
                <w:rFonts w:eastAsiaTheme="minorEastAsia"/>
                <w:lang w:eastAsia="zh-CN"/>
              </w:rPr>
            </w:pPr>
          </w:p>
        </w:tc>
        <w:tc>
          <w:tcPr>
            <w:tcW w:w="761" w:type="dxa"/>
          </w:tcPr>
          <w:p w14:paraId="65CD9F77" w14:textId="77777777" w:rsidR="00B333A3" w:rsidRPr="001149C1" w:rsidRDefault="00B333A3" w:rsidP="008F0B7E">
            <w:pPr>
              <w:suppressAutoHyphens w:val="0"/>
              <w:spacing w:before="60" w:after="60" w:line="240" w:lineRule="auto"/>
              <w:ind w:left="113" w:right="113"/>
              <w:rPr>
                <w:rFonts w:eastAsiaTheme="minorEastAsia"/>
                <w:lang w:eastAsia="zh-CN"/>
              </w:rPr>
            </w:pPr>
          </w:p>
        </w:tc>
        <w:tc>
          <w:tcPr>
            <w:tcW w:w="940" w:type="dxa"/>
          </w:tcPr>
          <w:p w14:paraId="1C6B7478"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X</w:t>
            </w:r>
          </w:p>
        </w:tc>
        <w:tc>
          <w:tcPr>
            <w:tcW w:w="850" w:type="dxa"/>
          </w:tcPr>
          <w:p w14:paraId="615FEA12" w14:textId="77777777" w:rsidR="00B333A3" w:rsidRPr="001149C1" w:rsidRDefault="00B333A3" w:rsidP="008F0B7E">
            <w:pPr>
              <w:suppressAutoHyphens w:val="0"/>
              <w:spacing w:before="60" w:after="60" w:line="240" w:lineRule="auto"/>
              <w:ind w:left="113" w:right="113"/>
              <w:rPr>
                <w:rFonts w:eastAsiaTheme="minorEastAsia"/>
                <w:lang w:eastAsia="zh-CN"/>
              </w:rPr>
            </w:pPr>
            <w:r w:rsidRPr="001149C1">
              <w:rPr>
                <w:rFonts w:eastAsiaTheme="minorEastAsia"/>
                <w:lang w:eastAsia="zh-CN"/>
              </w:rPr>
              <w:t xml:space="preserve">X </w:t>
            </w:r>
          </w:p>
        </w:tc>
        <w:tc>
          <w:tcPr>
            <w:tcW w:w="2158" w:type="dxa"/>
          </w:tcPr>
          <w:p w14:paraId="37A3A382" w14:textId="77777777" w:rsidR="00B333A3" w:rsidRPr="001149C1" w:rsidRDefault="00B333A3" w:rsidP="008F0B7E">
            <w:pPr>
              <w:suppressAutoHyphens w:val="0"/>
              <w:spacing w:before="60" w:after="60" w:line="240" w:lineRule="auto"/>
              <w:ind w:left="113" w:right="113"/>
              <w:rPr>
                <w:rFonts w:eastAsiaTheme="minorEastAsia"/>
                <w:lang w:eastAsia="zh-CN"/>
              </w:rPr>
            </w:pPr>
          </w:p>
        </w:tc>
      </w:tr>
    </w:tbl>
    <w:p w14:paraId="5E4C9933" w14:textId="77777777" w:rsidR="00B333A3" w:rsidRDefault="00B333A3" w:rsidP="00B333A3"/>
    <w:p w14:paraId="5B0C6CED" w14:textId="77777777" w:rsidR="00117CD8" w:rsidRPr="00117CD8" w:rsidRDefault="00117CD8" w:rsidP="00117CD8">
      <w:pPr>
        <w:pStyle w:val="SingleTxtG"/>
        <w:spacing w:before="240" w:after="0"/>
        <w:jc w:val="center"/>
        <w:rPr>
          <w:i/>
          <w:iCs/>
          <w:u w:val="single"/>
        </w:rPr>
      </w:pPr>
      <w:r>
        <w:rPr>
          <w:i/>
          <w:iCs/>
          <w:u w:val="single"/>
        </w:rPr>
        <w:tab/>
      </w:r>
      <w:r>
        <w:rPr>
          <w:i/>
          <w:iCs/>
          <w:u w:val="single"/>
        </w:rPr>
        <w:tab/>
      </w:r>
      <w:r>
        <w:rPr>
          <w:i/>
          <w:iCs/>
          <w:u w:val="single"/>
        </w:rPr>
        <w:tab/>
      </w:r>
    </w:p>
    <w:sectPr w:rsidR="00117CD8" w:rsidRPr="00117CD8" w:rsidSect="009864B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C45EE" w15:done="0"/>
  <w15:commentEx w15:paraId="06656726" w15:done="0"/>
  <w15:commentEx w15:paraId="003B50A0" w15:done="0"/>
  <w15:commentEx w15:paraId="3A6B2403" w15:done="0"/>
  <w15:commentEx w15:paraId="5CFA36A4" w15:done="0"/>
  <w15:commentEx w15:paraId="74456603" w15:done="0"/>
  <w15:commentEx w15:paraId="4E4424B3" w15:done="0"/>
  <w15:commentEx w15:paraId="76238BC8" w15:done="0"/>
  <w15:commentEx w15:paraId="69808738" w15:done="0"/>
  <w15:commentEx w15:paraId="1BD2DF38" w15:done="0"/>
  <w15:commentEx w15:paraId="019B438F" w15:done="0"/>
  <w15:commentEx w15:paraId="4AB6C0A7" w15:done="0"/>
  <w15:commentEx w15:paraId="5A2AEDEF" w15:done="0"/>
  <w15:commentEx w15:paraId="57104957" w15:done="0"/>
  <w15:commentEx w15:paraId="0A781815" w15:done="0"/>
  <w15:commentEx w15:paraId="7A7937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C3F65" w14:textId="77777777" w:rsidR="00DE20A7" w:rsidRDefault="00DE20A7"/>
  </w:endnote>
  <w:endnote w:type="continuationSeparator" w:id="0">
    <w:p w14:paraId="0E88044F" w14:textId="77777777" w:rsidR="00DE20A7" w:rsidRDefault="00DE20A7"/>
  </w:endnote>
  <w:endnote w:type="continuationNotice" w:id="1">
    <w:p w14:paraId="661962F3" w14:textId="77777777" w:rsidR="00DE20A7" w:rsidRDefault="00DE2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CF0B" w14:textId="6E0274FD" w:rsidR="000A62F2" w:rsidRPr="009864BF" w:rsidRDefault="007915D5" w:rsidP="009864BF">
    <w:pPr>
      <w:pStyle w:val="Footer"/>
      <w:tabs>
        <w:tab w:val="right" w:pos="9638"/>
      </w:tabs>
      <w:rPr>
        <w:sz w:val="18"/>
      </w:rPr>
    </w:pPr>
    <w:r w:rsidRPr="009864BF">
      <w:rPr>
        <w:b/>
        <w:sz w:val="18"/>
      </w:rPr>
      <w:fldChar w:fldCharType="begin"/>
    </w:r>
    <w:r w:rsidR="000A62F2" w:rsidRPr="009864BF">
      <w:rPr>
        <w:b/>
        <w:sz w:val="18"/>
      </w:rPr>
      <w:instrText xml:space="preserve"> PAGE  \* MERGEFORMAT </w:instrText>
    </w:r>
    <w:r w:rsidRPr="009864BF">
      <w:rPr>
        <w:b/>
        <w:sz w:val="18"/>
      </w:rPr>
      <w:fldChar w:fldCharType="separate"/>
    </w:r>
    <w:r w:rsidR="00984C46">
      <w:rPr>
        <w:b/>
        <w:noProof/>
        <w:sz w:val="18"/>
      </w:rPr>
      <w:t>14</w:t>
    </w:r>
    <w:r w:rsidRPr="009864BF">
      <w:rPr>
        <w:b/>
        <w:sz w:val="18"/>
      </w:rPr>
      <w:fldChar w:fldCharType="end"/>
    </w:r>
    <w:r w:rsidR="000A62F2">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33A6B" w14:textId="4242B54E" w:rsidR="000A62F2" w:rsidRPr="009864BF" w:rsidRDefault="000A62F2" w:rsidP="009864BF">
    <w:pPr>
      <w:pStyle w:val="Footer"/>
      <w:tabs>
        <w:tab w:val="right" w:pos="9638"/>
      </w:tabs>
      <w:rPr>
        <w:sz w:val="18"/>
      </w:rPr>
    </w:pPr>
    <w:r>
      <w:tab/>
    </w:r>
    <w:r w:rsidR="007915D5" w:rsidRPr="009864BF">
      <w:rPr>
        <w:b/>
        <w:sz w:val="18"/>
      </w:rPr>
      <w:fldChar w:fldCharType="begin"/>
    </w:r>
    <w:r w:rsidRPr="009864BF">
      <w:rPr>
        <w:b/>
        <w:sz w:val="18"/>
      </w:rPr>
      <w:instrText xml:space="preserve"> PAGE  \* MERGEFORMAT </w:instrText>
    </w:r>
    <w:r w:rsidR="007915D5" w:rsidRPr="009864BF">
      <w:rPr>
        <w:b/>
        <w:sz w:val="18"/>
      </w:rPr>
      <w:fldChar w:fldCharType="separate"/>
    </w:r>
    <w:r w:rsidR="00984C46">
      <w:rPr>
        <w:b/>
        <w:noProof/>
        <w:sz w:val="18"/>
      </w:rPr>
      <w:t>13</w:t>
    </w:r>
    <w:r w:rsidR="007915D5" w:rsidRPr="009864B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C97A2" w14:textId="77777777" w:rsidR="00DE20A7" w:rsidRPr="00D27D5E" w:rsidRDefault="00DE20A7" w:rsidP="00D27D5E">
      <w:pPr>
        <w:tabs>
          <w:tab w:val="right" w:pos="2155"/>
        </w:tabs>
        <w:spacing w:after="80"/>
        <w:ind w:left="680"/>
        <w:rPr>
          <w:u w:val="single"/>
        </w:rPr>
      </w:pPr>
      <w:r>
        <w:rPr>
          <w:u w:val="single"/>
        </w:rPr>
        <w:tab/>
      </w:r>
    </w:p>
  </w:footnote>
  <w:footnote w:type="continuationSeparator" w:id="0">
    <w:p w14:paraId="5D1ABDEB" w14:textId="77777777" w:rsidR="00DE20A7" w:rsidRPr="00A80554" w:rsidRDefault="00DE20A7" w:rsidP="00A80554">
      <w:pPr>
        <w:tabs>
          <w:tab w:val="left" w:pos="2155"/>
        </w:tabs>
        <w:spacing w:after="80"/>
        <w:ind w:left="680"/>
        <w:rPr>
          <w:u w:val="single"/>
        </w:rPr>
      </w:pPr>
      <w:r w:rsidRPr="00A80554">
        <w:rPr>
          <w:u w:val="single"/>
        </w:rPr>
        <w:tab/>
      </w:r>
    </w:p>
  </w:footnote>
  <w:footnote w:type="continuationNotice" w:id="1">
    <w:p w14:paraId="7B4A5C3F" w14:textId="77777777" w:rsidR="00DE20A7" w:rsidRDefault="00DE20A7"/>
  </w:footnote>
  <w:footnote w:id="2">
    <w:p w14:paraId="471B2CFE" w14:textId="5F250D68" w:rsidR="00FC426B" w:rsidRPr="00E04A84" w:rsidRDefault="00E04A84" w:rsidP="00FC426B">
      <w:pPr>
        <w:pStyle w:val="FootnoteText"/>
      </w:pPr>
      <w:r>
        <w:rPr>
          <w:rStyle w:val="FootnoteReference"/>
        </w:rPr>
        <w:tab/>
      </w:r>
      <w:r w:rsidRPr="00E04A84">
        <w:rPr>
          <w:rStyle w:val="FootnoteReference"/>
          <w:sz w:val="20"/>
          <w:vertAlign w:val="baseline"/>
        </w:rPr>
        <w:t>*</w:t>
      </w:r>
      <w:r>
        <w:rPr>
          <w:rStyle w:val="FootnoteReference"/>
          <w:sz w:val="20"/>
          <w:vertAlign w:val="baseline"/>
        </w:rPr>
        <w:tab/>
      </w:r>
      <w:r w:rsidR="00FC426B">
        <w:t xml:space="preserve">Après l’adoption du rapport, </w:t>
      </w:r>
      <w:r w:rsidR="00FC426B">
        <w:rPr>
          <w:lang w:val="fr-FR"/>
        </w:rPr>
        <w:t>l</w:t>
      </w:r>
      <w:r w:rsidR="00FC426B" w:rsidRPr="00FC426B">
        <w:rPr>
          <w:lang w:val="fr-FR"/>
        </w:rPr>
        <w:t>e secrétariat a reçu une lettre du Directeur du Département des transports routiers du Ministère de l'infrastructure et de la construction de la Pologne demandant le remplacement de cette phrase par les suivantes afin de mieux expliquer la situation en Pologne:</w:t>
      </w:r>
      <w:r w:rsidR="00FC426B">
        <w:rPr>
          <w:lang w:val="fr-FR"/>
        </w:rPr>
        <w:t xml:space="preserve"> «</w:t>
      </w:r>
      <w:r w:rsidR="00FC426B" w:rsidRPr="00FC426B">
        <w:rPr>
          <w:lang w:val="fr-FR"/>
        </w:rPr>
        <w:t xml:space="preserve">Concernant la nécessité d'adapter les entités de marché aux nouvelles exigences, le Ministère de l'Infrastructure et de la Construction (qui comprend le Département des transports) a recommandé aux autorités de contrôle </w:t>
      </w:r>
      <w:r w:rsidR="00FC426B">
        <w:rPr>
          <w:lang w:val="fr-FR"/>
        </w:rPr>
        <w:t>subordonnées</w:t>
      </w:r>
      <w:r w:rsidR="00FC426B" w:rsidRPr="00FC426B">
        <w:rPr>
          <w:lang w:val="fr-FR"/>
        </w:rPr>
        <w:t xml:space="preserve"> de ne pas </w:t>
      </w:r>
      <w:r w:rsidR="00FC426B">
        <w:rPr>
          <w:lang w:val="fr-FR"/>
        </w:rPr>
        <w:t xml:space="preserve">sanctionner </w:t>
      </w:r>
      <w:r w:rsidR="00FC426B" w:rsidRPr="00FC426B">
        <w:rPr>
          <w:lang w:val="fr-FR"/>
        </w:rPr>
        <w:t xml:space="preserve">les transporteurs en cas de </w:t>
      </w:r>
      <w:r w:rsidR="00FC426B">
        <w:rPr>
          <w:lang w:val="fr-FR"/>
        </w:rPr>
        <w:t>non-respect</w:t>
      </w:r>
      <w:r w:rsidR="00FC426B" w:rsidRPr="00FC426B">
        <w:rPr>
          <w:lang w:val="fr-FR"/>
        </w:rPr>
        <w:t xml:space="preserve"> des nouvelles règles. Actuellement, l'ampleur du problème concernant l'interprétation de cette disposition est </w:t>
      </w:r>
      <w:r w:rsidR="00FC426B">
        <w:rPr>
          <w:lang w:val="fr-FR"/>
        </w:rPr>
        <w:t>évaluée</w:t>
      </w:r>
      <w:r w:rsidR="00FC426B" w:rsidRPr="00FC426B">
        <w:rPr>
          <w:lang w:val="fr-FR"/>
        </w:rPr>
        <w:t xml:space="preserve"> et, par conséquent, le Ministère de l'Infrastructure et de la Construction a transmis la notification à l'Inspection des Transports Routiers et au Bureau des Transports Ferroviaires afin d’éviter </w:t>
      </w:r>
      <w:r w:rsidR="00FC426B">
        <w:rPr>
          <w:lang w:val="fr-FR"/>
        </w:rPr>
        <w:t>autant que possible que</w:t>
      </w:r>
      <w:r w:rsidR="00FC426B" w:rsidRPr="00FC426B">
        <w:rPr>
          <w:lang w:val="fr-FR"/>
        </w:rPr>
        <w:t xml:space="preserve"> des sanctions</w:t>
      </w:r>
      <w:r w:rsidR="00FC426B">
        <w:rPr>
          <w:lang w:val="fr-FR"/>
        </w:rPr>
        <w:t xml:space="preserve"> ne soient imposées</w:t>
      </w:r>
      <w:r w:rsidR="00FC426B" w:rsidRPr="00FC426B">
        <w:rPr>
          <w:lang w:val="fr-FR"/>
        </w:rPr>
        <w:t>.</w:t>
      </w:r>
      <w:r w:rsidR="00FC426B">
        <w:rPr>
          <w:lang w:val="fr-FR"/>
        </w:rPr>
        <w:t xml:space="preserve"> </w:t>
      </w:r>
      <w:r w:rsidR="00FC426B" w:rsidRPr="00FC426B">
        <w:rPr>
          <w:lang w:val="fr-FR"/>
        </w:rPr>
        <w:t>Le représentant de la Pologne a souligné que le ministère des Infrastructures et de la Construction effectuait une étude approfondie sur la manière de clarifier les dispositions existantes, notamment en ce qui concerne le détail des informations supplémentaires</w:t>
      </w:r>
      <w:r w:rsidR="00FC426B">
        <w:rPr>
          <w:lang w:val="fr-FR"/>
        </w:rPr>
        <w:t xml:space="preserve"> à fournir</w:t>
      </w:r>
      <w:r w:rsidR="00FC426B" w:rsidRPr="00FC426B">
        <w:rPr>
          <w:lang w:val="fr-FR"/>
        </w:rPr>
        <w:t xml:space="preserve"> (contenu et emplacement de l'information).</w:t>
      </w:r>
    </w:p>
    <w:p w14:paraId="2BA64B08" w14:textId="4C20CDB6" w:rsidR="00E04A84" w:rsidRPr="00E04A84" w:rsidRDefault="00E04A8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DA7F" w14:textId="77777777" w:rsidR="000A62F2" w:rsidRPr="009864BF" w:rsidRDefault="000A62F2">
    <w:pPr>
      <w:pStyle w:val="Header"/>
    </w:pPr>
    <w:r>
      <w:t>ECE/TRANS/WP.15/23</w:t>
    </w:r>
    <w:r w:rsidR="000422F0">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442F" w14:textId="77777777" w:rsidR="000A62F2" w:rsidRPr="009864BF" w:rsidRDefault="000A62F2" w:rsidP="009864BF">
    <w:pPr>
      <w:pStyle w:val="Header"/>
      <w:jc w:val="right"/>
    </w:pPr>
    <w:r>
      <w:t>ECE/TRANS/WP.15/23</w:t>
    </w:r>
    <w:r w:rsidR="000422F0">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A1566"/>
    <w:multiLevelType w:val="hybridMultilevel"/>
    <w:tmpl w:val="FA9A8F1C"/>
    <w:lvl w:ilvl="0" w:tplc="B000A3F2">
      <w:start w:val="3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31967897"/>
    <w:multiLevelType w:val="hybridMultilevel"/>
    <w:tmpl w:val="20523D60"/>
    <w:lvl w:ilvl="0" w:tplc="173822CA">
      <w:start w:val="1"/>
      <w:numFmt w:val="bullet"/>
      <w:lvlText w:val=""/>
      <w:lvlJc w:val="left"/>
      <w:pPr>
        <w:tabs>
          <w:tab w:val="num" w:pos="284"/>
        </w:tabs>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770F52D7"/>
    <w:multiLevelType w:val="hybridMultilevel"/>
    <w:tmpl w:val="9064D886"/>
    <w:lvl w:ilvl="0" w:tplc="57BEADE6">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6"/>
  </w:num>
  <w:num w:numId="6">
    <w:abstractNumId w:val="8"/>
  </w:num>
  <w:num w:numId="7">
    <w:abstractNumId w:val="4"/>
  </w:num>
  <w:num w:numId="8">
    <w:abstractNumId w:val="0"/>
  </w:num>
  <w:num w:numId="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ges adopted in session">
    <w15:presenceInfo w15:providerId="None" w15:userId="Changes adopted in ses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0" w:nlCheck="1" w:checkStyle="1"/>
  <w:activeWritingStyle w:appName="MSWord" w:lang="fr-CH" w:vendorID="64" w:dllVersion="0" w:nlCheck="1" w:checkStyle="0"/>
  <w:activeWritingStyle w:appName="MSWord" w:lang="fr-FR" w:vendorID="64" w:dllVersion="0" w:nlCheck="1" w:checkStyle="0"/>
  <w:activeWritingStyle w:appName="MSWord" w:lang="fr-CA" w:vendorID="64" w:dllVersion="0"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374DA6"/>
    <w:rsid w:val="0001006F"/>
    <w:rsid w:val="00013D7C"/>
    <w:rsid w:val="00016AC5"/>
    <w:rsid w:val="0002540D"/>
    <w:rsid w:val="00027862"/>
    <w:rsid w:val="00030ADE"/>
    <w:rsid w:val="000312C0"/>
    <w:rsid w:val="000419DB"/>
    <w:rsid w:val="000422F0"/>
    <w:rsid w:val="00052613"/>
    <w:rsid w:val="0009473E"/>
    <w:rsid w:val="000964C7"/>
    <w:rsid w:val="000A011C"/>
    <w:rsid w:val="000A30A9"/>
    <w:rsid w:val="000A56E1"/>
    <w:rsid w:val="000A62F2"/>
    <w:rsid w:val="000A7986"/>
    <w:rsid w:val="000B34CA"/>
    <w:rsid w:val="000C055A"/>
    <w:rsid w:val="000C49C9"/>
    <w:rsid w:val="000E13F7"/>
    <w:rsid w:val="000F13BD"/>
    <w:rsid w:val="000F41F2"/>
    <w:rsid w:val="001006A1"/>
    <w:rsid w:val="00107469"/>
    <w:rsid w:val="00112077"/>
    <w:rsid w:val="00113838"/>
    <w:rsid w:val="00117CD8"/>
    <w:rsid w:val="00135C0D"/>
    <w:rsid w:val="001409C5"/>
    <w:rsid w:val="001473EA"/>
    <w:rsid w:val="00147FEC"/>
    <w:rsid w:val="00154636"/>
    <w:rsid w:val="00160540"/>
    <w:rsid w:val="00161E56"/>
    <w:rsid w:val="0017182C"/>
    <w:rsid w:val="00174DD1"/>
    <w:rsid w:val="00177007"/>
    <w:rsid w:val="00181F8C"/>
    <w:rsid w:val="00186EE9"/>
    <w:rsid w:val="00192EEB"/>
    <w:rsid w:val="001A20FB"/>
    <w:rsid w:val="001B52C1"/>
    <w:rsid w:val="001B6F40"/>
    <w:rsid w:val="001C59F6"/>
    <w:rsid w:val="001C5E04"/>
    <w:rsid w:val="001D7F8A"/>
    <w:rsid w:val="001E3FEB"/>
    <w:rsid w:val="001E4A02"/>
    <w:rsid w:val="001E6D5E"/>
    <w:rsid w:val="001F4739"/>
    <w:rsid w:val="002146A9"/>
    <w:rsid w:val="00223B89"/>
    <w:rsid w:val="00225A8C"/>
    <w:rsid w:val="00232C61"/>
    <w:rsid w:val="00253E10"/>
    <w:rsid w:val="002659F1"/>
    <w:rsid w:val="002701A6"/>
    <w:rsid w:val="00271C7C"/>
    <w:rsid w:val="00287E79"/>
    <w:rsid w:val="002928F9"/>
    <w:rsid w:val="00294669"/>
    <w:rsid w:val="002A5D07"/>
    <w:rsid w:val="002A7BA7"/>
    <w:rsid w:val="002A7DEA"/>
    <w:rsid w:val="002D22BF"/>
    <w:rsid w:val="002E0A08"/>
    <w:rsid w:val="002E2C91"/>
    <w:rsid w:val="002E5A22"/>
    <w:rsid w:val="002F3B03"/>
    <w:rsid w:val="003016B7"/>
    <w:rsid w:val="00330F9C"/>
    <w:rsid w:val="00332FC3"/>
    <w:rsid w:val="00333EBE"/>
    <w:rsid w:val="00340C35"/>
    <w:rsid w:val="00341810"/>
    <w:rsid w:val="003515AA"/>
    <w:rsid w:val="00354182"/>
    <w:rsid w:val="00367E36"/>
    <w:rsid w:val="00367E6A"/>
    <w:rsid w:val="00370E0F"/>
    <w:rsid w:val="00374106"/>
    <w:rsid w:val="00374DA6"/>
    <w:rsid w:val="003760F8"/>
    <w:rsid w:val="00392706"/>
    <w:rsid w:val="003976D5"/>
    <w:rsid w:val="003A5415"/>
    <w:rsid w:val="003A5484"/>
    <w:rsid w:val="003B33A7"/>
    <w:rsid w:val="003B48E3"/>
    <w:rsid w:val="003B646B"/>
    <w:rsid w:val="003D1DF3"/>
    <w:rsid w:val="003D2AE1"/>
    <w:rsid w:val="003D46A7"/>
    <w:rsid w:val="003D6C68"/>
    <w:rsid w:val="003D76E4"/>
    <w:rsid w:val="00407CE5"/>
    <w:rsid w:val="00414425"/>
    <w:rsid w:val="004159D0"/>
    <w:rsid w:val="004224BB"/>
    <w:rsid w:val="004249E7"/>
    <w:rsid w:val="00426DA1"/>
    <w:rsid w:val="004332D1"/>
    <w:rsid w:val="00434168"/>
    <w:rsid w:val="0043648C"/>
    <w:rsid w:val="00445F6D"/>
    <w:rsid w:val="004633A8"/>
    <w:rsid w:val="00475B53"/>
    <w:rsid w:val="00497A70"/>
    <w:rsid w:val="004A33DF"/>
    <w:rsid w:val="004A4829"/>
    <w:rsid w:val="004A521D"/>
    <w:rsid w:val="004C270A"/>
    <w:rsid w:val="004D2E43"/>
    <w:rsid w:val="004D53B7"/>
    <w:rsid w:val="004E315A"/>
    <w:rsid w:val="004E4695"/>
    <w:rsid w:val="00500684"/>
    <w:rsid w:val="00532CBE"/>
    <w:rsid w:val="00543D5E"/>
    <w:rsid w:val="00552647"/>
    <w:rsid w:val="00566F74"/>
    <w:rsid w:val="00571F41"/>
    <w:rsid w:val="0057577A"/>
    <w:rsid w:val="0058171D"/>
    <w:rsid w:val="00585560"/>
    <w:rsid w:val="00593C23"/>
    <w:rsid w:val="0059410B"/>
    <w:rsid w:val="00595BE4"/>
    <w:rsid w:val="005970B3"/>
    <w:rsid w:val="005B738F"/>
    <w:rsid w:val="005B76A3"/>
    <w:rsid w:val="005C0C6E"/>
    <w:rsid w:val="005E261B"/>
    <w:rsid w:val="005E5D1F"/>
    <w:rsid w:val="00603391"/>
    <w:rsid w:val="006049FD"/>
    <w:rsid w:val="006067BE"/>
    <w:rsid w:val="00610954"/>
    <w:rsid w:val="00611D43"/>
    <w:rsid w:val="00612D48"/>
    <w:rsid w:val="00614EFC"/>
    <w:rsid w:val="00616B45"/>
    <w:rsid w:val="00625A9B"/>
    <w:rsid w:val="00630D9B"/>
    <w:rsid w:val="00631953"/>
    <w:rsid w:val="006371F6"/>
    <w:rsid w:val="00642849"/>
    <w:rsid w:val="006439EC"/>
    <w:rsid w:val="0064698A"/>
    <w:rsid w:val="00653C15"/>
    <w:rsid w:val="00657968"/>
    <w:rsid w:val="00657AA5"/>
    <w:rsid w:val="00665611"/>
    <w:rsid w:val="006973AE"/>
    <w:rsid w:val="006A047B"/>
    <w:rsid w:val="006B191D"/>
    <w:rsid w:val="006B4590"/>
    <w:rsid w:val="006C340C"/>
    <w:rsid w:val="006E5FC7"/>
    <w:rsid w:val="006E7021"/>
    <w:rsid w:val="006F19D6"/>
    <w:rsid w:val="006F5AD2"/>
    <w:rsid w:val="006F7F34"/>
    <w:rsid w:val="00700B01"/>
    <w:rsid w:val="0070347C"/>
    <w:rsid w:val="00713A93"/>
    <w:rsid w:val="007154B4"/>
    <w:rsid w:val="007176C1"/>
    <w:rsid w:val="007219A9"/>
    <w:rsid w:val="007323EB"/>
    <w:rsid w:val="007348C1"/>
    <w:rsid w:val="00735D7D"/>
    <w:rsid w:val="00751F6C"/>
    <w:rsid w:val="00783F37"/>
    <w:rsid w:val="00790F2F"/>
    <w:rsid w:val="007915D5"/>
    <w:rsid w:val="007A6076"/>
    <w:rsid w:val="007B0520"/>
    <w:rsid w:val="007B44BB"/>
    <w:rsid w:val="007B5E84"/>
    <w:rsid w:val="007E100C"/>
    <w:rsid w:val="007E1CE0"/>
    <w:rsid w:val="007F55CB"/>
    <w:rsid w:val="00800C33"/>
    <w:rsid w:val="00807AE7"/>
    <w:rsid w:val="00812C1A"/>
    <w:rsid w:val="00814F45"/>
    <w:rsid w:val="00830A56"/>
    <w:rsid w:val="008317F6"/>
    <w:rsid w:val="00834D3A"/>
    <w:rsid w:val="00844750"/>
    <w:rsid w:val="0088735F"/>
    <w:rsid w:val="008A3975"/>
    <w:rsid w:val="008B44C4"/>
    <w:rsid w:val="008B7879"/>
    <w:rsid w:val="008C19CB"/>
    <w:rsid w:val="008C2211"/>
    <w:rsid w:val="008D3919"/>
    <w:rsid w:val="008E3D95"/>
    <w:rsid w:val="008E7778"/>
    <w:rsid w:val="008E7FAE"/>
    <w:rsid w:val="008F27A7"/>
    <w:rsid w:val="009009FB"/>
    <w:rsid w:val="0090466B"/>
    <w:rsid w:val="00911BF7"/>
    <w:rsid w:val="009158CE"/>
    <w:rsid w:val="00925B3F"/>
    <w:rsid w:val="00926E87"/>
    <w:rsid w:val="00952FDB"/>
    <w:rsid w:val="00977EC8"/>
    <w:rsid w:val="00984C46"/>
    <w:rsid w:val="00984E98"/>
    <w:rsid w:val="009864BF"/>
    <w:rsid w:val="00986C52"/>
    <w:rsid w:val="00994F5B"/>
    <w:rsid w:val="009B18A3"/>
    <w:rsid w:val="009B5F95"/>
    <w:rsid w:val="009C40C7"/>
    <w:rsid w:val="009D3A8C"/>
    <w:rsid w:val="009D737B"/>
    <w:rsid w:val="009D7CD2"/>
    <w:rsid w:val="009E01B8"/>
    <w:rsid w:val="009E0F1E"/>
    <w:rsid w:val="009E1470"/>
    <w:rsid w:val="009E1E8E"/>
    <w:rsid w:val="009E7956"/>
    <w:rsid w:val="00A0327B"/>
    <w:rsid w:val="00A1547F"/>
    <w:rsid w:val="00A21EDE"/>
    <w:rsid w:val="00A2492E"/>
    <w:rsid w:val="00A264FA"/>
    <w:rsid w:val="00A31F07"/>
    <w:rsid w:val="00A346BD"/>
    <w:rsid w:val="00A34F4A"/>
    <w:rsid w:val="00A3503B"/>
    <w:rsid w:val="00A3510A"/>
    <w:rsid w:val="00A41235"/>
    <w:rsid w:val="00A70163"/>
    <w:rsid w:val="00A77BAD"/>
    <w:rsid w:val="00A80554"/>
    <w:rsid w:val="00A86C9F"/>
    <w:rsid w:val="00AA72C3"/>
    <w:rsid w:val="00AB2DD7"/>
    <w:rsid w:val="00AC67A1"/>
    <w:rsid w:val="00AC7977"/>
    <w:rsid w:val="00AD3C97"/>
    <w:rsid w:val="00AD4B6D"/>
    <w:rsid w:val="00AD6B55"/>
    <w:rsid w:val="00AE1C41"/>
    <w:rsid w:val="00AE352C"/>
    <w:rsid w:val="00AF5FC8"/>
    <w:rsid w:val="00B04977"/>
    <w:rsid w:val="00B16896"/>
    <w:rsid w:val="00B3116D"/>
    <w:rsid w:val="00B32E2D"/>
    <w:rsid w:val="00B333A3"/>
    <w:rsid w:val="00B402D7"/>
    <w:rsid w:val="00B42ED4"/>
    <w:rsid w:val="00B4466B"/>
    <w:rsid w:val="00B61990"/>
    <w:rsid w:val="00B6602A"/>
    <w:rsid w:val="00B75974"/>
    <w:rsid w:val="00B85D99"/>
    <w:rsid w:val="00B931D6"/>
    <w:rsid w:val="00B93E72"/>
    <w:rsid w:val="00B94939"/>
    <w:rsid w:val="00B97237"/>
    <w:rsid w:val="00BA5114"/>
    <w:rsid w:val="00BB61F2"/>
    <w:rsid w:val="00BC15C3"/>
    <w:rsid w:val="00BE3F8F"/>
    <w:rsid w:val="00BF0556"/>
    <w:rsid w:val="00BF06B0"/>
    <w:rsid w:val="00C02497"/>
    <w:rsid w:val="00C027DB"/>
    <w:rsid w:val="00C1186D"/>
    <w:rsid w:val="00C22C01"/>
    <w:rsid w:val="00C24B53"/>
    <w:rsid w:val="00C261F8"/>
    <w:rsid w:val="00C30120"/>
    <w:rsid w:val="00C33100"/>
    <w:rsid w:val="00C63BD0"/>
    <w:rsid w:val="00C6788B"/>
    <w:rsid w:val="00C7777A"/>
    <w:rsid w:val="00C9178E"/>
    <w:rsid w:val="00C9360F"/>
    <w:rsid w:val="00C940E9"/>
    <w:rsid w:val="00CA184E"/>
    <w:rsid w:val="00CA2573"/>
    <w:rsid w:val="00CB6267"/>
    <w:rsid w:val="00CC51EB"/>
    <w:rsid w:val="00CD1A71"/>
    <w:rsid w:val="00CD1FBB"/>
    <w:rsid w:val="00CD5DC2"/>
    <w:rsid w:val="00CE4E32"/>
    <w:rsid w:val="00D016B5"/>
    <w:rsid w:val="00D034F1"/>
    <w:rsid w:val="00D11B17"/>
    <w:rsid w:val="00D27D5E"/>
    <w:rsid w:val="00D57931"/>
    <w:rsid w:val="00D60301"/>
    <w:rsid w:val="00D65A2C"/>
    <w:rsid w:val="00D70209"/>
    <w:rsid w:val="00D80A05"/>
    <w:rsid w:val="00D81DF1"/>
    <w:rsid w:val="00DA4B98"/>
    <w:rsid w:val="00DA57D4"/>
    <w:rsid w:val="00DB4793"/>
    <w:rsid w:val="00DE01E3"/>
    <w:rsid w:val="00DE20A7"/>
    <w:rsid w:val="00DE6D90"/>
    <w:rsid w:val="00DF002F"/>
    <w:rsid w:val="00DF1C6A"/>
    <w:rsid w:val="00DF77A2"/>
    <w:rsid w:val="00E0244D"/>
    <w:rsid w:val="00E04873"/>
    <w:rsid w:val="00E04A84"/>
    <w:rsid w:val="00E05FE2"/>
    <w:rsid w:val="00E15C12"/>
    <w:rsid w:val="00E55D71"/>
    <w:rsid w:val="00E636B6"/>
    <w:rsid w:val="00E6624F"/>
    <w:rsid w:val="00E8142E"/>
    <w:rsid w:val="00E81E94"/>
    <w:rsid w:val="00E82607"/>
    <w:rsid w:val="00E9548B"/>
    <w:rsid w:val="00EA31C2"/>
    <w:rsid w:val="00EA6DEC"/>
    <w:rsid w:val="00EE08A7"/>
    <w:rsid w:val="00EE2A23"/>
    <w:rsid w:val="00EE2EA3"/>
    <w:rsid w:val="00EF6964"/>
    <w:rsid w:val="00F01516"/>
    <w:rsid w:val="00F11CCC"/>
    <w:rsid w:val="00F37CB1"/>
    <w:rsid w:val="00F41DBC"/>
    <w:rsid w:val="00F45602"/>
    <w:rsid w:val="00F47547"/>
    <w:rsid w:val="00F57129"/>
    <w:rsid w:val="00F62B2F"/>
    <w:rsid w:val="00F70CE8"/>
    <w:rsid w:val="00F74A1C"/>
    <w:rsid w:val="00F77A13"/>
    <w:rsid w:val="00F91484"/>
    <w:rsid w:val="00FA5A79"/>
    <w:rsid w:val="00FA6422"/>
    <w:rsid w:val="00FB00CB"/>
    <w:rsid w:val="00FB0BFE"/>
    <w:rsid w:val="00FB4C51"/>
    <w:rsid w:val="00FC426B"/>
    <w:rsid w:val="00FD5619"/>
    <w:rsid w:val="00FE5980"/>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B6E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uiPriority w:val="9"/>
    <w:qFormat/>
    <w:rsid w:val="000964C7"/>
    <w:pPr>
      <w:keepNext/>
      <w:keepLines/>
      <w:spacing w:after="0" w:line="240" w:lineRule="auto"/>
      <w:ind w:right="0"/>
      <w:jc w:val="left"/>
      <w:outlineLvl w:val="0"/>
    </w:pPr>
  </w:style>
  <w:style w:type="paragraph" w:styleId="Heading2">
    <w:name w:val="heading 2"/>
    <w:basedOn w:val="Normal"/>
    <w:next w:val="Normal"/>
    <w:uiPriority w:val="9"/>
    <w:qFormat/>
    <w:rsid w:val="000964C7"/>
    <w:pPr>
      <w:outlineLvl w:val="1"/>
    </w:pPr>
  </w:style>
  <w:style w:type="paragraph" w:styleId="Heading3">
    <w:name w:val="heading 3"/>
    <w:basedOn w:val="Normal"/>
    <w:next w:val="Normal"/>
    <w:uiPriority w:val="9"/>
    <w:qFormat/>
    <w:rsid w:val="000964C7"/>
    <w:pPr>
      <w:outlineLvl w:val="2"/>
    </w:pPr>
  </w:style>
  <w:style w:type="paragraph" w:styleId="Heading4">
    <w:name w:val="heading 4"/>
    <w:basedOn w:val="Normal"/>
    <w:next w:val="Normal"/>
    <w:uiPriority w:val="9"/>
    <w:qFormat/>
    <w:rsid w:val="000964C7"/>
    <w:pPr>
      <w:outlineLvl w:val="3"/>
    </w:pPr>
  </w:style>
  <w:style w:type="paragraph" w:styleId="Heading5">
    <w:name w:val="heading 5"/>
    <w:basedOn w:val="Normal"/>
    <w:next w:val="Normal"/>
    <w:uiPriority w:val="9"/>
    <w:qFormat/>
    <w:rsid w:val="000964C7"/>
    <w:pPr>
      <w:outlineLvl w:val="4"/>
    </w:pPr>
  </w:style>
  <w:style w:type="paragraph" w:styleId="Heading6">
    <w:name w:val="heading 6"/>
    <w:basedOn w:val="Normal"/>
    <w:next w:val="Normal"/>
    <w:uiPriority w:val="9"/>
    <w:qFormat/>
    <w:rsid w:val="000964C7"/>
    <w:pPr>
      <w:outlineLvl w:val="5"/>
    </w:pPr>
  </w:style>
  <w:style w:type="paragraph" w:styleId="Heading7">
    <w:name w:val="heading 7"/>
    <w:basedOn w:val="Normal"/>
    <w:next w:val="Normal"/>
    <w:link w:val="Heading7Char"/>
    <w:uiPriority w:val="9"/>
    <w:qFormat/>
    <w:rsid w:val="000964C7"/>
    <w:pPr>
      <w:outlineLvl w:val="6"/>
    </w:pPr>
  </w:style>
  <w:style w:type="paragraph" w:styleId="Heading8">
    <w:name w:val="heading 8"/>
    <w:basedOn w:val="Normal"/>
    <w:next w:val="Normal"/>
    <w:uiPriority w:val="9"/>
    <w:qFormat/>
    <w:rsid w:val="000964C7"/>
    <w:pPr>
      <w:outlineLvl w:val="7"/>
    </w:pPr>
  </w:style>
  <w:style w:type="paragraph" w:styleId="Heading9">
    <w:name w:val="heading 9"/>
    <w:basedOn w:val="Normal"/>
    <w:next w:val="Normal"/>
    <w:uiPriority w:val="9"/>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4_GR"/>
    <w:basedOn w:val="DefaultParagraphFont"/>
    <w:uiPriority w:val="99"/>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5_GR"/>
    <w:basedOn w:val="Normal"/>
    <w:link w:val="FootnoteTextChar"/>
    <w:uiPriority w:val="99"/>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SingleTxtGCar">
    <w:name w:val="_ Single Txt_G Car"/>
    <w:link w:val="SingleTxtG"/>
    <w:rsid w:val="00CE4E32"/>
    <w:rPr>
      <w:lang w:val="fr-CH" w:eastAsia="en-US"/>
    </w:rPr>
  </w:style>
  <w:style w:type="character" w:customStyle="1" w:styleId="H1GChar">
    <w:name w:val="_ H_1_G Char"/>
    <w:link w:val="H1G"/>
    <w:rsid w:val="00CE4E32"/>
    <w:rPr>
      <w:b/>
      <w:sz w:val="24"/>
      <w:lang w:val="fr-CH" w:eastAsia="en-US"/>
    </w:rPr>
  </w:style>
  <w:style w:type="character" w:customStyle="1" w:styleId="HChGChar">
    <w:name w:val="_ H _Ch_G Char"/>
    <w:link w:val="HChG"/>
    <w:rsid w:val="00CE4E32"/>
    <w:rPr>
      <w:b/>
      <w:sz w:val="28"/>
      <w:lang w:val="fr-CH" w:eastAsia="en-US"/>
    </w:rPr>
  </w:style>
  <w:style w:type="character" w:customStyle="1" w:styleId="H23GChar">
    <w:name w:val="_ H_2/3_G Char"/>
    <w:link w:val="H23G"/>
    <w:rsid w:val="00C63BD0"/>
    <w:rPr>
      <w:b/>
      <w:lang w:val="fr-CH" w:eastAsia="en-US"/>
    </w:rPr>
  </w:style>
  <w:style w:type="character" w:customStyle="1" w:styleId="SingleTxtGChar">
    <w:name w:val="_ Single Txt_G Char"/>
    <w:qFormat/>
    <w:rsid w:val="00107469"/>
    <w:rPr>
      <w:lang w:val="fr-CH" w:eastAsia="en-US"/>
    </w:rPr>
  </w:style>
  <w:style w:type="paragraph" w:customStyle="1" w:styleId="SingleTxt">
    <w:name w:val="__Single Txt"/>
    <w:basedOn w:val="Normal"/>
    <w:qFormat/>
    <w:rsid w:val="000947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styleId="Emphasis">
    <w:name w:val="Emphasis"/>
    <w:qFormat/>
    <w:rsid w:val="0009473E"/>
    <w:rPr>
      <w:i/>
      <w:iCs/>
    </w:rPr>
  </w:style>
  <w:style w:type="character" w:customStyle="1" w:styleId="Heading7Char">
    <w:name w:val="Heading 7 Char"/>
    <w:link w:val="Heading7"/>
    <w:uiPriority w:val="9"/>
    <w:rsid w:val="0009473E"/>
    <w:rPr>
      <w:lang w:val="fr-CH" w:eastAsia="en-US"/>
    </w:rPr>
  </w:style>
  <w:style w:type="paragraph" w:customStyle="1" w:styleId="Bullet1">
    <w:name w:val="Bullet 1"/>
    <w:basedOn w:val="Normal"/>
    <w:uiPriority w:val="99"/>
    <w:qFormat/>
    <w:rsid w:val="007B5E84"/>
    <w:pPr>
      <w:numPr>
        <w:numId w:val="4"/>
      </w:numPr>
      <w:suppressAutoHyphens w:val="0"/>
      <w:spacing w:after="120" w:line="240" w:lineRule="exact"/>
      <w:ind w:left="1743" w:right="1267" w:hanging="130"/>
      <w:jc w:val="both"/>
    </w:pPr>
    <w:rPr>
      <w:rFonts w:eastAsiaTheme="minorHAnsi"/>
      <w:spacing w:val="4"/>
      <w:w w:val="103"/>
      <w:kern w:val="14"/>
      <w:szCs w:val="22"/>
      <w:lang w:val="fr-CA"/>
    </w:rPr>
  </w:style>
  <w:style w:type="character" w:customStyle="1" w:styleId="FootnoteTextChar">
    <w:name w:val="Footnote Text Char"/>
    <w:aliases w:val="5_G Char,5_GR Char"/>
    <w:basedOn w:val="DefaultParagraphFont"/>
    <w:link w:val="FootnoteText"/>
    <w:uiPriority w:val="99"/>
    <w:locked/>
    <w:rsid w:val="00C02497"/>
    <w:rPr>
      <w:sz w:val="18"/>
      <w:lang w:val="fr-CH" w:eastAsia="en-US"/>
    </w:rPr>
  </w:style>
  <w:style w:type="paragraph" w:customStyle="1" w:styleId="H23">
    <w:name w:val="_ H_2/3"/>
    <w:basedOn w:val="Normal"/>
    <w:next w:val="SingleTxt"/>
    <w:qFormat/>
    <w:rsid w:val="00EE08A7"/>
    <w:pPr>
      <w:keepNext/>
      <w:keepLines/>
      <w:spacing w:line="240" w:lineRule="exact"/>
      <w:outlineLvl w:val="1"/>
    </w:pPr>
    <w:rPr>
      <w:rFonts w:eastAsia="Calibri"/>
      <w:b/>
      <w:spacing w:val="2"/>
      <w:w w:val="103"/>
      <w:kern w:val="14"/>
      <w:szCs w:val="22"/>
      <w:lang w:val="fr-CA"/>
    </w:rPr>
  </w:style>
  <w:style w:type="character" w:styleId="CommentReference">
    <w:name w:val="annotation reference"/>
    <w:basedOn w:val="DefaultParagraphFont"/>
    <w:rsid w:val="006973AE"/>
    <w:rPr>
      <w:sz w:val="16"/>
      <w:szCs w:val="16"/>
    </w:rPr>
  </w:style>
  <w:style w:type="paragraph" w:styleId="CommentText">
    <w:name w:val="annotation text"/>
    <w:basedOn w:val="Normal"/>
    <w:link w:val="CommentTextChar"/>
    <w:rsid w:val="006973AE"/>
    <w:pPr>
      <w:spacing w:line="240" w:lineRule="auto"/>
    </w:pPr>
  </w:style>
  <w:style w:type="character" w:customStyle="1" w:styleId="CommentTextChar">
    <w:name w:val="Comment Text Char"/>
    <w:basedOn w:val="DefaultParagraphFont"/>
    <w:link w:val="CommentText"/>
    <w:rsid w:val="006973AE"/>
    <w:rPr>
      <w:lang w:val="fr-CH" w:eastAsia="en-US"/>
    </w:rPr>
  </w:style>
  <w:style w:type="paragraph" w:styleId="CommentSubject">
    <w:name w:val="annotation subject"/>
    <w:basedOn w:val="CommentText"/>
    <w:next w:val="CommentText"/>
    <w:link w:val="CommentSubjectChar"/>
    <w:rsid w:val="006973AE"/>
    <w:rPr>
      <w:b/>
      <w:bCs/>
    </w:rPr>
  </w:style>
  <w:style w:type="character" w:customStyle="1" w:styleId="CommentSubjectChar">
    <w:name w:val="Comment Subject Char"/>
    <w:basedOn w:val="CommentTextChar"/>
    <w:link w:val="CommentSubject"/>
    <w:rsid w:val="006973AE"/>
    <w:rPr>
      <w:b/>
      <w:bCs/>
      <w:lang w:val="fr-CH" w:eastAsia="en-US"/>
    </w:rPr>
  </w:style>
  <w:style w:type="paragraph" w:styleId="Revision">
    <w:name w:val="Revision"/>
    <w:hidden/>
    <w:uiPriority w:val="99"/>
    <w:semiHidden/>
    <w:rsid w:val="006973AE"/>
    <w:rPr>
      <w:lang w:val="fr-CH" w:eastAsia="en-US"/>
    </w:rPr>
  </w:style>
  <w:style w:type="paragraph" w:styleId="BalloonText">
    <w:name w:val="Balloon Text"/>
    <w:basedOn w:val="Normal"/>
    <w:link w:val="BalloonTextChar"/>
    <w:rsid w:val="006973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73AE"/>
    <w:rPr>
      <w:rFonts w:ascii="Tahoma" w:hAnsi="Tahoma" w:cs="Tahoma"/>
      <w:sz w:val="16"/>
      <w:szCs w:val="16"/>
      <w:lang w:val="fr-CH" w:eastAsia="en-US"/>
    </w:rPr>
  </w:style>
  <w:style w:type="paragraph" w:customStyle="1" w:styleId="H1">
    <w:name w:val="_ H_1"/>
    <w:basedOn w:val="Normal"/>
    <w:next w:val="Normal"/>
    <w:qFormat/>
    <w:rsid w:val="00117CD8"/>
    <w:pPr>
      <w:keepNext/>
      <w:keepLines/>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117CD8"/>
    <w:pPr>
      <w:spacing w:line="300" w:lineRule="exact"/>
    </w:pPr>
    <w:rPr>
      <w:spacing w:val="-2"/>
      <w:sz w:val="28"/>
    </w:rPr>
  </w:style>
  <w:style w:type="character" w:customStyle="1" w:styleId="H4GChar">
    <w:name w:val="_ H_4_G Char"/>
    <w:link w:val="H4G"/>
    <w:rsid w:val="00117CD8"/>
    <w:rPr>
      <w:i/>
      <w:lang w:val="fr-CH" w:eastAsia="en-US"/>
    </w:rPr>
  </w:style>
  <w:style w:type="paragraph" w:customStyle="1" w:styleId="ParNoG">
    <w:name w:val="_ParNo_G"/>
    <w:basedOn w:val="SingleTxtG"/>
    <w:link w:val="ParNoGCar"/>
    <w:qFormat/>
    <w:rsid w:val="00F91484"/>
    <w:pPr>
      <w:numPr>
        <w:numId w:val="8"/>
      </w:numPr>
    </w:pPr>
  </w:style>
  <w:style w:type="character" w:customStyle="1" w:styleId="ParNoGCar">
    <w:name w:val="_ParNo_G Car"/>
    <w:link w:val="ParNoG"/>
    <w:locked/>
    <w:rsid w:val="00F91484"/>
    <w:rPr>
      <w:lang w:val="fr-CH" w:eastAsia="en-US"/>
    </w:rPr>
  </w:style>
  <w:style w:type="character" w:customStyle="1" w:styleId="apple-converted-space">
    <w:name w:val="apple-converted-space"/>
    <w:rsid w:val="00332FC3"/>
  </w:style>
  <w:style w:type="paragraph" w:styleId="HTMLPreformatted">
    <w:name w:val="HTML Preformatted"/>
    <w:basedOn w:val="Normal"/>
    <w:link w:val="HTMLPreformattedChar"/>
    <w:semiHidden/>
    <w:unhideWhenUsed/>
    <w:rsid w:val="00FC426B"/>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FC426B"/>
    <w:rPr>
      <w:rFonts w:ascii="Consolas" w:hAnsi="Consolas" w:cs="Consola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0511">
      <w:bodyDiv w:val="1"/>
      <w:marLeft w:val="0"/>
      <w:marRight w:val="0"/>
      <w:marTop w:val="0"/>
      <w:marBottom w:val="0"/>
      <w:divBdr>
        <w:top w:val="none" w:sz="0" w:space="0" w:color="auto"/>
        <w:left w:val="none" w:sz="0" w:space="0" w:color="auto"/>
        <w:bottom w:val="none" w:sz="0" w:space="0" w:color="auto"/>
        <w:right w:val="none" w:sz="0" w:space="0" w:color="auto"/>
      </w:divBdr>
    </w:div>
    <w:div w:id="483477037">
      <w:bodyDiv w:val="1"/>
      <w:marLeft w:val="0"/>
      <w:marRight w:val="0"/>
      <w:marTop w:val="0"/>
      <w:marBottom w:val="0"/>
      <w:divBdr>
        <w:top w:val="none" w:sz="0" w:space="0" w:color="auto"/>
        <w:left w:val="none" w:sz="0" w:space="0" w:color="auto"/>
        <w:bottom w:val="none" w:sz="0" w:space="0" w:color="auto"/>
        <w:right w:val="none" w:sz="0" w:space="0" w:color="auto"/>
      </w:divBdr>
    </w:div>
    <w:div w:id="784618066">
      <w:bodyDiv w:val="1"/>
      <w:marLeft w:val="0"/>
      <w:marRight w:val="0"/>
      <w:marTop w:val="0"/>
      <w:marBottom w:val="0"/>
      <w:divBdr>
        <w:top w:val="none" w:sz="0" w:space="0" w:color="auto"/>
        <w:left w:val="none" w:sz="0" w:space="0" w:color="auto"/>
        <w:bottom w:val="none" w:sz="0" w:space="0" w:color="auto"/>
        <w:right w:val="none" w:sz="0" w:space="0" w:color="auto"/>
      </w:divBdr>
    </w:div>
    <w:div w:id="1461801313">
      <w:bodyDiv w:val="1"/>
      <w:marLeft w:val="0"/>
      <w:marRight w:val="0"/>
      <w:marTop w:val="0"/>
      <w:marBottom w:val="0"/>
      <w:divBdr>
        <w:top w:val="none" w:sz="0" w:space="0" w:color="auto"/>
        <w:left w:val="none" w:sz="0" w:space="0" w:color="auto"/>
        <w:bottom w:val="none" w:sz="0" w:space="0" w:color="auto"/>
        <w:right w:val="none" w:sz="0" w:space="0" w:color="auto"/>
      </w:divBdr>
    </w:div>
    <w:div w:id="16044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22C5-EA01-41EC-BDC2-41D391FA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73</TotalTime>
  <Pages>15</Pages>
  <Words>4718</Words>
  <Characters>26898</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barrio-champeau</cp:lastModifiedBy>
  <cp:revision>18</cp:revision>
  <cp:lastPrinted>2016-11-30T14:23:00Z</cp:lastPrinted>
  <dcterms:created xsi:type="dcterms:W3CDTF">2016-11-16T10:30:00Z</dcterms:created>
  <dcterms:modified xsi:type="dcterms:W3CDTF">2016-11-30T14:26:00Z</dcterms:modified>
</cp:coreProperties>
</file>