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B12A2C">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12A2C" w:rsidP="00B12A2C">
            <w:pPr>
              <w:jc w:val="right"/>
            </w:pPr>
            <w:r w:rsidRPr="00B12A2C">
              <w:rPr>
                <w:sz w:val="40"/>
              </w:rPr>
              <w:t>ECE</w:t>
            </w:r>
            <w:r>
              <w:t>/TRANS/WP.15/2016/10</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12A2C" w:rsidP="00892A2F">
            <w:pPr>
              <w:spacing w:before="240"/>
            </w:pPr>
            <w:r>
              <w:t>Distr. générale</w:t>
            </w:r>
          </w:p>
          <w:p w:rsidR="00B12A2C" w:rsidRDefault="00B12A2C" w:rsidP="00B12A2C">
            <w:pPr>
              <w:spacing w:line="240" w:lineRule="exact"/>
            </w:pPr>
            <w:r>
              <w:t>22 août 2016</w:t>
            </w:r>
          </w:p>
          <w:p w:rsidR="00B12A2C" w:rsidRDefault="00B12A2C" w:rsidP="00B12A2C">
            <w:pPr>
              <w:spacing w:line="240" w:lineRule="exact"/>
            </w:pPr>
            <w:r>
              <w:t>Français</w:t>
            </w:r>
          </w:p>
          <w:p w:rsidR="00B12A2C" w:rsidRPr="00DB58B5" w:rsidRDefault="00B12A2C" w:rsidP="00B12A2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FA411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B12A2C" w:rsidRPr="009E01B8" w:rsidRDefault="00B12A2C" w:rsidP="00E85C74">
      <w:pPr>
        <w:spacing w:before="120"/>
        <w:rPr>
          <w:b/>
          <w:sz w:val="24"/>
          <w:szCs w:val="24"/>
        </w:rPr>
      </w:pPr>
      <w:r w:rsidRPr="009E01B8">
        <w:rPr>
          <w:b/>
          <w:sz w:val="24"/>
          <w:szCs w:val="24"/>
        </w:rPr>
        <w:t>Groupe de travail des transports de marchandises dangereuses</w:t>
      </w:r>
    </w:p>
    <w:p w:rsidR="00B12A2C" w:rsidRPr="00992778" w:rsidRDefault="00B12A2C" w:rsidP="00E85C74">
      <w:pPr>
        <w:spacing w:before="120"/>
        <w:rPr>
          <w:b/>
        </w:rPr>
      </w:pPr>
      <w:r>
        <w:rPr>
          <w:b/>
        </w:rPr>
        <w:t>101</w:t>
      </w:r>
      <w:r w:rsidRPr="00B12A2C">
        <w:rPr>
          <w:b/>
          <w:vertAlign w:val="superscript"/>
        </w:rPr>
        <w:t>e</w:t>
      </w:r>
      <w:r>
        <w:rPr>
          <w:b/>
        </w:rPr>
        <w:t xml:space="preserve"> </w:t>
      </w:r>
      <w:r w:rsidRPr="00992778">
        <w:rPr>
          <w:b/>
        </w:rPr>
        <w:t>session</w:t>
      </w:r>
    </w:p>
    <w:p w:rsidR="00B12A2C" w:rsidRDefault="00B12A2C" w:rsidP="00E85C74">
      <w:r>
        <w:t>Genève, 8-</w:t>
      </w:r>
      <w:r w:rsidRPr="00B12A2C">
        <w:t xml:space="preserve">11 novembre 2016 </w:t>
      </w:r>
    </w:p>
    <w:p w:rsidR="00B12A2C" w:rsidRDefault="00B12A2C" w:rsidP="00E85C74">
      <w:r>
        <w:t>Point 5 b)</w:t>
      </w:r>
      <w:r w:rsidRPr="00B93E72">
        <w:t xml:space="preserve"> de l</w:t>
      </w:r>
      <w:r w:rsidR="00FA4113">
        <w:t>’</w:t>
      </w:r>
      <w:r w:rsidRPr="00B93E72">
        <w:t>ordre du jour provisoire</w:t>
      </w:r>
    </w:p>
    <w:p w:rsidR="00B12A2C" w:rsidRPr="00B12A2C" w:rsidRDefault="00B12A2C" w:rsidP="00B12A2C">
      <w:pPr>
        <w:rPr>
          <w:b/>
        </w:rPr>
      </w:pPr>
      <w:r w:rsidRPr="00B12A2C">
        <w:rPr>
          <w:b/>
        </w:rPr>
        <w:t>Propositions d</w:t>
      </w:r>
      <w:r w:rsidR="00FA4113">
        <w:rPr>
          <w:b/>
        </w:rPr>
        <w:t>’</w:t>
      </w:r>
      <w:r w:rsidRPr="00B12A2C">
        <w:rPr>
          <w:b/>
        </w:rPr>
        <w:t>amendement aux a</w:t>
      </w:r>
      <w:r>
        <w:rPr>
          <w:b/>
        </w:rPr>
        <w:t>nnexes </w:t>
      </w:r>
      <w:r w:rsidRPr="00B12A2C">
        <w:rPr>
          <w:b/>
        </w:rPr>
        <w:t>A et</w:t>
      </w:r>
      <w:r>
        <w:rPr>
          <w:b/>
        </w:rPr>
        <w:t> </w:t>
      </w:r>
      <w:r w:rsidRPr="00B12A2C">
        <w:rPr>
          <w:b/>
        </w:rPr>
        <w:t>B de l</w:t>
      </w:r>
      <w:r w:rsidR="00FA4113">
        <w:rPr>
          <w:b/>
        </w:rPr>
        <w:t>’</w:t>
      </w:r>
      <w:r w:rsidRPr="00B12A2C">
        <w:rPr>
          <w:b/>
        </w:rPr>
        <w:t>ADR</w:t>
      </w:r>
      <w:r>
        <w:rPr>
          <w:b/>
        </w:rPr>
        <w:t> </w:t>
      </w:r>
      <w:r w:rsidRPr="00B12A2C">
        <w:rPr>
          <w:b/>
        </w:rPr>
        <w:t>:</w:t>
      </w:r>
    </w:p>
    <w:p w:rsidR="00F9573C" w:rsidRDefault="00B12A2C" w:rsidP="00B12A2C">
      <w:pPr>
        <w:rPr>
          <w:b/>
        </w:rPr>
      </w:pPr>
      <w:proofErr w:type="gramStart"/>
      <w:r w:rsidRPr="00B12A2C">
        <w:rPr>
          <w:b/>
        </w:rPr>
        <w:t>propositions</w:t>
      </w:r>
      <w:proofErr w:type="gramEnd"/>
      <w:r w:rsidRPr="00B12A2C">
        <w:rPr>
          <w:b/>
        </w:rPr>
        <w:t xml:space="preserve"> diverses</w:t>
      </w:r>
    </w:p>
    <w:p w:rsidR="00B12A2C" w:rsidRPr="00B12A2C" w:rsidRDefault="00B12A2C" w:rsidP="00B12A2C">
      <w:pPr>
        <w:pStyle w:val="HChG"/>
      </w:pPr>
      <w:bookmarkStart w:id="1" w:name="OLE_LINK3"/>
      <w:bookmarkStart w:id="2" w:name="OLE_LINK4"/>
      <w:r>
        <w:tab/>
      </w:r>
      <w:r>
        <w:tab/>
      </w:r>
      <w:r w:rsidRPr="00B12A2C">
        <w:t xml:space="preserve">Paragraphe 5.4.1.1.1 f) et transport selon les termes </w:t>
      </w:r>
      <w:r>
        <w:br/>
      </w:r>
      <w:r w:rsidRPr="00B12A2C">
        <w:t>du paragraphe 1.1.3.6</w:t>
      </w:r>
      <w:bookmarkEnd w:id="1"/>
      <w:bookmarkEnd w:id="2"/>
    </w:p>
    <w:p w:rsidR="00B12A2C" w:rsidRDefault="00B12A2C" w:rsidP="00B12A2C">
      <w:pPr>
        <w:pStyle w:val="H1G"/>
      </w:pPr>
      <w:r w:rsidRPr="00B12A2C">
        <w:tab/>
      </w:r>
      <w:r w:rsidRPr="00B12A2C">
        <w:tab/>
        <w:t>Communication du Gouvernement suédois</w:t>
      </w:r>
      <w:r w:rsidRPr="00B12A2C">
        <w:rPr>
          <w:rStyle w:val="FootnoteReference"/>
          <w:b w:val="0"/>
        </w:rPr>
        <w:footnoteReference w:id="2"/>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12A2C" w:rsidTr="00216E0F">
        <w:trPr>
          <w:jc w:val="center"/>
        </w:trPr>
        <w:tc>
          <w:tcPr>
            <w:tcW w:w="9637" w:type="dxa"/>
            <w:shd w:val="clear" w:color="auto" w:fill="auto"/>
          </w:tcPr>
          <w:p w:rsidR="00B12A2C" w:rsidRPr="000001E7" w:rsidRDefault="00B12A2C" w:rsidP="00216E0F">
            <w:pPr>
              <w:spacing w:before="240" w:after="120"/>
              <w:ind w:left="255"/>
              <w:rPr>
                <w:i/>
                <w:sz w:val="24"/>
              </w:rPr>
            </w:pPr>
            <w:r w:rsidRPr="000001E7">
              <w:rPr>
                <w:i/>
                <w:sz w:val="24"/>
              </w:rPr>
              <w:t>Résumé</w:t>
            </w:r>
          </w:p>
        </w:tc>
      </w:tr>
      <w:tr w:rsidR="00B12A2C" w:rsidRPr="00A10762" w:rsidTr="00216E0F">
        <w:trPr>
          <w:jc w:val="center"/>
        </w:trPr>
        <w:tc>
          <w:tcPr>
            <w:tcW w:w="9637" w:type="dxa"/>
            <w:shd w:val="clear" w:color="auto" w:fill="auto"/>
          </w:tcPr>
          <w:p w:rsidR="00B12A2C" w:rsidRPr="00A10762" w:rsidRDefault="00B12A2C" w:rsidP="00B12A2C">
            <w:pPr>
              <w:pStyle w:val="SingleTxtG"/>
              <w:ind w:left="3402" w:hanging="2268"/>
              <w:rPr>
                <w:sz w:val="19"/>
                <w:szCs w:val="19"/>
              </w:rPr>
            </w:pPr>
            <w:r w:rsidRPr="00A10762">
              <w:rPr>
                <w:b/>
                <w:sz w:val="19"/>
                <w:szCs w:val="19"/>
              </w:rPr>
              <w:t>Résumé analytique </w:t>
            </w:r>
            <w:r w:rsidRPr="00A10762">
              <w:rPr>
                <w:sz w:val="19"/>
                <w:szCs w:val="19"/>
              </w:rPr>
              <w:t>:</w:t>
            </w:r>
            <w:r w:rsidRPr="00A10762">
              <w:rPr>
                <w:sz w:val="19"/>
                <w:szCs w:val="19"/>
              </w:rPr>
              <w:tab/>
              <w:t>Lorsque le</w:t>
            </w:r>
            <w:r w:rsidR="00F20AF0" w:rsidRPr="00A10762">
              <w:rPr>
                <w:sz w:val="19"/>
                <w:szCs w:val="19"/>
              </w:rPr>
              <w:t> </w:t>
            </w:r>
            <w:r w:rsidRPr="00A10762">
              <w:rPr>
                <w:sz w:val="19"/>
                <w:szCs w:val="19"/>
              </w:rPr>
              <w:t xml:space="preserve">1.1.3.6 </w:t>
            </w:r>
            <w:proofErr w:type="gramStart"/>
            <w:r w:rsidRPr="00A10762">
              <w:rPr>
                <w:sz w:val="19"/>
                <w:szCs w:val="19"/>
              </w:rPr>
              <w:t>s</w:t>
            </w:r>
            <w:r w:rsidR="00FA4113" w:rsidRPr="00A10762">
              <w:rPr>
                <w:sz w:val="19"/>
                <w:szCs w:val="19"/>
              </w:rPr>
              <w:t>’</w:t>
            </w:r>
            <w:r w:rsidRPr="00A10762">
              <w:rPr>
                <w:sz w:val="19"/>
                <w:szCs w:val="19"/>
              </w:rPr>
              <w:t>applique</w:t>
            </w:r>
            <w:proofErr w:type="gramEnd"/>
            <w:r w:rsidRPr="00A10762">
              <w:rPr>
                <w:sz w:val="19"/>
                <w:szCs w:val="19"/>
              </w:rPr>
              <w:t>, il serait plus simple pour toutes les parties au transport que la quantité totale ainsi que la quantité pondérée selon le 1.1.3.6.4 et la catégorie de transport soient indiqués dans le document de transport.</w:t>
            </w:r>
          </w:p>
        </w:tc>
      </w:tr>
      <w:tr w:rsidR="00B12A2C" w:rsidRPr="00A10762" w:rsidTr="00216E0F">
        <w:trPr>
          <w:jc w:val="center"/>
        </w:trPr>
        <w:tc>
          <w:tcPr>
            <w:tcW w:w="9637" w:type="dxa"/>
            <w:shd w:val="clear" w:color="auto" w:fill="auto"/>
          </w:tcPr>
          <w:p w:rsidR="00B12A2C" w:rsidRPr="00A10762" w:rsidRDefault="00B12A2C" w:rsidP="00216E0F">
            <w:pPr>
              <w:pStyle w:val="SingleTxtG"/>
              <w:rPr>
                <w:sz w:val="19"/>
                <w:szCs w:val="19"/>
              </w:rPr>
            </w:pPr>
            <w:r w:rsidRPr="00A10762">
              <w:rPr>
                <w:b/>
                <w:sz w:val="19"/>
                <w:szCs w:val="19"/>
              </w:rPr>
              <w:t>Mesure à prendre</w:t>
            </w:r>
            <w:r w:rsidR="00335C90" w:rsidRPr="00A10762">
              <w:rPr>
                <w:b/>
                <w:sz w:val="19"/>
                <w:szCs w:val="19"/>
              </w:rPr>
              <w:t> </w:t>
            </w:r>
            <w:r w:rsidRPr="00A10762">
              <w:rPr>
                <w:sz w:val="19"/>
                <w:szCs w:val="19"/>
              </w:rPr>
              <w:t>:</w:t>
            </w:r>
            <w:r w:rsidRPr="00A10762">
              <w:rPr>
                <w:sz w:val="19"/>
                <w:szCs w:val="19"/>
              </w:rPr>
              <w:tab/>
            </w:r>
            <w:r w:rsidRPr="00A10762">
              <w:rPr>
                <w:sz w:val="19"/>
                <w:szCs w:val="19"/>
              </w:rPr>
              <w:tab/>
              <w:t>Modifier les parties pertinentes des 1.1.3.6 et 5.4.1.1.1 f).</w:t>
            </w:r>
          </w:p>
        </w:tc>
      </w:tr>
      <w:tr w:rsidR="00B12A2C" w:rsidRPr="00A10762" w:rsidTr="00216E0F">
        <w:trPr>
          <w:jc w:val="center"/>
        </w:trPr>
        <w:tc>
          <w:tcPr>
            <w:tcW w:w="9637" w:type="dxa"/>
            <w:shd w:val="clear" w:color="auto" w:fill="auto"/>
          </w:tcPr>
          <w:p w:rsidR="00B12A2C" w:rsidRPr="00A10762" w:rsidRDefault="00B12A2C" w:rsidP="00F20AF0">
            <w:pPr>
              <w:pStyle w:val="SingleTxtG"/>
              <w:ind w:left="3402" w:hanging="2268"/>
              <w:jc w:val="left"/>
              <w:rPr>
                <w:sz w:val="19"/>
                <w:szCs w:val="19"/>
              </w:rPr>
            </w:pPr>
            <w:r w:rsidRPr="00A10762">
              <w:rPr>
                <w:b/>
                <w:sz w:val="19"/>
                <w:szCs w:val="19"/>
              </w:rPr>
              <w:t>Documents de référence</w:t>
            </w:r>
            <w:r w:rsidR="00335C90" w:rsidRPr="00A10762">
              <w:rPr>
                <w:b/>
                <w:sz w:val="19"/>
                <w:szCs w:val="19"/>
              </w:rPr>
              <w:t> </w:t>
            </w:r>
            <w:r w:rsidRPr="00A10762">
              <w:rPr>
                <w:sz w:val="19"/>
                <w:szCs w:val="19"/>
              </w:rPr>
              <w:t>:</w:t>
            </w:r>
            <w:r w:rsidRPr="00A10762">
              <w:rPr>
                <w:sz w:val="19"/>
                <w:szCs w:val="19"/>
              </w:rPr>
              <w:tab/>
              <w:t xml:space="preserve">ECE/TRANS/WP.15/2015/14 (IRU) ; </w:t>
            </w:r>
            <w:r w:rsidRPr="00A10762">
              <w:rPr>
                <w:sz w:val="19"/>
                <w:szCs w:val="19"/>
              </w:rPr>
              <w:br/>
              <w:t xml:space="preserve">Document informel INF.10 (CEFIC) de la quatre-vingt-dix-neuvième session du WP.15 ; </w:t>
            </w:r>
            <w:r w:rsidRPr="00A10762">
              <w:rPr>
                <w:sz w:val="19"/>
                <w:szCs w:val="19"/>
              </w:rPr>
              <w:br/>
              <w:t xml:space="preserve">ECE/TRANS/WP.15/230, rapport de la quatre-vingt-dix-neuvième session du WP.15 ; </w:t>
            </w:r>
            <w:r w:rsidRPr="00A10762">
              <w:rPr>
                <w:sz w:val="19"/>
                <w:szCs w:val="19"/>
              </w:rPr>
              <w:br/>
              <w:t xml:space="preserve">ECE/TRANS/WP.15/2016/3 (IRU) ; </w:t>
            </w:r>
            <w:r w:rsidRPr="00A10762">
              <w:rPr>
                <w:sz w:val="19"/>
                <w:szCs w:val="19"/>
              </w:rPr>
              <w:br/>
            </w:r>
            <w:r w:rsidRPr="00A10762">
              <w:rPr>
                <w:spacing w:val="-3"/>
                <w:sz w:val="19"/>
                <w:szCs w:val="19"/>
              </w:rPr>
              <w:t>Document informel INF.24 (Suède) de la 100</w:t>
            </w:r>
            <w:r w:rsidRPr="00A10762">
              <w:rPr>
                <w:spacing w:val="-3"/>
                <w:sz w:val="19"/>
                <w:szCs w:val="19"/>
                <w:vertAlign w:val="superscript"/>
              </w:rPr>
              <w:t>e</w:t>
            </w:r>
            <w:r w:rsidRPr="00A10762">
              <w:rPr>
                <w:spacing w:val="-3"/>
                <w:sz w:val="19"/>
                <w:szCs w:val="19"/>
              </w:rPr>
              <w:t> session du WP.15</w:t>
            </w:r>
            <w:r w:rsidR="00F41E56" w:rsidRPr="00A10762">
              <w:rPr>
                <w:spacing w:val="-3"/>
                <w:sz w:val="19"/>
                <w:szCs w:val="19"/>
              </w:rPr>
              <w:t> </w:t>
            </w:r>
            <w:proofErr w:type="gramStart"/>
            <w:r w:rsidR="00F41E56" w:rsidRPr="00A10762">
              <w:rPr>
                <w:spacing w:val="-3"/>
                <w:sz w:val="19"/>
                <w:szCs w:val="19"/>
              </w:rPr>
              <w:t>;</w:t>
            </w:r>
            <w:proofErr w:type="gramEnd"/>
            <w:r w:rsidR="00F41E56" w:rsidRPr="00A10762">
              <w:rPr>
                <w:spacing w:val="-3"/>
                <w:sz w:val="19"/>
                <w:szCs w:val="19"/>
              </w:rPr>
              <w:br/>
            </w:r>
            <w:r w:rsidRPr="00A10762">
              <w:rPr>
                <w:sz w:val="19"/>
                <w:szCs w:val="19"/>
              </w:rPr>
              <w:t>ECE/TRANS/WP.15/233, rapport de la 100</w:t>
            </w:r>
            <w:r w:rsidRPr="00A10762">
              <w:rPr>
                <w:sz w:val="19"/>
                <w:szCs w:val="19"/>
                <w:vertAlign w:val="superscript"/>
              </w:rPr>
              <w:t>e</w:t>
            </w:r>
            <w:r w:rsidRPr="00A10762">
              <w:rPr>
                <w:sz w:val="19"/>
                <w:szCs w:val="19"/>
              </w:rPr>
              <w:t> session du</w:t>
            </w:r>
            <w:r w:rsidR="00F20AF0" w:rsidRPr="00A10762">
              <w:rPr>
                <w:sz w:val="19"/>
                <w:szCs w:val="19"/>
              </w:rPr>
              <w:t> </w:t>
            </w:r>
            <w:r w:rsidRPr="00A10762">
              <w:rPr>
                <w:sz w:val="19"/>
                <w:szCs w:val="19"/>
              </w:rPr>
              <w:t>WP.15.</w:t>
            </w:r>
          </w:p>
        </w:tc>
      </w:tr>
      <w:tr w:rsidR="00B12A2C" w:rsidTr="00216E0F">
        <w:trPr>
          <w:jc w:val="center"/>
        </w:trPr>
        <w:tc>
          <w:tcPr>
            <w:tcW w:w="9637" w:type="dxa"/>
            <w:shd w:val="clear" w:color="auto" w:fill="auto"/>
          </w:tcPr>
          <w:p w:rsidR="00B12A2C" w:rsidRDefault="00B12A2C" w:rsidP="00216E0F"/>
        </w:tc>
      </w:tr>
    </w:tbl>
    <w:p w:rsidR="00B12A2C" w:rsidRPr="007928E6" w:rsidRDefault="00B12A2C" w:rsidP="00B12A2C">
      <w:pPr>
        <w:pStyle w:val="HChG"/>
        <w:rPr>
          <w:rFonts w:eastAsiaTheme="minorHAnsi"/>
        </w:rPr>
      </w:pPr>
      <w:r>
        <w:rPr>
          <w:rFonts w:eastAsiaTheme="minorHAnsi"/>
        </w:rPr>
        <w:lastRenderedPageBreak/>
        <w:tab/>
      </w:r>
      <w:r>
        <w:rPr>
          <w:rFonts w:eastAsiaTheme="minorHAnsi"/>
        </w:rPr>
        <w:tab/>
      </w:r>
      <w:r w:rsidRPr="007928E6">
        <w:rPr>
          <w:rFonts w:eastAsiaTheme="minorHAnsi"/>
        </w:rPr>
        <w:t>Introduction</w:t>
      </w:r>
    </w:p>
    <w:p w:rsidR="00B12A2C" w:rsidRPr="007928E6" w:rsidRDefault="00B12A2C" w:rsidP="00B12A2C">
      <w:pPr>
        <w:pStyle w:val="SingleTxtG"/>
        <w:rPr>
          <w:rFonts w:eastAsiaTheme="minorHAnsi"/>
        </w:rPr>
      </w:pPr>
      <w:r w:rsidRPr="007928E6">
        <w:rPr>
          <w:rFonts w:eastAsiaTheme="minorHAnsi"/>
        </w:rPr>
        <w:t>1.</w:t>
      </w:r>
      <w:r w:rsidRPr="007928E6">
        <w:rPr>
          <w:rFonts w:eastAsiaTheme="minorHAnsi"/>
        </w:rPr>
        <w:tab/>
      </w:r>
      <w:r>
        <w:rPr>
          <w:rFonts w:eastAsiaTheme="minorHAnsi"/>
        </w:rPr>
        <w:t>À la dernière</w:t>
      </w:r>
      <w:r w:rsidRPr="007928E6">
        <w:rPr>
          <w:rFonts w:eastAsiaTheme="minorHAnsi"/>
        </w:rPr>
        <w:t xml:space="preserve"> session </w:t>
      </w:r>
      <w:r>
        <w:rPr>
          <w:rFonts w:eastAsiaTheme="minorHAnsi"/>
        </w:rPr>
        <w:t>du Groupe de travail, l</w:t>
      </w:r>
      <w:r w:rsidR="00FA4113">
        <w:rPr>
          <w:rFonts w:eastAsiaTheme="minorHAnsi"/>
        </w:rPr>
        <w:t>’</w:t>
      </w:r>
      <w:r w:rsidRPr="007928E6">
        <w:rPr>
          <w:rFonts w:eastAsiaTheme="minorHAnsi"/>
        </w:rPr>
        <w:t xml:space="preserve">IRU </w:t>
      </w:r>
      <w:r>
        <w:rPr>
          <w:rFonts w:eastAsiaTheme="minorHAnsi"/>
        </w:rPr>
        <w:t>a présenté le</w:t>
      </w:r>
      <w:r w:rsidRPr="007928E6">
        <w:rPr>
          <w:rFonts w:eastAsiaTheme="minorHAnsi"/>
        </w:rPr>
        <w:t xml:space="preserve"> document ECE/TRANS/WP.15/2016/3 </w:t>
      </w:r>
      <w:r>
        <w:rPr>
          <w:rFonts w:eastAsiaTheme="minorHAnsi"/>
        </w:rPr>
        <w:t>où figurait une proposition visant à prescrire que, lorsque le </w:t>
      </w:r>
      <w:r w:rsidRPr="007928E6">
        <w:rPr>
          <w:rFonts w:eastAsiaTheme="minorHAnsi"/>
        </w:rPr>
        <w:t>1.1.3.6</w:t>
      </w:r>
      <w:r>
        <w:rPr>
          <w:rFonts w:eastAsiaTheme="minorHAnsi"/>
        </w:rPr>
        <w:t xml:space="preserve"> </w:t>
      </w:r>
      <w:proofErr w:type="gramStart"/>
      <w:r>
        <w:rPr>
          <w:rFonts w:eastAsiaTheme="minorHAnsi"/>
        </w:rPr>
        <w:t>est</w:t>
      </w:r>
      <w:proofErr w:type="gramEnd"/>
      <w:r>
        <w:rPr>
          <w:rFonts w:eastAsiaTheme="minorHAnsi"/>
        </w:rPr>
        <w:t xml:space="preserve"> appliqué, soient consignées dans le document de transport la quantité totale de matières dangereuses pour chaque catégorie de</w:t>
      </w:r>
      <w:r w:rsidR="00166C50">
        <w:rPr>
          <w:rFonts w:eastAsiaTheme="minorHAnsi"/>
        </w:rPr>
        <w:t xml:space="preserve"> transport</w:t>
      </w:r>
      <w:r w:rsidRPr="007928E6">
        <w:rPr>
          <w:rFonts w:eastAsiaTheme="minorHAnsi"/>
        </w:rPr>
        <w:t xml:space="preserve"> </w:t>
      </w:r>
      <w:r>
        <w:rPr>
          <w:rFonts w:eastAsiaTheme="minorHAnsi"/>
        </w:rPr>
        <w:t>ainsi que la somme des quantités pondérées y correspondant. La Suède, favorable au princip</w:t>
      </w:r>
      <w:r w:rsidRPr="007928E6">
        <w:rPr>
          <w:rFonts w:eastAsiaTheme="minorHAnsi"/>
        </w:rPr>
        <w:t xml:space="preserve">e </w:t>
      </w:r>
      <w:r>
        <w:rPr>
          <w:rFonts w:eastAsiaTheme="minorHAnsi"/>
        </w:rPr>
        <w:t>de la proposition de l</w:t>
      </w:r>
      <w:r w:rsidR="00FA4113">
        <w:rPr>
          <w:rFonts w:eastAsiaTheme="minorHAnsi"/>
        </w:rPr>
        <w:t>’</w:t>
      </w:r>
      <w:r>
        <w:rPr>
          <w:rFonts w:eastAsiaTheme="minorHAnsi"/>
        </w:rPr>
        <w:t>IRU, a proposé une</w:t>
      </w:r>
      <w:r w:rsidRPr="007928E6">
        <w:rPr>
          <w:rFonts w:eastAsiaTheme="minorHAnsi"/>
        </w:rPr>
        <w:t xml:space="preserve"> </w:t>
      </w:r>
      <w:r>
        <w:rPr>
          <w:rFonts w:eastAsiaTheme="minorHAnsi"/>
        </w:rPr>
        <w:t xml:space="preserve">autre </w:t>
      </w:r>
      <w:r w:rsidRPr="007928E6">
        <w:rPr>
          <w:rFonts w:eastAsiaTheme="minorHAnsi"/>
        </w:rPr>
        <w:t xml:space="preserve">solution </w:t>
      </w:r>
      <w:r>
        <w:rPr>
          <w:rFonts w:eastAsiaTheme="minorHAnsi"/>
        </w:rPr>
        <w:t xml:space="preserve">dans le </w:t>
      </w:r>
      <w:r w:rsidRPr="007928E6">
        <w:rPr>
          <w:rFonts w:eastAsiaTheme="minorHAnsi"/>
        </w:rPr>
        <w:t xml:space="preserve">document </w:t>
      </w:r>
      <w:r>
        <w:rPr>
          <w:rFonts w:eastAsiaTheme="minorHAnsi"/>
        </w:rPr>
        <w:t xml:space="preserve">informel </w:t>
      </w:r>
      <w:r w:rsidRPr="007928E6">
        <w:rPr>
          <w:rFonts w:eastAsiaTheme="minorHAnsi"/>
        </w:rPr>
        <w:t>INF.24.</w:t>
      </w:r>
    </w:p>
    <w:p w:rsidR="00B12A2C" w:rsidRPr="007928E6" w:rsidRDefault="00B12A2C" w:rsidP="00B12A2C">
      <w:pPr>
        <w:pStyle w:val="SingleTxtG"/>
        <w:rPr>
          <w:rFonts w:eastAsiaTheme="minorHAnsi"/>
        </w:rPr>
      </w:pPr>
      <w:r w:rsidRPr="007928E6">
        <w:rPr>
          <w:rFonts w:eastAsiaTheme="minorHAnsi"/>
        </w:rPr>
        <w:t>2.</w:t>
      </w:r>
      <w:r w:rsidRPr="007928E6">
        <w:rPr>
          <w:rFonts w:eastAsiaTheme="minorHAnsi"/>
        </w:rPr>
        <w:tab/>
      </w:r>
      <w:r>
        <w:rPr>
          <w:rFonts w:eastAsiaTheme="minorHAnsi"/>
        </w:rPr>
        <w:t>Pendant les débats, certains ont fait valoir qu</w:t>
      </w:r>
      <w:r w:rsidR="00FA4113">
        <w:rPr>
          <w:rFonts w:eastAsiaTheme="minorHAnsi"/>
        </w:rPr>
        <w:t>’</w:t>
      </w:r>
      <w:r>
        <w:rPr>
          <w:rFonts w:eastAsiaTheme="minorHAnsi"/>
        </w:rPr>
        <w:t xml:space="preserve">il serait utile, pour toutes les parties à une opération de transport, que la </w:t>
      </w:r>
      <w:r w:rsidRPr="00143DF6">
        <w:rPr>
          <w:rFonts w:eastAsiaTheme="minorHAnsi"/>
        </w:rPr>
        <w:t xml:space="preserve">valeur </w:t>
      </w:r>
      <w:r>
        <w:rPr>
          <w:rFonts w:eastAsiaTheme="minorHAnsi"/>
        </w:rPr>
        <w:t xml:space="preserve">pondérée correspondant à la quantité totale des marchandises soit renseignée dans le document de transport, lorsque le 1.1.3.6 </w:t>
      </w:r>
      <w:proofErr w:type="gramStart"/>
      <w:r>
        <w:rPr>
          <w:rFonts w:eastAsiaTheme="minorHAnsi"/>
        </w:rPr>
        <w:t>s</w:t>
      </w:r>
      <w:r w:rsidR="00FA4113">
        <w:rPr>
          <w:rFonts w:eastAsiaTheme="minorHAnsi"/>
        </w:rPr>
        <w:t>’</w:t>
      </w:r>
      <w:r>
        <w:rPr>
          <w:rFonts w:eastAsiaTheme="minorHAnsi"/>
        </w:rPr>
        <w:t>applique</w:t>
      </w:r>
      <w:proofErr w:type="gramEnd"/>
      <w:r w:rsidRPr="007928E6">
        <w:rPr>
          <w:rFonts w:eastAsiaTheme="minorHAnsi"/>
        </w:rPr>
        <w:t xml:space="preserve">. </w:t>
      </w:r>
      <w:r>
        <w:rPr>
          <w:rFonts w:eastAsiaTheme="minorHAnsi"/>
        </w:rPr>
        <w:t xml:space="preserve">Pour tenir compte des différentes opinions exprimées pendant la réunion, il conviendrait de soumettre un </w:t>
      </w:r>
      <w:r w:rsidRPr="007928E6">
        <w:rPr>
          <w:rFonts w:eastAsiaTheme="minorHAnsi"/>
        </w:rPr>
        <w:t xml:space="preserve">document </w:t>
      </w:r>
      <w:r>
        <w:rPr>
          <w:rFonts w:eastAsiaTheme="minorHAnsi"/>
        </w:rPr>
        <w:t>révisé lors d</w:t>
      </w:r>
      <w:r w:rsidR="00FA4113">
        <w:rPr>
          <w:rFonts w:eastAsiaTheme="minorHAnsi"/>
        </w:rPr>
        <w:t>’</w:t>
      </w:r>
      <w:r>
        <w:rPr>
          <w:rFonts w:eastAsiaTheme="minorHAnsi"/>
        </w:rPr>
        <w:t>une session ultérieure</w:t>
      </w:r>
      <w:r w:rsidRPr="007928E6">
        <w:rPr>
          <w:rFonts w:eastAsiaTheme="minorHAnsi"/>
        </w:rPr>
        <w:t>.</w:t>
      </w:r>
    </w:p>
    <w:p w:rsidR="00B12A2C" w:rsidRPr="007928E6" w:rsidRDefault="00B12A2C" w:rsidP="00B12A2C">
      <w:pPr>
        <w:pStyle w:val="HChG"/>
        <w:rPr>
          <w:rFonts w:eastAsiaTheme="minorHAnsi"/>
        </w:rPr>
      </w:pPr>
      <w:r w:rsidRPr="007928E6">
        <w:rPr>
          <w:rFonts w:eastAsiaTheme="minorHAnsi"/>
        </w:rPr>
        <w:tab/>
      </w:r>
      <w:r w:rsidRPr="007928E6">
        <w:rPr>
          <w:rFonts w:eastAsiaTheme="minorHAnsi"/>
        </w:rPr>
        <w:tab/>
      </w:r>
      <w:r>
        <w:rPr>
          <w:rFonts w:eastAsiaTheme="minorHAnsi"/>
        </w:rPr>
        <w:t>Généralités</w:t>
      </w:r>
    </w:p>
    <w:p w:rsidR="00B12A2C" w:rsidRPr="007928E6" w:rsidRDefault="00B12A2C" w:rsidP="00B12A2C">
      <w:pPr>
        <w:pStyle w:val="SingleTxtG"/>
        <w:rPr>
          <w:rFonts w:eastAsiaTheme="minorHAnsi"/>
        </w:rPr>
      </w:pPr>
      <w:r w:rsidRPr="007928E6">
        <w:rPr>
          <w:rFonts w:eastAsiaTheme="minorHAnsi"/>
        </w:rPr>
        <w:t>3.</w:t>
      </w:r>
      <w:r w:rsidRPr="007928E6">
        <w:rPr>
          <w:rFonts w:eastAsiaTheme="minorHAnsi"/>
        </w:rPr>
        <w:tab/>
      </w:r>
      <w:r>
        <w:rPr>
          <w:rFonts w:eastAsiaTheme="minorHAnsi"/>
        </w:rPr>
        <w:t>Il y a de cela plusieurs années</w:t>
      </w:r>
      <w:r w:rsidRPr="007928E6">
        <w:rPr>
          <w:rFonts w:eastAsiaTheme="minorHAnsi"/>
        </w:rPr>
        <w:t xml:space="preserve">, </w:t>
      </w:r>
      <w:r>
        <w:rPr>
          <w:rFonts w:eastAsiaTheme="minorHAnsi"/>
        </w:rPr>
        <w:t>il était prescrit, dans le</w:t>
      </w:r>
      <w:r w:rsidRPr="007928E6">
        <w:rPr>
          <w:rFonts w:eastAsiaTheme="minorHAnsi"/>
        </w:rPr>
        <w:t xml:space="preserve"> not</w:t>
      </w:r>
      <w:r>
        <w:rPr>
          <w:rFonts w:eastAsiaTheme="minorHAnsi"/>
        </w:rPr>
        <w:t>a</w:t>
      </w:r>
      <w:r w:rsidRPr="007928E6">
        <w:rPr>
          <w:rFonts w:eastAsiaTheme="minorHAnsi"/>
        </w:rPr>
        <w:t xml:space="preserve"> </w:t>
      </w:r>
      <w:r>
        <w:rPr>
          <w:rFonts w:eastAsiaTheme="minorHAnsi"/>
        </w:rPr>
        <w:t>du 5.4.1.1.1 </w:t>
      </w:r>
      <w:r w:rsidRPr="007928E6">
        <w:rPr>
          <w:rFonts w:eastAsiaTheme="minorHAnsi"/>
        </w:rPr>
        <w:t>g)</w:t>
      </w:r>
      <w:r>
        <w:rPr>
          <w:rFonts w:eastAsiaTheme="minorHAnsi"/>
        </w:rPr>
        <w:t>,</w:t>
      </w:r>
      <w:r w:rsidRPr="007928E6">
        <w:rPr>
          <w:rFonts w:eastAsiaTheme="minorHAnsi"/>
        </w:rPr>
        <w:t xml:space="preserve"> </w:t>
      </w:r>
      <w:r>
        <w:rPr>
          <w:rFonts w:eastAsiaTheme="minorHAnsi"/>
        </w:rPr>
        <w:t>que la valeur pondérée correspondant à la quantité totale des marchandises soit consignée dans le document de transport (« </w:t>
      </w:r>
      <w:r>
        <w:rPr>
          <w:rFonts w:eastAsiaTheme="minorHAnsi"/>
          <w:b/>
          <w:bCs/>
          <w:i/>
          <w:iCs/>
        </w:rPr>
        <w:t>NOTA</w:t>
      </w:r>
      <w:r w:rsidR="00F20AF0">
        <w:rPr>
          <w:rFonts w:eastAsiaTheme="minorHAnsi"/>
          <w:b/>
          <w:bCs/>
          <w:i/>
          <w:iCs/>
        </w:rPr>
        <w:t> </w:t>
      </w:r>
      <w:r w:rsidRPr="00F20AF0">
        <w:rPr>
          <w:rFonts w:eastAsiaTheme="minorHAnsi"/>
          <w:i/>
        </w:rPr>
        <w:t xml:space="preserve">: </w:t>
      </w:r>
      <w:r>
        <w:rPr>
          <w:rFonts w:eastAsiaTheme="minorHAnsi"/>
          <w:i/>
          <w:iCs/>
          <w:lang w:val="fr-FR"/>
        </w:rPr>
        <w:t>Dans le cas où le 1.1.3.6 s</w:t>
      </w:r>
      <w:r w:rsidR="00FA4113">
        <w:rPr>
          <w:rFonts w:eastAsiaTheme="minorHAnsi"/>
          <w:i/>
          <w:iCs/>
          <w:lang w:val="fr-FR"/>
        </w:rPr>
        <w:t>’</w:t>
      </w:r>
      <w:r w:rsidRPr="00B72545">
        <w:rPr>
          <w:rFonts w:eastAsiaTheme="minorHAnsi"/>
          <w:i/>
          <w:iCs/>
          <w:lang w:val="fr-FR"/>
        </w:rPr>
        <w:t>applique, la quantité totale de marchandises</w:t>
      </w:r>
      <w:r>
        <w:rPr>
          <w:rFonts w:eastAsiaTheme="minorHAnsi"/>
          <w:i/>
          <w:iCs/>
          <w:lang w:val="fr-FR"/>
        </w:rPr>
        <w:t xml:space="preserve"> </w:t>
      </w:r>
      <w:r w:rsidRPr="00B72545">
        <w:rPr>
          <w:rFonts w:eastAsiaTheme="minorHAnsi"/>
          <w:i/>
          <w:iCs/>
          <w:lang w:val="fr-FR"/>
        </w:rPr>
        <w:t>dangereuses transportées par unité de transport doit être exprimée sous la forme</w:t>
      </w:r>
      <w:r>
        <w:rPr>
          <w:rFonts w:eastAsiaTheme="minorHAnsi"/>
          <w:i/>
          <w:iCs/>
          <w:lang w:val="fr-FR"/>
        </w:rPr>
        <w:t xml:space="preserve"> </w:t>
      </w:r>
      <w:r w:rsidRPr="00B72545">
        <w:rPr>
          <w:rFonts w:eastAsiaTheme="minorHAnsi"/>
          <w:i/>
          <w:iCs/>
          <w:lang w:val="fr-FR"/>
        </w:rPr>
        <w:t>d</w:t>
      </w:r>
      <w:r w:rsidR="00FA4113">
        <w:rPr>
          <w:rFonts w:eastAsiaTheme="minorHAnsi"/>
          <w:i/>
          <w:iCs/>
          <w:lang w:val="fr-FR"/>
        </w:rPr>
        <w:t>’</w:t>
      </w:r>
      <w:r w:rsidRPr="00B72545">
        <w:rPr>
          <w:rFonts w:eastAsiaTheme="minorHAnsi"/>
          <w:i/>
          <w:iCs/>
          <w:lang w:val="fr-FR"/>
        </w:rPr>
        <w:t>une valeur calculée conformément aux dispositions pertinentes du 1.1.3.6</w:t>
      </w:r>
      <w:r>
        <w:rPr>
          <w:rFonts w:eastAsiaTheme="minorHAnsi"/>
        </w:rPr>
        <w:t> »</w:t>
      </w:r>
      <w:r w:rsidRPr="007928E6">
        <w:rPr>
          <w:rFonts w:eastAsiaTheme="minorHAnsi"/>
        </w:rPr>
        <w:t xml:space="preserve">). </w:t>
      </w:r>
      <w:r>
        <w:rPr>
          <w:rFonts w:eastAsiaTheme="minorHAnsi"/>
        </w:rPr>
        <w:t>Cette prescrip</w:t>
      </w:r>
      <w:r w:rsidR="00F20AF0">
        <w:rPr>
          <w:rFonts w:eastAsiaTheme="minorHAnsi"/>
        </w:rPr>
        <w:t>tion a été supprimée dans l</w:t>
      </w:r>
      <w:r w:rsidR="00FA4113">
        <w:rPr>
          <w:rFonts w:eastAsiaTheme="minorHAnsi"/>
        </w:rPr>
        <w:t>’</w:t>
      </w:r>
      <w:r w:rsidR="00F20AF0">
        <w:rPr>
          <w:rFonts w:eastAsiaTheme="minorHAnsi"/>
        </w:rPr>
        <w:t>ADR </w:t>
      </w:r>
      <w:r>
        <w:rPr>
          <w:rFonts w:eastAsiaTheme="minorHAnsi"/>
        </w:rPr>
        <w:t>2003.</w:t>
      </w:r>
    </w:p>
    <w:p w:rsidR="00B12A2C" w:rsidRPr="007928E6" w:rsidRDefault="00B12A2C" w:rsidP="00B12A2C">
      <w:pPr>
        <w:pStyle w:val="SingleTxtG"/>
        <w:rPr>
          <w:rFonts w:eastAsiaTheme="minorHAnsi"/>
        </w:rPr>
      </w:pPr>
      <w:r w:rsidRPr="007928E6">
        <w:rPr>
          <w:rFonts w:eastAsiaTheme="minorHAnsi"/>
        </w:rPr>
        <w:t>4.</w:t>
      </w:r>
      <w:r w:rsidRPr="007928E6">
        <w:rPr>
          <w:rFonts w:eastAsiaTheme="minorHAnsi"/>
        </w:rPr>
        <w:tab/>
      </w:r>
      <w:r>
        <w:rPr>
          <w:rFonts w:eastAsiaTheme="minorHAnsi"/>
        </w:rPr>
        <w:t>Comme l</w:t>
      </w:r>
      <w:r w:rsidR="00FA4113">
        <w:rPr>
          <w:rFonts w:eastAsiaTheme="minorHAnsi"/>
        </w:rPr>
        <w:t>’</w:t>
      </w:r>
      <w:r>
        <w:rPr>
          <w:rFonts w:eastAsiaTheme="minorHAnsi"/>
        </w:rPr>
        <w:t>ont indiqué plusieurs</w:t>
      </w:r>
      <w:r w:rsidRPr="007928E6">
        <w:rPr>
          <w:rFonts w:eastAsiaTheme="minorHAnsi"/>
        </w:rPr>
        <w:t xml:space="preserve"> </w:t>
      </w:r>
      <w:r>
        <w:rPr>
          <w:rFonts w:eastAsiaTheme="minorHAnsi"/>
        </w:rPr>
        <w:t>partie</w:t>
      </w:r>
      <w:r w:rsidRPr="007928E6">
        <w:rPr>
          <w:rFonts w:eastAsiaTheme="minorHAnsi"/>
        </w:rPr>
        <w:t xml:space="preserve">s </w:t>
      </w:r>
      <w:r>
        <w:rPr>
          <w:rFonts w:eastAsiaTheme="minorHAnsi"/>
        </w:rPr>
        <w:t xml:space="preserve">contractantes lors de précédentes </w:t>
      </w:r>
      <w:r w:rsidRPr="007928E6">
        <w:rPr>
          <w:rFonts w:eastAsiaTheme="minorHAnsi"/>
        </w:rPr>
        <w:t xml:space="preserve">sessions, </w:t>
      </w:r>
      <w:r w:rsidRPr="00E7290F">
        <w:rPr>
          <w:rFonts w:eastAsiaTheme="minorHAnsi"/>
        </w:rPr>
        <w:t xml:space="preserve">ces informations devraient être communiquées de manière appropriée dans le document de transport en cas </w:t>
      </w:r>
      <w:r>
        <w:rPr>
          <w:rFonts w:eastAsiaTheme="minorHAnsi"/>
        </w:rPr>
        <w:t>d</w:t>
      </w:r>
      <w:r w:rsidR="00FA4113">
        <w:rPr>
          <w:rFonts w:eastAsiaTheme="minorHAnsi"/>
        </w:rPr>
        <w:t>’</w:t>
      </w:r>
      <w:r>
        <w:rPr>
          <w:rFonts w:eastAsiaTheme="minorHAnsi"/>
        </w:rPr>
        <w:t>application</w:t>
      </w:r>
      <w:r w:rsidRPr="00E7290F">
        <w:rPr>
          <w:rFonts w:eastAsiaTheme="minorHAnsi"/>
        </w:rPr>
        <w:t xml:space="preserve"> du 1.1.3.6 par les expéditeurs et les transporteurs</w:t>
      </w:r>
      <w:r w:rsidRPr="007928E6">
        <w:rPr>
          <w:rFonts w:eastAsiaTheme="minorHAnsi"/>
        </w:rPr>
        <w:t xml:space="preserve">. </w:t>
      </w:r>
      <w:r>
        <w:rPr>
          <w:rFonts w:eastAsiaTheme="minorHAnsi"/>
        </w:rPr>
        <w:t>Le document devrait mentionner les catégories</w:t>
      </w:r>
      <w:r w:rsidRPr="007928E6">
        <w:rPr>
          <w:rFonts w:eastAsiaTheme="minorHAnsi"/>
        </w:rPr>
        <w:t xml:space="preserve"> </w:t>
      </w:r>
      <w:r>
        <w:rPr>
          <w:rFonts w:eastAsiaTheme="minorHAnsi"/>
        </w:rPr>
        <w:t xml:space="preserve">de </w:t>
      </w:r>
      <w:r w:rsidRPr="007928E6">
        <w:rPr>
          <w:rFonts w:eastAsiaTheme="minorHAnsi"/>
        </w:rPr>
        <w:t xml:space="preserve">transport </w:t>
      </w:r>
      <w:r>
        <w:rPr>
          <w:rFonts w:eastAsiaTheme="minorHAnsi"/>
        </w:rPr>
        <w:t>ainsi que les quantités pondérées, ce qui simplifierait le travail des transporteurs ainsi que celui des autorités</w:t>
      </w:r>
      <w:r w:rsidRPr="007928E6">
        <w:rPr>
          <w:rFonts w:eastAsiaTheme="minorHAnsi"/>
        </w:rPr>
        <w:t>.</w:t>
      </w:r>
    </w:p>
    <w:p w:rsidR="00B12A2C" w:rsidRPr="007928E6" w:rsidRDefault="00B12A2C" w:rsidP="00B12A2C">
      <w:pPr>
        <w:pStyle w:val="SingleTxtG"/>
        <w:rPr>
          <w:rFonts w:eastAsiaTheme="minorHAnsi"/>
        </w:rPr>
      </w:pPr>
      <w:r w:rsidRPr="007928E6">
        <w:rPr>
          <w:rFonts w:eastAsiaTheme="minorHAnsi"/>
        </w:rPr>
        <w:t>5.</w:t>
      </w:r>
      <w:r w:rsidRPr="007928E6">
        <w:rPr>
          <w:rFonts w:eastAsiaTheme="minorHAnsi"/>
        </w:rPr>
        <w:tab/>
      </w:r>
      <w:r>
        <w:rPr>
          <w:rFonts w:eastAsiaTheme="minorHAnsi"/>
        </w:rPr>
        <w:t>Étant donné qu</w:t>
      </w:r>
      <w:r w:rsidR="00FA4113">
        <w:rPr>
          <w:rFonts w:eastAsiaTheme="minorHAnsi"/>
        </w:rPr>
        <w:t>’</w:t>
      </w:r>
      <w:r>
        <w:rPr>
          <w:rFonts w:eastAsiaTheme="minorHAnsi"/>
        </w:rPr>
        <w:t>un transporteur peut procéder à l</w:t>
      </w:r>
      <w:r w:rsidR="00FA4113">
        <w:rPr>
          <w:rFonts w:eastAsiaTheme="minorHAnsi"/>
        </w:rPr>
        <w:t>’</w:t>
      </w:r>
      <w:r>
        <w:rPr>
          <w:rFonts w:eastAsiaTheme="minorHAnsi"/>
        </w:rPr>
        <w:t xml:space="preserve">enlèvement de marchandises auprès de plusieurs expéditeurs, la quantité pondérée devrait systématiquement être indiquée dans le </w:t>
      </w:r>
      <w:r w:rsidRPr="007928E6">
        <w:rPr>
          <w:rFonts w:eastAsiaTheme="minorHAnsi"/>
        </w:rPr>
        <w:t>document</w:t>
      </w:r>
      <w:r>
        <w:rPr>
          <w:rFonts w:eastAsiaTheme="minorHAnsi"/>
        </w:rPr>
        <w:t>,</w:t>
      </w:r>
      <w:r w:rsidRPr="007928E6">
        <w:rPr>
          <w:rFonts w:eastAsiaTheme="minorHAnsi"/>
        </w:rPr>
        <w:t xml:space="preserve"> </w:t>
      </w:r>
      <w:r>
        <w:rPr>
          <w:rFonts w:eastAsiaTheme="minorHAnsi"/>
        </w:rPr>
        <w:t>que les marchandises relèvent toutes de la même catégorie de transport ou non</w:t>
      </w:r>
      <w:r w:rsidRPr="007928E6">
        <w:rPr>
          <w:rFonts w:eastAsiaTheme="minorHAnsi"/>
        </w:rPr>
        <w:t xml:space="preserve">. </w:t>
      </w:r>
      <w:r>
        <w:rPr>
          <w:rFonts w:eastAsiaTheme="minorHAnsi"/>
        </w:rPr>
        <w:t xml:space="preserve">Néanmoins, à la </w:t>
      </w:r>
      <w:r w:rsidRPr="007928E6">
        <w:rPr>
          <w:rFonts w:eastAsiaTheme="minorHAnsi"/>
        </w:rPr>
        <w:t>session</w:t>
      </w:r>
      <w:r>
        <w:rPr>
          <w:rFonts w:eastAsiaTheme="minorHAnsi"/>
        </w:rPr>
        <w:t xml:space="preserve"> précédente</w:t>
      </w:r>
      <w:r w:rsidRPr="007928E6">
        <w:rPr>
          <w:rFonts w:eastAsiaTheme="minorHAnsi"/>
        </w:rPr>
        <w:t xml:space="preserve">, </w:t>
      </w:r>
      <w:r>
        <w:rPr>
          <w:rFonts w:eastAsiaTheme="minorHAnsi"/>
        </w:rPr>
        <w:t xml:space="preserve">certains pays se sont dits préoccupés par le libellé actuel du </w:t>
      </w:r>
      <w:r w:rsidRPr="007928E6">
        <w:rPr>
          <w:rFonts w:eastAsiaTheme="minorHAnsi"/>
        </w:rPr>
        <w:t>1.1.3.6.2</w:t>
      </w:r>
      <w:r>
        <w:rPr>
          <w:rFonts w:eastAsiaTheme="minorHAnsi"/>
        </w:rPr>
        <w:t>, qui fait mention de la valeur des marchandises</w:t>
      </w:r>
      <w:r w:rsidRPr="007928E6">
        <w:rPr>
          <w:rFonts w:eastAsiaTheme="minorHAnsi"/>
        </w:rPr>
        <w:t xml:space="preserve"> </w:t>
      </w:r>
      <w:r>
        <w:rPr>
          <w:rFonts w:eastAsiaTheme="minorHAnsi"/>
        </w:rPr>
        <w:t>relevant de</w:t>
      </w:r>
      <w:r w:rsidRPr="007928E6">
        <w:rPr>
          <w:rFonts w:eastAsiaTheme="minorHAnsi"/>
        </w:rPr>
        <w:t xml:space="preserve"> </w:t>
      </w:r>
      <w:r w:rsidRPr="007928E6">
        <w:rPr>
          <w:rFonts w:eastAsiaTheme="minorHAnsi"/>
          <w:u w:val="single"/>
        </w:rPr>
        <w:t>différente</w:t>
      </w:r>
      <w:r>
        <w:rPr>
          <w:rFonts w:eastAsiaTheme="minorHAnsi"/>
          <w:u w:val="single"/>
        </w:rPr>
        <w:t>s</w:t>
      </w:r>
      <w:r w:rsidRPr="007928E6">
        <w:rPr>
          <w:rFonts w:eastAsiaTheme="minorHAnsi"/>
        </w:rPr>
        <w:t xml:space="preserve"> catégories</w:t>
      </w:r>
      <w:r>
        <w:rPr>
          <w:rFonts w:eastAsiaTheme="minorHAnsi"/>
        </w:rPr>
        <w:t xml:space="preserve"> de transport, calculée selon le 1.1.3.6.4</w:t>
      </w:r>
      <w:r w:rsidRPr="007928E6">
        <w:rPr>
          <w:rFonts w:eastAsiaTheme="minorHAnsi"/>
        </w:rPr>
        <w:t xml:space="preserve">. </w:t>
      </w:r>
      <w:r>
        <w:rPr>
          <w:rFonts w:eastAsiaTheme="minorHAnsi"/>
        </w:rPr>
        <w:t>Il en est de même du texte du</w:t>
      </w:r>
      <w:r w:rsidRPr="007928E6">
        <w:rPr>
          <w:rFonts w:eastAsiaTheme="minorHAnsi"/>
        </w:rPr>
        <w:t xml:space="preserve"> 1.1.3.6.4, </w:t>
      </w:r>
      <w:r>
        <w:rPr>
          <w:rFonts w:eastAsiaTheme="minorHAnsi"/>
        </w:rPr>
        <w:t>dans lequel est indiquée la méthode</w:t>
      </w:r>
      <w:r w:rsidRPr="007928E6">
        <w:rPr>
          <w:rFonts w:eastAsiaTheme="minorHAnsi"/>
        </w:rPr>
        <w:t xml:space="preserve"> </w:t>
      </w:r>
      <w:r>
        <w:rPr>
          <w:rFonts w:eastAsiaTheme="minorHAnsi"/>
        </w:rPr>
        <w:t>de pondération qui permet d</w:t>
      </w:r>
      <w:r w:rsidR="00FA4113">
        <w:rPr>
          <w:rFonts w:eastAsiaTheme="minorHAnsi"/>
        </w:rPr>
        <w:t>’</w:t>
      </w:r>
      <w:r>
        <w:rPr>
          <w:rFonts w:eastAsiaTheme="minorHAnsi"/>
        </w:rPr>
        <w:t>obtenir la valeur en question</w:t>
      </w:r>
      <w:r w:rsidRPr="007928E6">
        <w:rPr>
          <w:rFonts w:eastAsiaTheme="minorHAnsi"/>
        </w:rPr>
        <w:t>.</w:t>
      </w:r>
    </w:p>
    <w:p w:rsidR="00B12A2C" w:rsidRPr="007928E6" w:rsidRDefault="00B12A2C" w:rsidP="00B12A2C">
      <w:pPr>
        <w:pStyle w:val="SingleTxtG"/>
        <w:rPr>
          <w:rFonts w:eastAsiaTheme="minorHAnsi"/>
        </w:rPr>
      </w:pPr>
      <w:r w:rsidRPr="007928E6">
        <w:rPr>
          <w:rFonts w:eastAsiaTheme="minorHAnsi"/>
        </w:rPr>
        <w:t>6.</w:t>
      </w:r>
      <w:r w:rsidRPr="007928E6">
        <w:rPr>
          <w:rFonts w:eastAsiaTheme="minorHAnsi"/>
        </w:rPr>
        <w:tab/>
      </w:r>
      <w:r>
        <w:rPr>
          <w:rFonts w:eastAsiaTheme="minorHAnsi"/>
        </w:rPr>
        <w:t xml:space="preserve">Si on modifie le texte de sorte à prescrire que la quantité ainsi pondérée soit systématiquement consignée dans le </w:t>
      </w:r>
      <w:r w:rsidRPr="007928E6">
        <w:rPr>
          <w:rFonts w:eastAsiaTheme="minorHAnsi"/>
        </w:rPr>
        <w:t>document</w:t>
      </w:r>
      <w:r>
        <w:rPr>
          <w:rFonts w:eastAsiaTheme="minorHAnsi"/>
        </w:rPr>
        <w:t xml:space="preserve"> de transport</w:t>
      </w:r>
      <w:r w:rsidRPr="007928E6">
        <w:rPr>
          <w:rFonts w:eastAsiaTheme="minorHAnsi"/>
        </w:rPr>
        <w:t xml:space="preserve">, </w:t>
      </w:r>
      <w:r>
        <w:rPr>
          <w:rFonts w:eastAsiaTheme="minorHAnsi"/>
        </w:rPr>
        <w:t>il convient de procéder au calcul de cette valeur</w:t>
      </w:r>
      <w:r w:rsidRPr="007928E6">
        <w:rPr>
          <w:rFonts w:eastAsiaTheme="minorHAnsi"/>
        </w:rPr>
        <w:t xml:space="preserve"> </w:t>
      </w:r>
      <w:r>
        <w:rPr>
          <w:rFonts w:eastAsiaTheme="minorHAnsi"/>
        </w:rPr>
        <w:t>également lorsque les marchandises relèvent d</w:t>
      </w:r>
      <w:r w:rsidR="00FA4113">
        <w:rPr>
          <w:rFonts w:eastAsiaTheme="minorHAnsi"/>
        </w:rPr>
        <w:t>’</w:t>
      </w:r>
      <w:r>
        <w:rPr>
          <w:rFonts w:eastAsiaTheme="minorHAnsi"/>
        </w:rPr>
        <w:t xml:space="preserve">une seule et </w:t>
      </w:r>
      <w:r w:rsidRPr="00F76822">
        <w:rPr>
          <w:rFonts w:eastAsiaTheme="minorHAnsi"/>
          <w:u w:val="single"/>
        </w:rPr>
        <w:t>même</w:t>
      </w:r>
      <w:r>
        <w:rPr>
          <w:rFonts w:eastAsiaTheme="minorHAnsi"/>
        </w:rPr>
        <w:t xml:space="preserve"> catégorie de transport car il se peut que la valeur ainsi obtenue soit inférieure à la quantité totale maximale prescrite dans la troisième colonne</w:t>
      </w:r>
      <w:r w:rsidRPr="007928E6">
        <w:rPr>
          <w:rFonts w:eastAsiaTheme="minorHAnsi"/>
        </w:rPr>
        <w:t xml:space="preserve"> </w:t>
      </w:r>
      <w:r>
        <w:rPr>
          <w:rFonts w:eastAsiaTheme="minorHAnsi"/>
        </w:rPr>
        <w:t>du tableau</w:t>
      </w:r>
      <w:r w:rsidRPr="007928E6">
        <w:rPr>
          <w:rFonts w:eastAsiaTheme="minorHAnsi"/>
        </w:rPr>
        <w:t xml:space="preserve">. </w:t>
      </w:r>
      <w:r>
        <w:rPr>
          <w:rFonts w:eastAsiaTheme="minorHAnsi"/>
        </w:rPr>
        <w:t>Cet élément devrait donc aussi être pris en compte dans le</w:t>
      </w:r>
      <w:r w:rsidRPr="007928E6">
        <w:rPr>
          <w:rFonts w:eastAsiaTheme="minorHAnsi"/>
        </w:rPr>
        <w:t xml:space="preserve"> 1.1.3.6.2.</w:t>
      </w:r>
    </w:p>
    <w:p w:rsidR="00B12A2C" w:rsidRPr="007928E6" w:rsidRDefault="00B12A2C" w:rsidP="00B12A2C">
      <w:pPr>
        <w:pStyle w:val="SingleTxtG"/>
        <w:rPr>
          <w:rFonts w:eastAsiaTheme="minorHAnsi"/>
        </w:rPr>
      </w:pPr>
      <w:r w:rsidRPr="007928E6">
        <w:rPr>
          <w:rFonts w:eastAsiaTheme="minorHAnsi"/>
        </w:rPr>
        <w:t>7.</w:t>
      </w:r>
      <w:r w:rsidRPr="007928E6">
        <w:rPr>
          <w:rFonts w:eastAsiaTheme="minorHAnsi"/>
        </w:rPr>
        <w:tab/>
      </w:r>
      <w:r>
        <w:rPr>
          <w:rFonts w:eastAsiaTheme="minorHAnsi"/>
        </w:rPr>
        <w:t>De plus</w:t>
      </w:r>
      <w:r w:rsidRPr="007928E6">
        <w:rPr>
          <w:rFonts w:eastAsiaTheme="minorHAnsi"/>
        </w:rPr>
        <w:t xml:space="preserve">, </w:t>
      </w:r>
      <w:r>
        <w:rPr>
          <w:rFonts w:eastAsiaTheme="minorHAnsi"/>
        </w:rPr>
        <w:t>le nota</w:t>
      </w:r>
      <w:r w:rsidRPr="007928E6">
        <w:rPr>
          <w:rFonts w:eastAsiaTheme="minorHAnsi"/>
        </w:rPr>
        <w:t xml:space="preserve"> </w:t>
      </w:r>
      <w:r>
        <w:rPr>
          <w:rFonts w:eastAsiaTheme="minorHAnsi"/>
        </w:rPr>
        <w:t>du 5.4.1.1.1 </w:t>
      </w:r>
      <w:r w:rsidRPr="007928E6">
        <w:rPr>
          <w:rFonts w:eastAsiaTheme="minorHAnsi"/>
        </w:rPr>
        <w:t xml:space="preserve">f) </w:t>
      </w:r>
      <w:r>
        <w:rPr>
          <w:rFonts w:eastAsiaTheme="minorHAnsi"/>
        </w:rPr>
        <w:t>renvoie aux valeurs pondérées conformément au</w:t>
      </w:r>
      <w:r w:rsidRPr="007928E6">
        <w:rPr>
          <w:rFonts w:eastAsiaTheme="minorHAnsi"/>
        </w:rPr>
        <w:t xml:space="preserve"> 1.1.3.6.4. </w:t>
      </w:r>
      <w:r>
        <w:rPr>
          <w:rFonts w:eastAsiaTheme="minorHAnsi"/>
        </w:rPr>
        <w:t>Dans sa version actuelle</w:t>
      </w:r>
      <w:r w:rsidRPr="007928E6">
        <w:rPr>
          <w:rFonts w:eastAsiaTheme="minorHAnsi"/>
        </w:rPr>
        <w:t xml:space="preserve">, </w:t>
      </w:r>
      <w:r w:rsidR="00F20AF0">
        <w:rPr>
          <w:rFonts w:eastAsiaTheme="minorHAnsi"/>
        </w:rPr>
        <w:t>le texte du </w:t>
      </w:r>
      <w:r w:rsidRPr="007928E6">
        <w:rPr>
          <w:rFonts w:eastAsiaTheme="minorHAnsi"/>
        </w:rPr>
        <w:t xml:space="preserve">1.1.3.6.4 </w:t>
      </w:r>
      <w:r>
        <w:rPr>
          <w:rFonts w:eastAsiaTheme="minorHAnsi"/>
        </w:rPr>
        <w:t>s</w:t>
      </w:r>
      <w:r w:rsidR="00FA4113">
        <w:rPr>
          <w:rFonts w:eastAsiaTheme="minorHAnsi"/>
        </w:rPr>
        <w:t>’</w:t>
      </w:r>
      <w:r>
        <w:rPr>
          <w:rFonts w:eastAsiaTheme="minorHAnsi"/>
        </w:rPr>
        <w:t xml:space="preserve">applique aux matières dangereuses qui relèvent de </w:t>
      </w:r>
      <w:r w:rsidRPr="008C078B">
        <w:rPr>
          <w:rFonts w:eastAsiaTheme="minorHAnsi"/>
          <w:u w:val="single"/>
        </w:rPr>
        <w:t>différentes</w:t>
      </w:r>
      <w:r>
        <w:rPr>
          <w:rFonts w:eastAsiaTheme="minorHAnsi"/>
        </w:rPr>
        <w:t xml:space="preserve"> catégories de transport</w:t>
      </w:r>
      <w:r w:rsidRPr="007928E6">
        <w:rPr>
          <w:rFonts w:eastAsiaTheme="minorHAnsi"/>
        </w:rPr>
        <w:t xml:space="preserve">. </w:t>
      </w:r>
      <w:r>
        <w:rPr>
          <w:rFonts w:eastAsiaTheme="minorHAnsi"/>
        </w:rPr>
        <w:t>Or si l</w:t>
      </w:r>
      <w:r w:rsidR="00FA4113">
        <w:rPr>
          <w:rFonts w:eastAsiaTheme="minorHAnsi"/>
        </w:rPr>
        <w:t>’</w:t>
      </w:r>
      <w:r>
        <w:rPr>
          <w:rFonts w:eastAsiaTheme="minorHAnsi"/>
        </w:rPr>
        <w:t xml:space="preserve">on suit la logique employée ci-dessus, selon laquelle la quantité pondérée devrait être systématiquement consignée dans le </w:t>
      </w:r>
      <w:r w:rsidRPr="007928E6">
        <w:rPr>
          <w:rFonts w:eastAsiaTheme="minorHAnsi"/>
        </w:rPr>
        <w:t>document</w:t>
      </w:r>
      <w:r>
        <w:rPr>
          <w:rFonts w:eastAsiaTheme="minorHAnsi"/>
        </w:rPr>
        <w:t xml:space="preserve"> de transport</w:t>
      </w:r>
      <w:r w:rsidRPr="007928E6">
        <w:rPr>
          <w:rFonts w:eastAsiaTheme="minorHAnsi"/>
        </w:rPr>
        <w:t xml:space="preserve">, </w:t>
      </w:r>
      <w:r w:rsidR="00F20AF0">
        <w:rPr>
          <w:rFonts w:eastAsiaTheme="minorHAnsi"/>
        </w:rPr>
        <w:t>le texte du </w:t>
      </w:r>
      <w:r w:rsidRPr="007928E6">
        <w:rPr>
          <w:rFonts w:eastAsiaTheme="minorHAnsi"/>
        </w:rPr>
        <w:t xml:space="preserve">1.1.3.6.4 </w:t>
      </w:r>
      <w:r>
        <w:rPr>
          <w:rFonts w:eastAsiaTheme="minorHAnsi"/>
        </w:rPr>
        <w:t>devrait être modifié de sorte à ce qu</w:t>
      </w:r>
      <w:r w:rsidR="00FA4113">
        <w:rPr>
          <w:rFonts w:eastAsiaTheme="minorHAnsi"/>
        </w:rPr>
        <w:t>’</w:t>
      </w:r>
      <w:r>
        <w:rPr>
          <w:rFonts w:eastAsiaTheme="minorHAnsi"/>
        </w:rPr>
        <w:t>il s</w:t>
      </w:r>
      <w:r w:rsidR="00FA4113">
        <w:rPr>
          <w:rFonts w:eastAsiaTheme="minorHAnsi"/>
        </w:rPr>
        <w:t>’</w:t>
      </w:r>
      <w:r>
        <w:rPr>
          <w:rFonts w:eastAsiaTheme="minorHAnsi"/>
        </w:rPr>
        <w:t>applique à toutes les marchandises dangereuses, qu</w:t>
      </w:r>
      <w:r w:rsidR="00FA4113">
        <w:rPr>
          <w:rFonts w:eastAsiaTheme="minorHAnsi"/>
        </w:rPr>
        <w:t>’</w:t>
      </w:r>
      <w:r>
        <w:rPr>
          <w:rFonts w:eastAsiaTheme="minorHAnsi"/>
        </w:rPr>
        <w:t>elles relèvent d</w:t>
      </w:r>
      <w:r w:rsidR="00FA4113">
        <w:rPr>
          <w:rFonts w:eastAsiaTheme="minorHAnsi"/>
        </w:rPr>
        <w:t>’</w:t>
      </w:r>
      <w:r>
        <w:rPr>
          <w:rFonts w:eastAsiaTheme="minorHAnsi"/>
        </w:rPr>
        <w:t>une seule ou de plusieurs catégories de transport</w:t>
      </w:r>
      <w:r w:rsidRPr="007928E6">
        <w:rPr>
          <w:rFonts w:eastAsiaTheme="minorHAnsi"/>
        </w:rPr>
        <w:t>.</w:t>
      </w:r>
    </w:p>
    <w:p w:rsidR="00B12A2C" w:rsidRPr="007928E6" w:rsidRDefault="00B12A2C" w:rsidP="00B12A2C">
      <w:pPr>
        <w:pStyle w:val="SingleTxtG"/>
        <w:rPr>
          <w:rFonts w:eastAsiaTheme="minorHAnsi"/>
        </w:rPr>
      </w:pPr>
      <w:r w:rsidRPr="007928E6">
        <w:rPr>
          <w:rFonts w:eastAsiaTheme="minorHAnsi"/>
        </w:rPr>
        <w:lastRenderedPageBreak/>
        <w:t>8.</w:t>
      </w:r>
      <w:r w:rsidRPr="007928E6">
        <w:rPr>
          <w:rFonts w:eastAsiaTheme="minorHAnsi"/>
        </w:rPr>
        <w:tab/>
      </w:r>
      <w:r>
        <w:rPr>
          <w:rFonts w:eastAsiaTheme="minorHAnsi"/>
        </w:rPr>
        <w:t>Enfin</w:t>
      </w:r>
      <w:r w:rsidRPr="007928E6">
        <w:rPr>
          <w:rFonts w:eastAsiaTheme="minorHAnsi"/>
        </w:rPr>
        <w:t xml:space="preserve">, </w:t>
      </w:r>
      <w:r>
        <w:rPr>
          <w:rFonts w:eastAsiaTheme="minorHAnsi"/>
        </w:rPr>
        <w:t>il est proposé de saisir l</w:t>
      </w:r>
      <w:r w:rsidR="00FA4113">
        <w:rPr>
          <w:rFonts w:eastAsiaTheme="minorHAnsi"/>
        </w:rPr>
        <w:t>’</w:t>
      </w:r>
      <w:r>
        <w:rPr>
          <w:rFonts w:eastAsiaTheme="minorHAnsi"/>
        </w:rPr>
        <w:t>occasion offerte par la modification du texte des différentes sous</w:t>
      </w:r>
      <w:r w:rsidRPr="007928E6">
        <w:rPr>
          <w:rFonts w:eastAsiaTheme="minorHAnsi"/>
        </w:rPr>
        <w:t xml:space="preserve">-sections </w:t>
      </w:r>
      <w:r>
        <w:rPr>
          <w:rFonts w:eastAsiaTheme="minorHAnsi"/>
        </w:rPr>
        <w:t xml:space="preserve">du 1.1.3.6 pour optimiser le texte du </w:t>
      </w:r>
      <w:r w:rsidRPr="007928E6">
        <w:rPr>
          <w:rFonts w:eastAsiaTheme="minorHAnsi"/>
        </w:rPr>
        <w:t xml:space="preserve">1.1.3.6.1 </w:t>
      </w:r>
      <w:r>
        <w:rPr>
          <w:rFonts w:eastAsiaTheme="minorHAnsi"/>
        </w:rPr>
        <w:t>en introduisant une modification de forme</w:t>
      </w:r>
      <w:r w:rsidRPr="007928E6">
        <w:rPr>
          <w:rFonts w:eastAsiaTheme="minorHAnsi"/>
        </w:rPr>
        <w:t xml:space="preserve">. </w:t>
      </w:r>
      <w:r>
        <w:rPr>
          <w:rFonts w:eastAsiaTheme="minorHAnsi"/>
        </w:rPr>
        <w:t>Il est également suggéré</w:t>
      </w:r>
      <w:r w:rsidRPr="007928E6">
        <w:rPr>
          <w:rFonts w:eastAsiaTheme="minorHAnsi"/>
        </w:rPr>
        <w:t xml:space="preserve"> </w:t>
      </w:r>
      <w:r>
        <w:rPr>
          <w:rFonts w:eastAsiaTheme="minorHAnsi"/>
        </w:rPr>
        <w:t xml:space="preserve">de simplifier la liste du 1.1.3.6.2, laquelle énumère actuellement les dispositions qui ne sont pas </w:t>
      </w:r>
      <w:r w:rsidRPr="007928E6">
        <w:rPr>
          <w:rFonts w:eastAsiaTheme="minorHAnsi"/>
        </w:rPr>
        <w:t>applicable</w:t>
      </w:r>
      <w:r>
        <w:rPr>
          <w:rFonts w:eastAsiaTheme="minorHAnsi"/>
        </w:rPr>
        <w:t>s</w:t>
      </w:r>
      <w:r w:rsidRPr="007928E6">
        <w:rPr>
          <w:rFonts w:eastAsiaTheme="minorHAnsi"/>
        </w:rPr>
        <w:t xml:space="preserve"> </w:t>
      </w:r>
      <w:r>
        <w:rPr>
          <w:rFonts w:eastAsiaTheme="minorHAnsi"/>
        </w:rPr>
        <w:t xml:space="preserve">tout en prévoyant des </w:t>
      </w:r>
      <w:r w:rsidRPr="007928E6">
        <w:rPr>
          <w:rFonts w:eastAsiaTheme="minorHAnsi"/>
        </w:rPr>
        <w:t>exemptions</w:t>
      </w:r>
      <w:r>
        <w:rPr>
          <w:rFonts w:eastAsiaTheme="minorHAnsi"/>
        </w:rPr>
        <w:t>, ce qui introduit une confusion</w:t>
      </w:r>
      <w:r w:rsidRPr="007928E6">
        <w:rPr>
          <w:rFonts w:eastAsiaTheme="minorHAnsi"/>
        </w:rPr>
        <w:t xml:space="preserve">. </w:t>
      </w:r>
      <w:r>
        <w:rPr>
          <w:rFonts w:eastAsiaTheme="minorHAnsi"/>
        </w:rPr>
        <w:t>Pour rendre le texte plus lisible, il est suggéré d</w:t>
      </w:r>
      <w:r w:rsidR="00FA4113">
        <w:rPr>
          <w:rFonts w:eastAsiaTheme="minorHAnsi"/>
        </w:rPr>
        <w:t>’</w:t>
      </w:r>
      <w:r w:rsidRPr="007928E6">
        <w:rPr>
          <w:rFonts w:eastAsiaTheme="minorHAnsi"/>
        </w:rPr>
        <w:t>align</w:t>
      </w:r>
      <w:r>
        <w:rPr>
          <w:rFonts w:eastAsiaTheme="minorHAnsi"/>
        </w:rPr>
        <w:t>er le</w:t>
      </w:r>
      <w:r w:rsidRPr="007928E6">
        <w:rPr>
          <w:rFonts w:eastAsiaTheme="minorHAnsi"/>
        </w:rPr>
        <w:t xml:space="preserve"> 1.1.3.6.2 </w:t>
      </w:r>
      <w:r>
        <w:rPr>
          <w:rFonts w:eastAsiaTheme="minorHAnsi"/>
        </w:rPr>
        <w:t>avec la formulation des dispositions applicables dans les chapitres</w:t>
      </w:r>
      <w:r w:rsidR="00F20AF0">
        <w:rPr>
          <w:rFonts w:eastAsiaTheme="minorHAnsi"/>
        </w:rPr>
        <w:t> </w:t>
      </w:r>
      <w:r w:rsidRPr="007928E6">
        <w:rPr>
          <w:rFonts w:eastAsiaTheme="minorHAnsi"/>
        </w:rPr>
        <w:t>3.4 (</w:t>
      </w:r>
      <w:r>
        <w:rPr>
          <w:rFonts w:eastAsiaTheme="minorHAnsi"/>
        </w:rPr>
        <w:t>quantités limitées</w:t>
      </w:r>
      <w:r w:rsidRPr="007928E6">
        <w:rPr>
          <w:rFonts w:eastAsiaTheme="minorHAnsi"/>
        </w:rPr>
        <w:t xml:space="preserve">) </w:t>
      </w:r>
      <w:r>
        <w:rPr>
          <w:rFonts w:eastAsiaTheme="minorHAnsi"/>
        </w:rPr>
        <w:t>et</w:t>
      </w:r>
      <w:r w:rsidRPr="007928E6">
        <w:rPr>
          <w:rFonts w:eastAsiaTheme="minorHAnsi"/>
        </w:rPr>
        <w:t xml:space="preserve"> 3.5 (</w:t>
      </w:r>
      <w:r>
        <w:rPr>
          <w:rFonts w:eastAsiaTheme="minorHAnsi"/>
        </w:rPr>
        <w:t>quantités exceptées</w:t>
      </w:r>
      <w:r w:rsidRPr="007928E6">
        <w:rPr>
          <w:rFonts w:eastAsiaTheme="minorHAnsi"/>
        </w:rPr>
        <w:t>)</w:t>
      </w:r>
      <w:r>
        <w:rPr>
          <w:rFonts w:eastAsiaTheme="minorHAnsi"/>
        </w:rPr>
        <w:t>. À cet égard, voir la proposition</w:t>
      </w:r>
      <w:r w:rsidR="00F20AF0">
        <w:rPr>
          <w:rFonts w:eastAsiaTheme="minorHAnsi"/>
        </w:rPr>
        <w:t> </w:t>
      </w:r>
      <w:r w:rsidRPr="007928E6">
        <w:rPr>
          <w:rFonts w:eastAsiaTheme="minorHAnsi"/>
        </w:rPr>
        <w:t xml:space="preserve">2b </w:t>
      </w:r>
      <w:r>
        <w:rPr>
          <w:rFonts w:eastAsiaTheme="minorHAnsi"/>
        </w:rPr>
        <w:t>ci-après</w:t>
      </w:r>
      <w:r w:rsidRPr="007928E6">
        <w:rPr>
          <w:rFonts w:eastAsiaTheme="minorHAnsi"/>
        </w:rPr>
        <w:t>.</w:t>
      </w:r>
    </w:p>
    <w:p w:rsidR="00B12A2C" w:rsidRPr="007928E6" w:rsidRDefault="00B12A2C" w:rsidP="00B12A2C">
      <w:pPr>
        <w:pStyle w:val="SingleTxtG"/>
        <w:rPr>
          <w:rFonts w:eastAsiaTheme="minorHAnsi"/>
        </w:rPr>
      </w:pPr>
      <w:r w:rsidRPr="007928E6">
        <w:rPr>
          <w:rFonts w:eastAsiaTheme="minorHAnsi"/>
        </w:rPr>
        <w:t>9.</w:t>
      </w:r>
      <w:r w:rsidRPr="007928E6">
        <w:rPr>
          <w:rFonts w:eastAsiaTheme="minorHAnsi"/>
        </w:rPr>
        <w:tab/>
      </w:r>
      <w:r>
        <w:rPr>
          <w:rFonts w:eastAsiaTheme="minorHAnsi"/>
        </w:rPr>
        <w:t>Étant donné que les modifications qu</w:t>
      </w:r>
      <w:r w:rsidR="00FA4113">
        <w:rPr>
          <w:rFonts w:eastAsiaTheme="minorHAnsi"/>
        </w:rPr>
        <w:t>’</w:t>
      </w:r>
      <w:r>
        <w:rPr>
          <w:rFonts w:eastAsiaTheme="minorHAnsi"/>
        </w:rPr>
        <w:t>il est proposé d</w:t>
      </w:r>
      <w:r w:rsidR="00FA4113">
        <w:rPr>
          <w:rFonts w:eastAsiaTheme="minorHAnsi"/>
        </w:rPr>
        <w:t>’</w:t>
      </w:r>
      <w:r>
        <w:rPr>
          <w:rFonts w:eastAsiaTheme="minorHAnsi"/>
        </w:rPr>
        <w:t>apporter au texte du</w:t>
      </w:r>
      <w:r w:rsidRPr="007928E6">
        <w:rPr>
          <w:rFonts w:eastAsiaTheme="minorHAnsi"/>
        </w:rPr>
        <w:t xml:space="preserve"> 1.1.3.6.1 </w:t>
      </w:r>
      <w:r>
        <w:rPr>
          <w:rFonts w:eastAsiaTheme="minorHAnsi"/>
        </w:rPr>
        <w:t>ainsi qu</w:t>
      </w:r>
      <w:r w:rsidR="00FA4113">
        <w:rPr>
          <w:rFonts w:eastAsiaTheme="minorHAnsi"/>
        </w:rPr>
        <w:t>’</w:t>
      </w:r>
      <w:r>
        <w:rPr>
          <w:rFonts w:eastAsiaTheme="minorHAnsi"/>
        </w:rPr>
        <w:t xml:space="preserve">à la liste des dispositions non applicables du </w:t>
      </w:r>
      <w:r w:rsidRPr="007928E6">
        <w:rPr>
          <w:rFonts w:eastAsiaTheme="minorHAnsi"/>
        </w:rPr>
        <w:t xml:space="preserve">1.1.3.6.2 </w:t>
      </w:r>
      <w:r>
        <w:rPr>
          <w:rFonts w:eastAsiaTheme="minorHAnsi"/>
        </w:rPr>
        <w:t>ne sont pas tributaires des autres propositions concernant la quantité pondérée, chacune de ces propositions est présentée séparément.</w:t>
      </w:r>
    </w:p>
    <w:p w:rsidR="00B12A2C" w:rsidRPr="007928E6" w:rsidRDefault="00B12A2C" w:rsidP="00B12A2C">
      <w:pPr>
        <w:pStyle w:val="HChG"/>
      </w:pPr>
      <w:r w:rsidRPr="007928E6">
        <w:tab/>
      </w:r>
      <w:r w:rsidRPr="007928E6">
        <w:tab/>
      </w:r>
      <w:r>
        <w:t>Proposition</w:t>
      </w:r>
      <w:r w:rsidRPr="007928E6">
        <w:t>s</w:t>
      </w:r>
    </w:p>
    <w:p w:rsidR="00B12A2C" w:rsidRPr="007928E6" w:rsidRDefault="00B12A2C" w:rsidP="00B12A2C">
      <w:pPr>
        <w:pStyle w:val="SingleTxtG"/>
      </w:pPr>
      <w:r w:rsidRPr="007928E6">
        <w:t>10.</w:t>
      </w:r>
      <w:r w:rsidRPr="007928E6">
        <w:tab/>
      </w:r>
      <w:r>
        <w:t>Les modifications qu</w:t>
      </w:r>
      <w:r w:rsidR="00FA4113">
        <w:t>’</w:t>
      </w:r>
      <w:r>
        <w:t>il est suggéré d</w:t>
      </w:r>
      <w:r w:rsidR="00FA4113">
        <w:t>’</w:t>
      </w:r>
      <w:r>
        <w:t>apporter au texte actuel sont indiquées en caractères soulignés pour les ajouts ou biffés pour les suppressions.</w:t>
      </w:r>
    </w:p>
    <w:p w:rsidR="00B12A2C" w:rsidRPr="007928E6" w:rsidRDefault="00B12A2C" w:rsidP="00B12A2C">
      <w:pPr>
        <w:pStyle w:val="H1G"/>
      </w:pPr>
      <w:r w:rsidRPr="007928E6">
        <w:tab/>
      </w:r>
      <w:r w:rsidRPr="007928E6">
        <w:tab/>
      </w:r>
      <w:r>
        <w:t>Proposition </w:t>
      </w:r>
      <w:r w:rsidRPr="007928E6">
        <w:t>1</w:t>
      </w:r>
    </w:p>
    <w:p w:rsidR="00B12A2C" w:rsidRPr="007928E6" w:rsidRDefault="00B12A2C" w:rsidP="00F20AF0">
      <w:pPr>
        <w:pStyle w:val="SingleTxtG"/>
        <w:keepNext/>
        <w:keepLines/>
      </w:pPr>
      <w:r w:rsidRPr="007928E6">
        <w:t>11.</w:t>
      </w:r>
      <w:r w:rsidRPr="007928E6">
        <w:tab/>
      </w:r>
      <w:r>
        <w:t>Modifier le</w:t>
      </w:r>
      <w:r w:rsidRPr="007928E6">
        <w:t xml:space="preserve"> text</w:t>
      </w:r>
      <w:r>
        <w:t>e du</w:t>
      </w:r>
      <w:r w:rsidR="00F20AF0">
        <w:t> </w:t>
      </w:r>
      <w:r w:rsidRPr="007928E6">
        <w:t xml:space="preserve">1.1.3.6.1 </w:t>
      </w:r>
      <w:r>
        <w:t>comme suit</w:t>
      </w:r>
      <w:r w:rsidRPr="007928E6">
        <w:t>:</w:t>
      </w:r>
    </w:p>
    <w:p w:rsidR="00B12A2C" w:rsidRPr="00C6377F" w:rsidRDefault="00B12A2C" w:rsidP="00352386">
      <w:pPr>
        <w:pStyle w:val="SingleTxtG"/>
        <w:ind w:left="2268" w:hanging="1134"/>
        <w:rPr>
          <w:lang w:val="fr-FR"/>
        </w:rPr>
      </w:pPr>
      <w:r>
        <w:t>« </w:t>
      </w:r>
      <w:r w:rsidRPr="007928E6">
        <w:t>1.1.3.6.1</w:t>
      </w:r>
      <w:r w:rsidRPr="007928E6">
        <w:tab/>
      </w:r>
      <w:r w:rsidRPr="00C6377F">
        <w:rPr>
          <w:lang w:val="fr-FR"/>
        </w:rPr>
        <w:t>Aux fins de la présente sous-section, les marchandises dangereuses sont affect</w:t>
      </w:r>
      <w:r w:rsidR="00F20AF0">
        <w:rPr>
          <w:lang w:val="fr-FR"/>
        </w:rPr>
        <w:t>ées aux catégories de transport </w:t>
      </w:r>
      <w:r w:rsidRPr="00C6377F">
        <w:rPr>
          <w:lang w:val="fr-FR"/>
        </w:rPr>
        <w:t xml:space="preserve">0, 1, 2, 3, ou 4 comme indiqué dans la colonne (15) du tableau A du chapitre 3.2. Les emballages vides non nettoyés </w:t>
      </w:r>
      <w:r>
        <w:rPr>
          <w:u w:val="single"/>
          <w:lang w:val="fr-FR"/>
        </w:rPr>
        <w:t xml:space="preserve">peuvent être affectés à la catégorie de transport </w:t>
      </w:r>
      <w:r w:rsidR="00F20AF0">
        <w:rPr>
          <w:u w:val="single"/>
          <w:lang w:val="en-GB"/>
        </w:rPr>
        <w:t>“</w:t>
      </w:r>
      <w:r>
        <w:rPr>
          <w:u w:val="single"/>
          <w:lang w:val="fr-FR"/>
        </w:rPr>
        <w:t>4</w:t>
      </w:r>
      <w:r w:rsidR="00F20AF0">
        <w:rPr>
          <w:u w:val="single"/>
          <w:lang w:val="en-GB"/>
        </w:rPr>
        <w:t>”</w:t>
      </w:r>
      <w:r>
        <w:rPr>
          <w:u w:val="single"/>
          <w:lang w:val="fr-FR"/>
        </w:rPr>
        <w:t>, à moins qu</w:t>
      </w:r>
      <w:r w:rsidR="00FA4113">
        <w:rPr>
          <w:u w:val="single"/>
          <w:lang w:val="fr-FR"/>
        </w:rPr>
        <w:t>’</w:t>
      </w:r>
      <w:r>
        <w:rPr>
          <w:u w:val="single"/>
          <w:lang w:val="fr-FR"/>
        </w:rPr>
        <w:t xml:space="preserve">ils </w:t>
      </w:r>
      <w:r w:rsidRPr="00C6377F">
        <w:rPr>
          <w:u w:val="single"/>
          <w:lang w:val="fr-FR"/>
        </w:rPr>
        <w:t>n</w:t>
      </w:r>
      <w:r w:rsidR="00FA4113">
        <w:rPr>
          <w:u w:val="single"/>
          <w:lang w:val="fr-FR"/>
        </w:rPr>
        <w:t>’</w:t>
      </w:r>
      <w:r w:rsidRPr="00C6377F">
        <w:rPr>
          <w:u w:val="single"/>
          <w:lang w:val="fr-FR"/>
        </w:rPr>
        <w:t>aient</w:t>
      </w:r>
      <w:r>
        <w:rPr>
          <w:lang w:val="fr-FR"/>
        </w:rPr>
        <w:t xml:space="preserve"> </w:t>
      </w:r>
      <w:r w:rsidRPr="00C6377F">
        <w:rPr>
          <w:strike/>
          <w:lang w:val="fr-FR"/>
        </w:rPr>
        <w:t>ayant</w:t>
      </w:r>
      <w:r w:rsidRPr="00C6377F">
        <w:rPr>
          <w:lang w:val="fr-FR"/>
        </w:rPr>
        <w:t xml:space="preserve"> renfermé des matières affectées à la catégorie de transport </w:t>
      </w:r>
      <w:r w:rsidR="00F20AF0" w:rsidRPr="00F20AF0">
        <w:t>“</w:t>
      </w:r>
      <w:r w:rsidRPr="00C6377F">
        <w:rPr>
          <w:lang w:val="fr-FR"/>
        </w:rPr>
        <w:t>0</w:t>
      </w:r>
      <w:r w:rsidR="00F20AF0" w:rsidRPr="00F20AF0">
        <w:t>”</w:t>
      </w:r>
      <w:r w:rsidRPr="00F20AF0">
        <w:t xml:space="preserve"> </w:t>
      </w:r>
      <w:r w:rsidRPr="00C6377F">
        <w:rPr>
          <w:strike/>
          <w:lang w:val="fr-FR"/>
        </w:rPr>
        <w:t xml:space="preserve">sont également affectés à la catégorie de transport </w:t>
      </w:r>
      <w:r w:rsidR="00F20AF0">
        <w:rPr>
          <w:strike/>
          <w:lang w:val="en-GB"/>
        </w:rPr>
        <w:t>“</w:t>
      </w:r>
      <w:r w:rsidRPr="00C6377F">
        <w:rPr>
          <w:strike/>
          <w:lang w:val="fr-FR"/>
        </w:rPr>
        <w:t>0</w:t>
      </w:r>
      <w:r w:rsidR="00F20AF0">
        <w:rPr>
          <w:strike/>
          <w:lang w:val="en-GB"/>
        </w:rPr>
        <w:t>”</w:t>
      </w:r>
      <w:r w:rsidRPr="00C6377F">
        <w:rPr>
          <w:strike/>
          <w:lang w:val="fr-FR"/>
        </w:rPr>
        <w:t xml:space="preserve">. Les emballages vides non nettoyés ayant renfermé des matières affectées à une catégorie de transport autre que </w:t>
      </w:r>
      <w:r w:rsidR="00F20AF0">
        <w:rPr>
          <w:strike/>
          <w:lang w:val="en-GB"/>
        </w:rPr>
        <w:t>“</w:t>
      </w:r>
      <w:r w:rsidRPr="00C6377F">
        <w:rPr>
          <w:strike/>
          <w:lang w:val="fr-FR"/>
        </w:rPr>
        <w:t>0</w:t>
      </w:r>
      <w:r w:rsidR="00F20AF0">
        <w:rPr>
          <w:strike/>
          <w:lang w:val="en-GB"/>
        </w:rPr>
        <w:t>”</w:t>
      </w:r>
      <w:r w:rsidRPr="00C6377F">
        <w:rPr>
          <w:strike/>
          <w:lang w:val="fr-FR"/>
        </w:rPr>
        <w:t xml:space="preserve"> sont affectés à la catégorie de transport </w:t>
      </w:r>
      <w:r w:rsidR="00F20AF0">
        <w:rPr>
          <w:strike/>
          <w:lang w:val="en-GB"/>
        </w:rPr>
        <w:t>“</w:t>
      </w:r>
      <w:r w:rsidRPr="00C6377F">
        <w:rPr>
          <w:strike/>
          <w:lang w:val="fr-FR"/>
        </w:rPr>
        <w:t>4</w:t>
      </w:r>
      <w:r w:rsidR="00F20AF0">
        <w:rPr>
          <w:strike/>
          <w:lang w:val="en-GB"/>
        </w:rPr>
        <w:t>”</w:t>
      </w:r>
      <w:r>
        <w:rPr>
          <w:lang w:val="fr-FR"/>
        </w:rPr>
        <w:t> ».</w:t>
      </w:r>
    </w:p>
    <w:p w:rsidR="00B12A2C" w:rsidRPr="007928E6" w:rsidRDefault="00B12A2C" w:rsidP="00B12A2C">
      <w:pPr>
        <w:pStyle w:val="H1G"/>
      </w:pPr>
      <w:r w:rsidRPr="007928E6">
        <w:tab/>
      </w:r>
      <w:r w:rsidRPr="007928E6">
        <w:tab/>
      </w:r>
      <w:r>
        <w:t>Proposition </w:t>
      </w:r>
      <w:r w:rsidRPr="007928E6">
        <w:t>2</w:t>
      </w:r>
    </w:p>
    <w:p w:rsidR="00B12A2C" w:rsidRPr="007928E6" w:rsidRDefault="00B12A2C" w:rsidP="00F20AF0">
      <w:pPr>
        <w:pStyle w:val="SingleTxtG"/>
        <w:keepNext/>
        <w:keepLines/>
      </w:pPr>
      <w:r w:rsidRPr="007928E6">
        <w:t>12.</w:t>
      </w:r>
      <w:r w:rsidRPr="007928E6">
        <w:tab/>
      </w:r>
      <w:r>
        <w:t>Modifier le texte du</w:t>
      </w:r>
      <w:r w:rsidR="00F20AF0">
        <w:t> </w:t>
      </w:r>
      <w:r w:rsidRPr="007928E6">
        <w:t xml:space="preserve">1.1.3.6.2 </w:t>
      </w:r>
      <w:r>
        <w:t>comme suit </w:t>
      </w:r>
      <w:r w:rsidRPr="007928E6">
        <w:t>:</w:t>
      </w:r>
    </w:p>
    <w:p w:rsidR="00B12A2C" w:rsidRPr="00C6377F" w:rsidRDefault="00B12A2C" w:rsidP="00B12A2C">
      <w:pPr>
        <w:pStyle w:val="SingleTxtG"/>
        <w:ind w:left="2268" w:hanging="1134"/>
        <w:rPr>
          <w:lang w:val="fr-FR"/>
        </w:rPr>
      </w:pPr>
      <w:r>
        <w:t>« </w:t>
      </w:r>
      <w:r w:rsidRPr="007928E6">
        <w:t>1.1.3.6.2</w:t>
      </w:r>
      <w:r w:rsidRPr="007928E6">
        <w:tab/>
      </w:r>
      <w:r w:rsidRPr="00B12A2C">
        <w:rPr>
          <w:strike/>
          <w:lang w:val="fr-FR"/>
        </w:rPr>
        <w:t>Lorsque la quantité de marchandises dangereuses à bord d</w:t>
      </w:r>
      <w:r w:rsidR="00FA4113">
        <w:rPr>
          <w:strike/>
          <w:lang w:val="fr-FR"/>
        </w:rPr>
        <w:t>’</w:t>
      </w:r>
      <w:r w:rsidRPr="00B12A2C">
        <w:rPr>
          <w:strike/>
          <w:lang w:val="fr-FR"/>
        </w:rPr>
        <w:t>une seule unité de transport ne dépasse pas les valeurs indiquées dans la colonne</w:t>
      </w:r>
      <w:r w:rsidR="00F20AF0">
        <w:rPr>
          <w:strike/>
          <w:lang w:val="fr-FR"/>
        </w:rPr>
        <w:t> </w:t>
      </w:r>
      <w:r w:rsidRPr="00B12A2C">
        <w:rPr>
          <w:strike/>
          <w:lang w:val="fr-FR"/>
        </w:rPr>
        <w:t>(3) du tableau au 1.1.3.6.3 pour une catégorie de transport donnée (lorsque les marchandises dangereuses à bord de l</w:t>
      </w:r>
      <w:r w:rsidR="00FA4113">
        <w:rPr>
          <w:strike/>
          <w:lang w:val="fr-FR"/>
        </w:rPr>
        <w:t>’</w:t>
      </w:r>
      <w:r w:rsidRPr="00B12A2C">
        <w:rPr>
          <w:strike/>
          <w:lang w:val="fr-FR"/>
        </w:rPr>
        <w:t>unité de transport sont dans la même catégorie) ou la valeur calculée selon 1.1.3.6.4 (lorsque les marchandises dangereuses à bord de l</w:t>
      </w:r>
      <w:r w:rsidR="00FA4113">
        <w:rPr>
          <w:strike/>
          <w:lang w:val="fr-FR"/>
        </w:rPr>
        <w:t>’</w:t>
      </w:r>
      <w:r w:rsidRPr="00B12A2C">
        <w:rPr>
          <w:strike/>
          <w:lang w:val="fr-FR"/>
        </w:rPr>
        <w:t xml:space="preserve">unité de </w:t>
      </w:r>
      <w:r w:rsidRPr="00B12A2C">
        <w:rPr>
          <w:strike/>
        </w:rPr>
        <w:t xml:space="preserve">transport </w:t>
      </w:r>
      <w:r w:rsidRPr="00B12A2C">
        <w:rPr>
          <w:strike/>
          <w:lang w:val="fr-FR"/>
        </w:rPr>
        <w:t>ont de plusieurs catégories), elles peuvent être transportées en colis dans une même unité de transport sans que soient applicables les prescriptions suivantes</w:t>
      </w:r>
      <w:r w:rsidRPr="00B12A2C">
        <w:rPr>
          <w:strike/>
        </w:rPr>
        <w:t>:</w:t>
      </w:r>
    </w:p>
    <w:p w:rsidR="00B12A2C" w:rsidRPr="00BE5DA0" w:rsidRDefault="00B12A2C" w:rsidP="00B12A2C">
      <w:pPr>
        <w:pStyle w:val="SingleTxtG"/>
        <w:ind w:left="2268"/>
      </w:pPr>
      <w:r w:rsidRPr="00BE5DA0">
        <w:rPr>
          <w:u w:val="single"/>
        </w:rPr>
        <w:t>La quantité totale des marchandises dangereuses transportées dans des emballages à bord d</w:t>
      </w:r>
      <w:r w:rsidR="00FA4113">
        <w:rPr>
          <w:u w:val="single"/>
        </w:rPr>
        <w:t>’</w:t>
      </w:r>
      <w:r w:rsidRPr="00BE5DA0">
        <w:rPr>
          <w:u w:val="single"/>
        </w:rPr>
        <w:t>une unité de transport ne peut pas dépasser une valeur calculée de “1 000”. La quantité totale maximale par unité de transport prescrite dans la colonne</w:t>
      </w:r>
      <w:r w:rsidR="00F20AF0">
        <w:rPr>
          <w:u w:val="single"/>
        </w:rPr>
        <w:t> </w:t>
      </w:r>
      <w:r w:rsidRPr="00BE5DA0">
        <w:rPr>
          <w:u w:val="single"/>
        </w:rPr>
        <w:t>(3) du tableau du 1.1.3.6.3 pour chaque catégorie de transport correspond à une valeur pondérée de “1 000”. Si la quantité des marchandises transportées est inférieure à cette valeur, ou lorsque les marchandises concernées sont affectées à différentes catégories de transport, la quantité pondérée doit être calculée conformément au</w:t>
      </w:r>
      <w:r w:rsidR="00F20AF0">
        <w:rPr>
          <w:u w:val="single"/>
        </w:rPr>
        <w:t xml:space="preserve"> 1.1.3.6.4</w:t>
      </w:r>
      <w:r w:rsidRPr="00BE5DA0">
        <w:rPr>
          <w:u w:val="single"/>
        </w:rPr>
        <w:t> </w:t>
      </w:r>
      <w:r w:rsidRPr="00BE5DA0">
        <w:t>».</w:t>
      </w:r>
    </w:p>
    <w:p w:rsidR="00B12A2C" w:rsidRPr="007928E6" w:rsidRDefault="00B12A2C" w:rsidP="00BE5DA0">
      <w:pPr>
        <w:pStyle w:val="H1G"/>
      </w:pPr>
      <w:r w:rsidRPr="007928E6">
        <w:lastRenderedPageBreak/>
        <w:tab/>
      </w:r>
      <w:r w:rsidRPr="007928E6">
        <w:tab/>
      </w:r>
      <w:r>
        <w:t>Proposition</w:t>
      </w:r>
      <w:r w:rsidR="00BE5DA0">
        <w:t> </w:t>
      </w:r>
      <w:r w:rsidRPr="007928E6">
        <w:t xml:space="preserve">2a </w:t>
      </w:r>
    </w:p>
    <w:p w:rsidR="00B12A2C" w:rsidRPr="007928E6" w:rsidRDefault="00B12A2C" w:rsidP="00BE5DA0">
      <w:pPr>
        <w:pStyle w:val="SingleTxtG"/>
      </w:pPr>
      <w:r w:rsidRPr="007928E6">
        <w:t>13.</w:t>
      </w:r>
      <w:r w:rsidRPr="007928E6">
        <w:tab/>
      </w:r>
      <w:r>
        <w:t>Avant la liste du 1.1.3.6.2, ajouter un deuxième</w:t>
      </w:r>
      <w:r w:rsidRPr="007928E6">
        <w:t xml:space="preserve"> paragraph</w:t>
      </w:r>
      <w:r>
        <w:t>e</w:t>
      </w:r>
      <w:r w:rsidRPr="007928E6">
        <w:t>/</w:t>
      </w:r>
      <w:r>
        <w:t>une dernière phrase libellé(e) comme suit</w:t>
      </w:r>
      <w:r w:rsidRPr="007928E6">
        <w:t xml:space="preserve"> (</w:t>
      </w:r>
      <w:r>
        <w:t>si la liste actuelle des dispositions non applicables est conservée</w:t>
      </w:r>
      <w:r w:rsidRPr="007928E6">
        <w:t>)</w:t>
      </w:r>
      <w:r w:rsidR="00DA08D4">
        <w:t> </w:t>
      </w:r>
      <w:r w:rsidRPr="007928E6">
        <w:t>:</w:t>
      </w:r>
    </w:p>
    <w:p w:rsidR="00B12A2C" w:rsidRPr="007928E6" w:rsidRDefault="00B12A2C" w:rsidP="00BE5DA0">
      <w:pPr>
        <w:pStyle w:val="SingleTxtG"/>
        <w:rPr>
          <w:b/>
        </w:rPr>
      </w:pPr>
      <w:r w:rsidRPr="00795F33">
        <w:t>« </w:t>
      </w:r>
      <w:r w:rsidRPr="00BE5DA0">
        <w:rPr>
          <w:u w:val="single"/>
        </w:rPr>
        <w:t>Le transport de marchandises dangereuses conformément au 1.1.3.6 peut être effectué à bord d</w:t>
      </w:r>
      <w:r w:rsidR="00FA4113">
        <w:rPr>
          <w:u w:val="single"/>
        </w:rPr>
        <w:t>’</w:t>
      </w:r>
      <w:r w:rsidRPr="00BE5DA0">
        <w:rPr>
          <w:u w:val="single"/>
        </w:rPr>
        <w:t>une même unité de transport sans que soient applicables les prescriptions suivantes:</w:t>
      </w:r>
    </w:p>
    <w:p w:rsidR="00B12A2C" w:rsidRPr="007928E6" w:rsidRDefault="00B12A2C" w:rsidP="00B12A2C">
      <w:pPr>
        <w:pStyle w:val="SingleTxtG"/>
        <w:spacing w:line="240" w:lineRule="auto"/>
      </w:pPr>
      <w:r w:rsidRPr="00FA742B">
        <w:t>[</w:t>
      </w:r>
      <w:r w:rsidRPr="00BE5DA0">
        <w:rPr>
          <w:i/>
        </w:rPr>
        <w:t>Liste inchangée</w:t>
      </w:r>
      <w:r>
        <w:t>] ».</w:t>
      </w:r>
    </w:p>
    <w:p w:rsidR="00B12A2C" w:rsidRPr="007928E6" w:rsidRDefault="00B12A2C" w:rsidP="00BE5DA0">
      <w:pPr>
        <w:pStyle w:val="H1G"/>
      </w:pPr>
      <w:r w:rsidRPr="007928E6">
        <w:tab/>
      </w:r>
      <w:r w:rsidRPr="007928E6">
        <w:tab/>
      </w:r>
      <w:r>
        <w:t>Proposition</w:t>
      </w:r>
      <w:r w:rsidR="00BE5DA0">
        <w:t> </w:t>
      </w:r>
      <w:r w:rsidRPr="007928E6">
        <w:t>2b (</w:t>
      </w:r>
      <w:r>
        <w:t>en remplacement éventuel de la proposition </w:t>
      </w:r>
      <w:r w:rsidRPr="007928E6">
        <w:t>2a)</w:t>
      </w:r>
    </w:p>
    <w:p w:rsidR="00B12A2C" w:rsidRPr="007928E6" w:rsidRDefault="00B12A2C" w:rsidP="00BE5DA0">
      <w:pPr>
        <w:pStyle w:val="SingleTxtG"/>
      </w:pPr>
      <w:r w:rsidRPr="007928E6">
        <w:t>14.</w:t>
      </w:r>
      <w:r w:rsidRPr="007928E6">
        <w:tab/>
      </w:r>
      <w:r>
        <w:t>Avant la liste du 1.1.3.6.2, ajouter un deuxième</w:t>
      </w:r>
      <w:r w:rsidRPr="007928E6">
        <w:t xml:space="preserve"> paragraph</w:t>
      </w:r>
      <w:r>
        <w:t>e</w:t>
      </w:r>
      <w:r w:rsidRPr="007928E6">
        <w:t>/</w:t>
      </w:r>
      <w:r>
        <w:t>une dernière phrase libellé(e) comme suit</w:t>
      </w:r>
      <w:r w:rsidRPr="007928E6">
        <w:t xml:space="preserve"> (</w:t>
      </w:r>
      <w:r>
        <w:t>si la liste actuelle des dispositions non applicables est modifiée)</w:t>
      </w:r>
      <w:r w:rsidR="00A21F13">
        <w:t> </w:t>
      </w:r>
      <w:r w:rsidRPr="007928E6">
        <w:t>:</w:t>
      </w:r>
    </w:p>
    <w:p w:rsidR="00B12A2C" w:rsidRPr="007928E6" w:rsidRDefault="00B12A2C" w:rsidP="00BE5DA0">
      <w:pPr>
        <w:pStyle w:val="SingleTxtG"/>
      </w:pPr>
      <w:r w:rsidRPr="005F36D6">
        <w:t>« </w:t>
      </w:r>
      <w:r w:rsidRPr="00BE5DA0">
        <w:rPr>
          <w:u w:val="single"/>
        </w:rPr>
        <w:t>Aucune autre disposition de l</w:t>
      </w:r>
      <w:r w:rsidR="00FA4113">
        <w:rPr>
          <w:u w:val="single"/>
        </w:rPr>
        <w:t>’</w:t>
      </w:r>
      <w:r w:rsidRPr="00BE5DA0">
        <w:rPr>
          <w:u w:val="single"/>
        </w:rPr>
        <w:t>ADR n</w:t>
      </w:r>
      <w:r w:rsidR="00FA4113">
        <w:rPr>
          <w:u w:val="single"/>
        </w:rPr>
        <w:t>’</w:t>
      </w:r>
      <w:r w:rsidRPr="00BE5DA0">
        <w:rPr>
          <w:u w:val="single"/>
        </w:rPr>
        <w:t>est applicable au transport de marchandises dangereuses conformément au 1.1.3.6, à l</w:t>
      </w:r>
      <w:r w:rsidR="00FA4113">
        <w:rPr>
          <w:u w:val="single"/>
        </w:rPr>
        <w:t>’</w:t>
      </w:r>
      <w:r w:rsidRPr="00BE5DA0">
        <w:rPr>
          <w:u w:val="single"/>
        </w:rPr>
        <w:t>exception</w:t>
      </w:r>
      <w:r w:rsidR="00BE5DA0">
        <w:rPr>
          <w:u w:val="single"/>
        </w:rPr>
        <w:t> </w:t>
      </w:r>
      <w:r w:rsidRPr="00BE5DA0">
        <w:rPr>
          <w:u w:val="single"/>
        </w:rPr>
        <w:t>:</w:t>
      </w:r>
    </w:p>
    <w:p w:rsidR="00BE5DA0" w:rsidRPr="00BE5DA0" w:rsidRDefault="00B12A2C" w:rsidP="00BE5DA0">
      <w:pPr>
        <w:pStyle w:val="Bullet1G"/>
        <w:rPr>
          <w:rFonts w:eastAsiaTheme="minorHAnsi"/>
          <w:u w:val="single"/>
        </w:rPr>
      </w:pPr>
      <w:r w:rsidRPr="00BE5DA0">
        <w:rPr>
          <w:rFonts w:eastAsiaTheme="minorHAnsi"/>
          <w:u w:val="single"/>
        </w:rPr>
        <w:t>De la partie</w:t>
      </w:r>
      <w:r w:rsidR="00F20AF0">
        <w:rPr>
          <w:rFonts w:eastAsiaTheme="minorHAnsi"/>
          <w:u w:val="single"/>
        </w:rPr>
        <w:t> </w:t>
      </w:r>
      <w:r w:rsidRPr="00BE5DA0">
        <w:rPr>
          <w:rFonts w:eastAsiaTheme="minorHAnsi"/>
          <w:u w:val="single"/>
        </w:rPr>
        <w:t>1</w:t>
      </w:r>
      <w:r w:rsidRPr="00BE5DA0">
        <w:rPr>
          <w:rFonts w:eastAsiaTheme="minorHAnsi"/>
          <w:u w:val="single"/>
          <w:vertAlign w:val="superscript"/>
        </w:rPr>
        <w:t>*)</w:t>
      </w:r>
      <w:r w:rsidRPr="00BE5DA0">
        <w:rPr>
          <w:rFonts w:eastAsiaTheme="minorHAnsi"/>
          <w:u w:val="single"/>
        </w:rPr>
        <w:t>,</w:t>
      </w:r>
    </w:p>
    <w:p w:rsidR="00B12A2C" w:rsidRPr="00BE5DA0" w:rsidRDefault="00B12A2C" w:rsidP="00BE5DA0">
      <w:pPr>
        <w:pStyle w:val="Bullet1G"/>
        <w:rPr>
          <w:rFonts w:eastAsiaTheme="minorHAnsi"/>
          <w:u w:val="single"/>
        </w:rPr>
      </w:pPr>
      <w:r w:rsidRPr="00BE5DA0">
        <w:rPr>
          <w:rFonts w:eastAsiaTheme="minorHAnsi"/>
          <w:u w:val="single"/>
        </w:rPr>
        <w:t>De la partie</w:t>
      </w:r>
      <w:r w:rsidR="00F20AF0">
        <w:rPr>
          <w:rFonts w:eastAsiaTheme="minorHAnsi"/>
          <w:u w:val="single"/>
        </w:rPr>
        <w:t> </w:t>
      </w:r>
      <w:r w:rsidRPr="00BE5DA0">
        <w:rPr>
          <w:rFonts w:eastAsiaTheme="minorHAnsi"/>
          <w:u w:val="single"/>
        </w:rPr>
        <w:t xml:space="preserve">2, </w:t>
      </w:r>
    </w:p>
    <w:p w:rsidR="00B12A2C" w:rsidRPr="00BE5DA0" w:rsidRDefault="00B12A2C" w:rsidP="00BE5DA0">
      <w:pPr>
        <w:pStyle w:val="Bullet1G"/>
        <w:rPr>
          <w:rFonts w:eastAsiaTheme="minorHAnsi"/>
          <w:u w:val="single"/>
        </w:rPr>
      </w:pPr>
      <w:r w:rsidRPr="00BE5DA0">
        <w:rPr>
          <w:rFonts w:eastAsiaTheme="minorHAnsi"/>
          <w:u w:val="single"/>
        </w:rPr>
        <w:t>De la partie</w:t>
      </w:r>
      <w:r w:rsidR="00F20AF0">
        <w:rPr>
          <w:rFonts w:eastAsiaTheme="minorHAnsi"/>
          <w:u w:val="single"/>
        </w:rPr>
        <w:t> </w:t>
      </w:r>
      <w:r w:rsidRPr="00BE5DA0">
        <w:rPr>
          <w:rFonts w:eastAsiaTheme="minorHAnsi"/>
          <w:u w:val="single"/>
        </w:rPr>
        <w:t xml:space="preserve">3, </w:t>
      </w:r>
    </w:p>
    <w:p w:rsidR="00B12A2C" w:rsidRPr="00BE5DA0" w:rsidRDefault="00B12A2C" w:rsidP="00BE5DA0">
      <w:pPr>
        <w:pStyle w:val="Bullet1G"/>
        <w:rPr>
          <w:rFonts w:eastAsiaTheme="minorHAnsi"/>
          <w:u w:val="single"/>
        </w:rPr>
      </w:pPr>
      <w:r w:rsidRPr="00BE5DA0">
        <w:rPr>
          <w:rFonts w:eastAsiaTheme="minorHAnsi"/>
          <w:u w:val="single"/>
        </w:rPr>
        <w:t>De la partie</w:t>
      </w:r>
      <w:r w:rsidR="00F20AF0">
        <w:rPr>
          <w:rFonts w:eastAsiaTheme="minorHAnsi"/>
          <w:u w:val="single"/>
        </w:rPr>
        <w:t> </w:t>
      </w:r>
      <w:r w:rsidRPr="00BE5DA0">
        <w:rPr>
          <w:rFonts w:eastAsiaTheme="minorHAnsi"/>
          <w:u w:val="single"/>
        </w:rPr>
        <w:t>4,</w:t>
      </w:r>
    </w:p>
    <w:p w:rsidR="00B12A2C" w:rsidRPr="00BE5DA0" w:rsidRDefault="00B12A2C" w:rsidP="00BE5DA0">
      <w:pPr>
        <w:pStyle w:val="Bullet1G"/>
        <w:rPr>
          <w:rFonts w:eastAsiaTheme="minorHAnsi"/>
          <w:u w:val="single"/>
        </w:rPr>
      </w:pPr>
      <w:r w:rsidRPr="00BE5DA0">
        <w:rPr>
          <w:rFonts w:eastAsiaTheme="minorHAnsi"/>
          <w:u w:val="single"/>
        </w:rPr>
        <w:t>De la partie</w:t>
      </w:r>
      <w:r w:rsidR="00F20AF0">
        <w:rPr>
          <w:rFonts w:eastAsiaTheme="minorHAnsi"/>
          <w:u w:val="single"/>
        </w:rPr>
        <w:t> </w:t>
      </w:r>
      <w:r w:rsidRPr="00BE5DA0">
        <w:rPr>
          <w:rFonts w:eastAsiaTheme="minorHAnsi"/>
          <w:u w:val="single"/>
        </w:rPr>
        <w:t>5 (à l</w:t>
      </w:r>
      <w:r w:rsidR="00FA4113">
        <w:rPr>
          <w:rFonts w:eastAsiaTheme="minorHAnsi"/>
          <w:u w:val="single"/>
        </w:rPr>
        <w:t>’</w:t>
      </w:r>
      <w:r w:rsidRPr="00BE5DA0">
        <w:rPr>
          <w:rFonts w:eastAsiaTheme="minorHAnsi"/>
          <w:u w:val="single"/>
        </w:rPr>
        <w:t>exception du chapitre</w:t>
      </w:r>
      <w:r w:rsidR="00F20AF0">
        <w:rPr>
          <w:rFonts w:eastAsiaTheme="minorHAnsi"/>
          <w:u w:val="single"/>
        </w:rPr>
        <w:t> </w:t>
      </w:r>
      <w:r w:rsidRPr="00BE5DA0">
        <w:rPr>
          <w:rFonts w:eastAsiaTheme="minorHAnsi"/>
          <w:u w:val="single"/>
        </w:rPr>
        <w:t>5.3 et de la section</w:t>
      </w:r>
      <w:r w:rsidR="00F20AF0">
        <w:rPr>
          <w:rFonts w:eastAsiaTheme="minorHAnsi"/>
          <w:u w:val="single"/>
        </w:rPr>
        <w:t> </w:t>
      </w:r>
      <w:r w:rsidRPr="00BE5DA0">
        <w:rPr>
          <w:rFonts w:eastAsiaTheme="minorHAnsi"/>
          <w:u w:val="single"/>
        </w:rPr>
        <w:t>5.4.3),</w:t>
      </w:r>
    </w:p>
    <w:p w:rsidR="00B12A2C" w:rsidRPr="00BE5DA0" w:rsidRDefault="00B12A2C" w:rsidP="00BE5DA0">
      <w:pPr>
        <w:pStyle w:val="Bullet1G"/>
        <w:rPr>
          <w:rFonts w:eastAsiaTheme="minorHAnsi"/>
          <w:u w:val="single"/>
        </w:rPr>
      </w:pPr>
      <w:r w:rsidRPr="00BE5DA0">
        <w:rPr>
          <w:rFonts w:eastAsiaTheme="minorHAnsi"/>
          <w:u w:val="single"/>
        </w:rPr>
        <w:t>De la partie</w:t>
      </w:r>
      <w:r w:rsidR="00F20AF0">
        <w:rPr>
          <w:rFonts w:eastAsiaTheme="minorHAnsi"/>
          <w:u w:val="single"/>
        </w:rPr>
        <w:t> </w:t>
      </w:r>
      <w:r w:rsidRPr="00BE5DA0">
        <w:rPr>
          <w:rFonts w:eastAsiaTheme="minorHAnsi"/>
          <w:u w:val="single"/>
        </w:rPr>
        <w:t>6,</w:t>
      </w:r>
    </w:p>
    <w:p w:rsidR="00B12A2C" w:rsidRPr="00BE5DA0" w:rsidRDefault="00B12A2C" w:rsidP="00FD49A7">
      <w:pPr>
        <w:pStyle w:val="Bullet1G"/>
        <w:jc w:val="left"/>
        <w:rPr>
          <w:rFonts w:eastAsiaTheme="minorHAnsi"/>
          <w:u w:val="single"/>
        </w:rPr>
      </w:pPr>
      <w:r w:rsidRPr="00BE5DA0">
        <w:rPr>
          <w:rFonts w:eastAsiaTheme="minorHAnsi"/>
          <w:u w:val="single"/>
        </w:rPr>
        <w:t>Du chapitre</w:t>
      </w:r>
      <w:r w:rsidR="00F20AF0">
        <w:rPr>
          <w:rFonts w:eastAsiaTheme="minorHAnsi"/>
          <w:u w:val="single"/>
        </w:rPr>
        <w:t> </w:t>
      </w:r>
      <w:r w:rsidRPr="00BE5DA0">
        <w:rPr>
          <w:rFonts w:eastAsiaTheme="minorHAnsi"/>
          <w:u w:val="single"/>
        </w:rPr>
        <w:t xml:space="preserve">7.1, </w:t>
      </w:r>
      <w:r w:rsidR="00F20AF0">
        <w:rPr>
          <w:rFonts w:eastAsiaTheme="minorHAnsi"/>
          <w:u w:val="single"/>
        </w:rPr>
        <w:t>des dispositions spéciales </w:t>
      </w:r>
      <w:r w:rsidRPr="00BE5DA0">
        <w:rPr>
          <w:rFonts w:eastAsiaTheme="minorHAnsi"/>
          <w:u w:val="single"/>
        </w:rPr>
        <w:t xml:space="preserve">V5 </w:t>
      </w:r>
      <w:r w:rsidR="00F20AF0">
        <w:rPr>
          <w:rFonts w:eastAsiaTheme="minorHAnsi"/>
          <w:u w:val="single"/>
        </w:rPr>
        <w:t>et </w:t>
      </w:r>
      <w:r w:rsidRPr="00BE5DA0">
        <w:rPr>
          <w:rFonts w:eastAsiaTheme="minorHAnsi"/>
          <w:u w:val="single"/>
        </w:rPr>
        <w:t>V8 du chapitre</w:t>
      </w:r>
      <w:r w:rsidR="00F20AF0">
        <w:rPr>
          <w:rFonts w:eastAsiaTheme="minorHAnsi"/>
          <w:u w:val="single"/>
        </w:rPr>
        <w:t> </w:t>
      </w:r>
      <w:r w:rsidRPr="00BE5DA0">
        <w:rPr>
          <w:rFonts w:eastAsiaTheme="minorHAnsi"/>
          <w:u w:val="single"/>
        </w:rPr>
        <w:t>7.2, des</w:t>
      </w:r>
      <w:r w:rsidR="00FD49A7">
        <w:rPr>
          <w:rFonts w:eastAsiaTheme="minorHAnsi"/>
          <w:u w:val="single"/>
        </w:rPr>
        <w:t> </w:t>
      </w:r>
      <w:r w:rsidRPr="00BE5DA0">
        <w:rPr>
          <w:rFonts w:eastAsiaTheme="minorHAnsi"/>
          <w:u w:val="single"/>
        </w:rPr>
        <w:t>chapitres</w:t>
      </w:r>
      <w:r w:rsidR="00F20AF0">
        <w:rPr>
          <w:rFonts w:eastAsiaTheme="minorHAnsi"/>
          <w:u w:val="single"/>
        </w:rPr>
        <w:t> </w:t>
      </w:r>
      <w:r w:rsidRPr="00BE5DA0">
        <w:rPr>
          <w:rFonts w:eastAsiaTheme="minorHAnsi"/>
          <w:u w:val="single"/>
        </w:rPr>
        <w:t>7.3 à 7.5,</w:t>
      </w:r>
    </w:p>
    <w:p w:rsidR="00B12A2C" w:rsidRPr="00BE5DA0" w:rsidRDefault="00F20AF0" w:rsidP="00BE5DA0">
      <w:pPr>
        <w:pStyle w:val="Bullet1G"/>
        <w:rPr>
          <w:rFonts w:eastAsiaTheme="minorHAnsi"/>
          <w:u w:val="single"/>
        </w:rPr>
      </w:pPr>
      <w:r>
        <w:rPr>
          <w:rFonts w:eastAsiaTheme="minorHAnsi"/>
          <w:u w:val="single"/>
        </w:rPr>
        <w:t>Des </w:t>
      </w:r>
      <w:r w:rsidR="00B12A2C" w:rsidRPr="00BE5DA0">
        <w:rPr>
          <w:rFonts w:eastAsiaTheme="minorHAnsi"/>
          <w:u w:val="single"/>
        </w:rPr>
        <w:t xml:space="preserve">8.1.2.1 a), 8.1.4.2 à 8.1.4.5, 8.2.3, et 8.3.3 à 8.3.5, du chapitre 8.4, et </w:t>
      </w:r>
    </w:p>
    <w:p w:rsidR="00B12A2C" w:rsidRPr="00BE5DA0" w:rsidRDefault="003447D1" w:rsidP="00BE5DA0">
      <w:pPr>
        <w:pStyle w:val="Bullet1G"/>
        <w:rPr>
          <w:rFonts w:eastAsiaTheme="minorHAnsi"/>
          <w:u w:val="single"/>
        </w:rPr>
      </w:pPr>
      <w:r>
        <w:rPr>
          <w:rFonts w:eastAsiaTheme="minorHAnsi"/>
          <w:u w:val="single"/>
        </w:rPr>
        <w:t>D</w:t>
      </w:r>
      <w:r w:rsidR="00BE5DA0" w:rsidRPr="00BE5DA0">
        <w:rPr>
          <w:rFonts w:eastAsiaTheme="minorHAnsi"/>
          <w:u w:val="single"/>
        </w:rPr>
        <w:t xml:space="preserve">es </w:t>
      </w:r>
      <w:r w:rsidR="00B12A2C" w:rsidRPr="00BE5DA0">
        <w:rPr>
          <w:rFonts w:eastAsiaTheme="minorHAnsi"/>
          <w:u w:val="single"/>
        </w:rPr>
        <w:t>prescriptions du chapitre 8.5 suivantes</w:t>
      </w:r>
      <w:r w:rsidR="00F20AF0">
        <w:rPr>
          <w:rFonts w:eastAsiaTheme="minorHAnsi"/>
          <w:u w:val="single"/>
        </w:rPr>
        <w:t> </w:t>
      </w:r>
      <w:r w:rsidR="00B12A2C" w:rsidRPr="00BE5DA0">
        <w:rPr>
          <w:rFonts w:eastAsiaTheme="minorHAnsi"/>
          <w:u w:val="single"/>
        </w:rPr>
        <w:t>:</w:t>
      </w:r>
    </w:p>
    <w:p w:rsidR="00BE5DA0" w:rsidRPr="00E034AE" w:rsidRDefault="00F20AF0" w:rsidP="003447D1">
      <w:pPr>
        <w:pStyle w:val="Bullet2G"/>
        <w:rPr>
          <w:rFonts w:eastAsiaTheme="minorHAnsi"/>
          <w:u w:val="single"/>
          <w:lang w:val="en-US"/>
        </w:rPr>
      </w:pPr>
      <w:r w:rsidRPr="00E034AE">
        <w:rPr>
          <w:rFonts w:eastAsiaTheme="minorHAnsi"/>
          <w:u w:val="single"/>
          <w:lang w:val="en-US"/>
        </w:rPr>
        <w:t>S1 </w:t>
      </w:r>
      <w:r w:rsidR="00B12A2C" w:rsidRPr="00E034AE">
        <w:rPr>
          <w:rFonts w:eastAsiaTheme="minorHAnsi"/>
          <w:u w:val="single"/>
          <w:lang w:val="en-US"/>
        </w:rPr>
        <w:t>(3) et (6),</w:t>
      </w:r>
    </w:p>
    <w:p w:rsidR="00BE5DA0" w:rsidRPr="00E034AE" w:rsidRDefault="00B12A2C" w:rsidP="003447D1">
      <w:pPr>
        <w:pStyle w:val="Bullet2G"/>
        <w:rPr>
          <w:rFonts w:eastAsiaTheme="minorHAnsi"/>
          <w:u w:val="single"/>
          <w:lang w:val="en-US"/>
        </w:rPr>
      </w:pPr>
      <w:r w:rsidRPr="00E034AE">
        <w:rPr>
          <w:rFonts w:eastAsiaTheme="minorHAnsi"/>
          <w:u w:val="single"/>
          <w:lang w:val="en-US"/>
        </w:rPr>
        <w:t>S2</w:t>
      </w:r>
      <w:r w:rsidR="00F20AF0" w:rsidRPr="00E034AE">
        <w:rPr>
          <w:rFonts w:eastAsiaTheme="minorHAnsi"/>
          <w:u w:val="single"/>
          <w:lang w:val="en-US"/>
        </w:rPr>
        <w:t> </w:t>
      </w:r>
      <w:r w:rsidRPr="00E034AE">
        <w:rPr>
          <w:rFonts w:eastAsiaTheme="minorHAnsi"/>
          <w:u w:val="single"/>
          <w:lang w:val="en-US"/>
        </w:rPr>
        <w:t>(1),</w:t>
      </w:r>
    </w:p>
    <w:p w:rsidR="00BE5DA0" w:rsidRPr="00E034AE" w:rsidRDefault="00B12A2C" w:rsidP="003447D1">
      <w:pPr>
        <w:pStyle w:val="Bullet2G"/>
        <w:rPr>
          <w:rFonts w:eastAsiaTheme="minorHAnsi"/>
          <w:u w:val="single"/>
          <w:lang w:val="en-US"/>
        </w:rPr>
      </w:pPr>
      <w:r w:rsidRPr="00E034AE">
        <w:rPr>
          <w:rFonts w:eastAsiaTheme="minorHAnsi"/>
          <w:u w:val="single"/>
          <w:lang w:val="en-US"/>
        </w:rPr>
        <w:t>S4,</w:t>
      </w:r>
    </w:p>
    <w:p w:rsidR="00BE5DA0" w:rsidRPr="00E034AE" w:rsidRDefault="00B12A2C" w:rsidP="003447D1">
      <w:pPr>
        <w:pStyle w:val="Bullet2G"/>
        <w:rPr>
          <w:rFonts w:eastAsiaTheme="minorHAnsi"/>
          <w:u w:val="single"/>
          <w:lang w:val="en-US"/>
        </w:rPr>
      </w:pPr>
      <w:r w:rsidRPr="00E034AE">
        <w:rPr>
          <w:rFonts w:eastAsiaTheme="minorHAnsi"/>
          <w:u w:val="single"/>
          <w:lang w:val="en-US"/>
        </w:rPr>
        <w:t>S5</w:t>
      </w:r>
    </w:p>
    <w:p w:rsidR="00BE5DA0" w:rsidRPr="00E034AE" w:rsidRDefault="00B12A2C" w:rsidP="003447D1">
      <w:pPr>
        <w:pStyle w:val="Bullet2G"/>
        <w:rPr>
          <w:rFonts w:eastAsiaTheme="minorHAnsi"/>
          <w:u w:val="single"/>
          <w:lang w:val="en-US"/>
        </w:rPr>
      </w:pPr>
      <w:r w:rsidRPr="00E034AE">
        <w:rPr>
          <w:rFonts w:eastAsiaTheme="minorHAnsi"/>
          <w:u w:val="single"/>
          <w:lang w:val="en-US"/>
        </w:rPr>
        <w:t>S14 à S21 et</w:t>
      </w:r>
      <w:r w:rsidR="00BE5DA0" w:rsidRPr="00E034AE">
        <w:rPr>
          <w:rFonts w:eastAsiaTheme="minorHAnsi"/>
          <w:u w:val="single"/>
          <w:lang w:val="en-US"/>
        </w:rPr>
        <w:t xml:space="preserve"> </w:t>
      </w:r>
    </w:p>
    <w:p w:rsidR="00B12A2C" w:rsidRPr="00BE5DA0" w:rsidRDefault="00B12A2C" w:rsidP="003447D1">
      <w:pPr>
        <w:pStyle w:val="Bullet2G"/>
        <w:rPr>
          <w:rFonts w:eastAsiaTheme="minorHAnsi"/>
          <w:lang w:val="en-US"/>
        </w:rPr>
      </w:pPr>
      <w:r w:rsidRPr="00E034AE">
        <w:rPr>
          <w:rFonts w:eastAsiaTheme="minorHAnsi"/>
          <w:u w:val="single"/>
          <w:lang w:val="en-US"/>
        </w:rPr>
        <w:t>S24</w:t>
      </w:r>
      <w:r w:rsidRPr="00BE5DA0">
        <w:rPr>
          <w:rFonts w:eastAsiaTheme="minorHAnsi"/>
          <w:lang w:val="en-US"/>
        </w:rPr>
        <w:t>.</w:t>
      </w:r>
    </w:p>
    <w:p w:rsidR="00B12A2C" w:rsidRPr="007928E6" w:rsidRDefault="00BE5DA0" w:rsidP="00BE5DA0">
      <w:pPr>
        <w:pStyle w:val="SingleTxtG"/>
        <w:ind w:left="1701" w:hanging="567"/>
        <w:rPr>
          <w:rFonts w:eastAsiaTheme="minorHAnsi"/>
          <w:sz w:val="22"/>
        </w:rPr>
      </w:pPr>
      <w:r w:rsidRPr="00BE5DA0">
        <w:rPr>
          <w:rFonts w:eastAsiaTheme="minorHAnsi"/>
        </w:rPr>
        <w:tab/>
      </w:r>
      <w:r w:rsidR="00B12A2C" w:rsidRPr="007928E6">
        <w:rPr>
          <w:rFonts w:eastAsiaTheme="minorHAnsi"/>
          <w:u w:val="single"/>
        </w:rPr>
        <w:t xml:space="preserve">*) </w:t>
      </w:r>
      <w:r>
        <w:rPr>
          <w:rFonts w:eastAsiaTheme="minorHAnsi"/>
          <w:u w:val="single"/>
        </w:rPr>
        <w:t xml:space="preserve"> </w:t>
      </w:r>
      <w:r w:rsidR="00B12A2C">
        <w:rPr>
          <w:rFonts w:eastAsiaTheme="minorHAnsi"/>
          <w:u w:val="single"/>
        </w:rPr>
        <w:t>Le chapitre </w:t>
      </w:r>
      <w:r w:rsidR="00B12A2C" w:rsidRPr="007928E6">
        <w:rPr>
          <w:rFonts w:eastAsiaTheme="minorHAnsi"/>
          <w:u w:val="single"/>
        </w:rPr>
        <w:t xml:space="preserve">1.10 </w:t>
      </w:r>
      <w:r w:rsidR="00B12A2C">
        <w:rPr>
          <w:rFonts w:eastAsiaTheme="minorHAnsi"/>
          <w:u w:val="single"/>
        </w:rPr>
        <w:t>s</w:t>
      </w:r>
      <w:r w:rsidR="00FA4113">
        <w:rPr>
          <w:rFonts w:eastAsiaTheme="minorHAnsi"/>
          <w:u w:val="single"/>
        </w:rPr>
        <w:t>’</w:t>
      </w:r>
      <w:r w:rsidR="00B12A2C">
        <w:rPr>
          <w:rFonts w:eastAsiaTheme="minorHAnsi"/>
          <w:u w:val="single"/>
        </w:rPr>
        <w:t>applique uniquement aux matières</w:t>
      </w:r>
      <w:r w:rsidR="00B12A2C" w:rsidRPr="007928E6">
        <w:rPr>
          <w:rFonts w:eastAsiaTheme="minorHAnsi"/>
          <w:u w:val="single"/>
        </w:rPr>
        <w:t xml:space="preserve"> </w:t>
      </w:r>
      <w:r w:rsidR="00B12A2C">
        <w:rPr>
          <w:rFonts w:eastAsiaTheme="minorHAnsi"/>
          <w:u w:val="single"/>
        </w:rPr>
        <w:t xml:space="preserve">et aux objets </w:t>
      </w:r>
      <w:r w:rsidR="00B12A2C" w:rsidRPr="007928E6">
        <w:rPr>
          <w:rFonts w:eastAsiaTheme="minorHAnsi"/>
          <w:u w:val="single"/>
        </w:rPr>
        <w:t>explosi</w:t>
      </w:r>
      <w:r w:rsidR="00B12A2C">
        <w:rPr>
          <w:rFonts w:eastAsiaTheme="minorHAnsi"/>
          <w:u w:val="single"/>
        </w:rPr>
        <w:t>fs</w:t>
      </w:r>
      <w:r w:rsidR="00B12A2C" w:rsidRPr="007928E6">
        <w:rPr>
          <w:rFonts w:eastAsiaTheme="minorHAnsi"/>
          <w:u w:val="single"/>
        </w:rPr>
        <w:t xml:space="preserve"> </w:t>
      </w:r>
      <w:r w:rsidR="00B12A2C">
        <w:rPr>
          <w:rFonts w:eastAsiaTheme="minorHAnsi"/>
          <w:u w:val="single"/>
        </w:rPr>
        <w:t>qui relèvent</w:t>
      </w:r>
      <w:r w:rsidR="00B12A2C" w:rsidRPr="007928E6">
        <w:rPr>
          <w:rFonts w:eastAsiaTheme="minorHAnsi"/>
          <w:u w:val="single"/>
        </w:rPr>
        <w:t xml:space="preserve"> </w:t>
      </w:r>
      <w:r w:rsidR="00FA4113">
        <w:rPr>
          <w:rFonts w:eastAsiaTheme="minorHAnsi"/>
        </w:rPr>
        <w:t>des</w:t>
      </w:r>
      <w:r w:rsidR="00B12A2C">
        <w:rPr>
          <w:rFonts w:eastAsiaTheme="minorHAnsi"/>
        </w:rPr>
        <w:t xml:space="preserve"> </w:t>
      </w:r>
      <w:r w:rsidR="00FA4113">
        <w:rPr>
          <w:rFonts w:eastAsiaTheme="minorHAnsi"/>
        </w:rPr>
        <w:t xml:space="preserve">numéros </w:t>
      </w:r>
      <w:r w:rsidR="00B12A2C">
        <w:rPr>
          <w:rFonts w:eastAsiaTheme="minorHAnsi"/>
        </w:rPr>
        <w:t>ONU</w:t>
      </w:r>
      <w:r w:rsidR="00B12A2C" w:rsidRPr="007928E6">
        <w:rPr>
          <w:rFonts w:eastAsiaTheme="minorHAnsi"/>
        </w:rPr>
        <w:t xml:space="preserve"> 0029, 0030,</w:t>
      </w:r>
      <w:r w:rsidR="00B12A2C" w:rsidRPr="00A6666C">
        <w:rPr>
          <w:rFonts w:eastAsiaTheme="minorHAnsi"/>
        </w:rPr>
        <w:t xml:space="preserve"> </w:t>
      </w:r>
      <w:r w:rsidR="00B12A2C" w:rsidRPr="007928E6">
        <w:rPr>
          <w:rFonts w:eastAsiaTheme="minorHAnsi"/>
        </w:rPr>
        <w:t xml:space="preserve">0059, 0065, 0073, 0104, 0237, 0255, 0267, 0288, 0289, 0290, 0360, 0361, 0364, 0365, 0366, 0439, 0440, 0441, 0455, 0456 </w:t>
      </w:r>
      <w:r w:rsidR="00B12A2C">
        <w:rPr>
          <w:rFonts w:eastAsiaTheme="minorHAnsi"/>
        </w:rPr>
        <w:t>et</w:t>
      </w:r>
      <w:r w:rsidR="00B12A2C" w:rsidRPr="007928E6">
        <w:rPr>
          <w:rFonts w:eastAsiaTheme="minorHAnsi"/>
        </w:rPr>
        <w:t xml:space="preserve"> 0500 </w:t>
      </w:r>
      <w:r w:rsidR="00B12A2C" w:rsidRPr="0037301F">
        <w:rPr>
          <w:rFonts w:eastAsiaTheme="minorHAnsi"/>
          <w:lang w:val="fr-FR"/>
        </w:rPr>
        <w:t>à l</w:t>
      </w:r>
      <w:r w:rsidR="00FA4113">
        <w:rPr>
          <w:rFonts w:eastAsiaTheme="minorHAnsi"/>
          <w:lang w:val="fr-FR"/>
        </w:rPr>
        <w:t>’</w:t>
      </w:r>
      <w:r w:rsidR="00B12A2C" w:rsidRPr="0037301F">
        <w:rPr>
          <w:rFonts w:eastAsiaTheme="minorHAnsi"/>
          <w:lang w:val="fr-FR"/>
        </w:rPr>
        <w:t>exception des colis</w:t>
      </w:r>
      <w:r w:rsidR="00B12A2C">
        <w:rPr>
          <w:rFonts w:eastAsiaTheme="minorHAnsi"/>
          <w:lang w:val="fr-FR"/>
        </w:rPr>
        <w:t xml:space="preserve"> </w:t>
      </w:r>
      <w:r w:rsidR="00B12A2C" w:rsidRPr="0037301F">
        <w:rPr>
          <w:rFonts w:eastAsiaTheme="minorHAnsi"/>
          <w:lang w:val="fr-FR"/>
        </w:rPr>
        <w:t>exceptés de la classe 7, Nos O</w:t>
      </w:r>
      <w:r w:rsidR="00B12A2C">
        <w:rPr>
          <w:rFonts w:eastAsiaTheme="minorHAnsi"/>
          <w:lang w:val="fr-FR"/>
        </w:rPr>
        <w:t>NU 2910 et 2911, si le niveau d</w:t>
      </w:r>
      <w:r w:rsidR="00FA4113">
        <w:rPr>
          <w:rFonts w:eastAsiaTheme="minorHAnsi"/>
          <w:lang w:val="fr-FR"/>
        </w:rPr>
        <w:t>’</w:t>
      </w:r>
      <w:r w:rsidR="00B12A2C" w:rsidRPr="0037301F">
        <w:rPr>
          <w:rFonts w:eastAsiaTheme="minorHAnsi"/>
          <w:lang w:val="fr-FR"/>
        </w:rPr>
        <w:t>activité dépasse la valeur A</w:t>
      </w:r>
      <w:r w:rsidR="00B12A2C" w:rsidRPr="00F20AF0">
        <w:rPr>
          <w:rFonts w:eastAsiaTheme="minorHAnsi"/>
        </w:rPr>
        <w:t>2</w:t>
      </w:r>
      <w:r w:rsidR="00B12A2C">
        <w:rPr>
          <w:rFonts w:eastAsiaTheme="minorHAnsi"/>
        </w:rPr>
        <w:t> ».</w:t>
      </w:r>
    </w:p>
    <w:p w:rsidR="00B12A2C" w:rsidRPr="007928E6" w:rsidRDefault="00B12A2C" w:rsidP="00BE5DA0">
      <w:pPr>
        <w:pStyle w:val="H1G"/>
      </w:pPr>
      <w:r w:rsidRPr="007928E6">
        <w:lastRenderedPageBreak/>
        <w:tab/>
      </w:r>
      <w:r w:rsidRPr="007928E6">
        <w:tab/>
      </w:r>
      <w:r>
        <w:t>Proposition</w:t>
      </w:r>
      <w:r w:rsidR="00BE5DA0">
        <w:t> </w:t>
      </w:r>
      <w:r w:rsidRPr="007928E6">
        <w:t>3</w:t>
      </w:r>
    </w:p>
    <w:p w:rsidR="00B12A2C" w:rsidRPr="007928E6" w:rsidRDefault="00B12A2C" w:rsidP="00465E76">
      <w:pPr>
        <w:pStyle w:val="SingleTxtG"/>
        <w:keepNext/>
        <w:keepLines/>
      </w:pPr>
      <w:r w:rsidRPr="007928E6">
        <w:t>15.</w:t>
      </w:r>
      <w:r w:rsidRPr="007928E6">
        <w:tab/>
      </w:r>
      <w:r>
        <w:t>Modifier le texte du</w:t>
      </w:r>
      <w:r w:rsidRPr="007928E6">
        <w:t xml:space="preserve"> 1.1.3.6.4 </w:t>
      </w:r>
      <w:r>
        <w:t>comme suit</w:t>
      </w:r>
      <w:r w:rsidR="00F20AF0">
        <w:t> </w:t>
      </w:r>
      <w:r w:rsidRPr="007928E6">
        <w:t>:</w:t>
      </w:r>
    </w:p>
    <w:p w:rsidR="00B12A2C" w:rsidRPr="0037301F" w:rsidRDefault="00B12A2C" w:rsidP="00182403">
      <w:pPr>
        <w:pStyle w:val="SingleTxtG"/>
        <w:keepNext/>
        <w:keepLines/>
        <w:ind w:left="2268" w:hanging="1134"/>
        <w:rPr>
          <w:lang w:val="fr-FR"/>
        </w:rPr>
      </w:pPr>
      <w:r>
        <w:t>« </w:t>
      </w:r>
      <w:r w:rsidRPr="007928E6">
        <w:t>1.1.3.6.4</w:t>
      </w:r>
      <w:r w:rsidRPr="007928E6">
        <w:tab/>
      </w:r>
      <w:r w:rsidRPr="0037301F">
        <w:rPr>
          <w:lang w:val="fr-FR"/>
        </w:rPr>
        <w:t xml:space="preserve">Lorsque des marchandises dangereuses </w:t>
      </w:r>
      <w:r w:rsidRPr="0037301F">
        <w:rPr>
          <w:strike/>
          <w:lang w:val="fr-FR"/>
        </w:rPr>
        <w:t>appartenant à des catégories de transport différentes,</w:t>
      </w:r>
      <w:r w:rsidRPr="0037301F">
        <w:rPr>
          <w:lang w:val="fr-FR"/>
        </w:rPr>
        <w:t xml:space="preserve"> sont transportées dans </w:t>
      </w:r>
      <w:r w:rsidRPr="0037301F">
        <w:rPr>
          <w:strike/>
          <w:lang w:val="fr-FR"/>
        </w:rPr>
        <w:t>la même</w:t>
      </w:r>
      <w:r w:rsidRPr="0037301F">
        <w:rPr>
          <w:lang w:val="fr-FR"/>
        </w:rPr>
        <w:t xml:space="preserve"> </w:t>
      </w:r>
      <w:r w:rsidRPr="0037301F">
        <w:rPr>
          <w:u w:val="single"/>
          <w:lang w:val="fr-FR"/>
        </w:rPr>
        <w:t>une</w:t>
      </w:r>
      <w:r>
        <w:rPr>
          <w:lang w:val="fr-FR"/>
        </w:rPr>
        <w:t xml:space="preserve"> </w:t>
      </w:r>
      <w:r w:rsidRPr="0037301F">
        <w:rPr>
          <w:lang w:val="fr-FR"/>
        </w:rPr>
        <w:t>u</w:t>
      </w:r>
      <w:r>
        <w:rPr>
          <w:lang w:val="fr-FR"/>
        </w:rPr>
        <w:t>nité de transport, la somme de</w:t>
      </w:r>
      <w:r w:rsidR="00BE5DA0">
        <w:rPr>
          <w:lang w:val="fr-FR"/>
        </w:rPr>
        <w:t> </w:t>
      </w:r>
      <w:r>
        <w:rPr>
          <w:lang w:val="fr-FR"/>
        </w:rPr>
        <w:t>:</w:t>
      </w:r>
    </w:p>
    <w:p w:rsidR="00B12A2C" w:rsidRPr="007928E6" w:rsidRDefault="00BE5DA0" w:rsidP="00182403">
      <w:pPr>
        <w:pStyle w:val="Bullet1G"/>
        <w:ind w:left="2268"/>
      </w:pPr>
      <w:r>
        <w:t>L</w:t>
      </w:r>
      <w:r w:rsidR="00465E76">
        <w:t>a quantité de matières et d</w:t>
      </w:r>
      <w:r w:rsidR="00FA4113">
        <w:t>’</w:t>
      </w:r>
      <w:r w:rsidR="00B12A2C" w:rsidRPr="0037301F">
        <w:t>objets de la catégorie de</w:t>
      </w:r>
      <w:r w:rsidR="00465E76">
        <w:t xml:space="preserve"> transport </w:t>
      </w:r>
      <w:r w:rsidR="00B12A2C">
        <w:t>1 multipliée par</w:t>
      </w:r>
      <w:r w:rsidR="00465E76">
        <w:t> </w:t>
      </w:r>
      <w:r>
        <w:rPr>
          <w:lang w:val="en-GB"/>
        </w:rPr>
        <w:t>“</w:t>
      </w:r>
      <w:r w:rsidR="00B12A2C" w:rsidRPr="007928E6">
        <w:t>50</w:t>
      </w:r>
      <w:r>
        <w:rPr>
          <w:lang w:val="en-GB"/>
        </w:rPr>
        <w:t>” ;</w:t>
      </w:r>
    </w:p>
    <w:p w:rsidR="00B12A2C" w:rsidRPr="007928E6" w:rsidRDefault="00BE5DA0" w:rsidP="00182403">
      <w:pPr>
        <w:pStyle w:val="Bullet1G"/>
        <w:ind w:left="2268"/>
      </w:pPr>
      <w:r>
        <w:rPr>
          <w:lang w:val="fr-FR"/>
        </w:rPr>
        <w:t>L</w:t>
      </w:r>
      <w:r w:rsidR="00B12A2C" w:rsidRPr="0037301F">
        <w:rPr>
          <w:lang w:val="fr-FR"/>
        </w:rPr>
        <w:t>a quantité de matières et d</w:t>
      </w:r>
      <w:r w:rsidR="00FA4113">
        <w:rPr>
          <w:lang w:val="fr-FR"/>
        </w:rPr>
        <w:t>’</w:t>
      </w:r>
      <w:r w:rsidR="00B12A2C" w:rsidRPr="0037301F">
        <w:rPr>
          <w:lang w:val="fr-FR"/>
        </w:rPr>
        <w:t>objets de la catégorie de transport 1 cités dans la note a au bas de tablea</w:t>
      </w:r>
      <w:r w:rsidR="00B12A2C">
        <w:rPr>
          <w:lang w:val="fr-FR"/>
        </w:rPr>
        <w:t xml:space="preserve">u du 1.1.3.6.3, multipliée par </w:t>
      </w:r>
      <w:r>
        <w:rPr>
          <w:lang w:val="en-GB"/>
        </w:rPr>
        <w:t>“</w:t>
      </w:r>
      <w:r w:rsidR="00B12A2C" w:rsidRPr="007928E6">
        <w:t>20</w:t>
      </w:r>
      <w:r>
        <w:rPr>
          <w:lang w:val="en-GB"/>
        </w:rPr>
        <w:t>” </w:t>
      </w:r>
      <w:r w:rsidR="00B12A2C" w:rsidRPr="007928E6">
        <w:t>;</w:t>
      </w:r>
    </w:p>
    <w:p w:rsidR="00B12A2C" w:rsidRPr="007928E6" w:rsidRDefault="00BE5DA0" w:rsidP="00182403">
      <w:pPr>
        <w:pStyle w:val="Bullet1G"/>
        <w:ind w:left="2268"/>
      </w:pPr>
      <w:r>
        <w:t>L</w:t>
      </w:r>
      <w:r w:rsidR="00B12A2C" w:rsidRPr="0037301F">
        <w:t>a quantité de matières et d</w:t>
      </w:r>
      <w:r w:rsidR="00FA4113">
        <w:t>’</w:t>
      </w:r>
      <w:r w:rsidR="00B12A2C" w:rsidRPr="0037301F">
        <w:t xml:space="preserve">objets de la catégorie de transport 2 multipliée par </w:t>
      </w:r>
      <w:r>
        <w:rPr>
          <w:lang w:val="en-GB"/>
        </w:rPr>
        <w:t>“</w:t>
      </w:r>
      <w:r w:rsidR="00B12A2C" w:rsidRPr="007928E6">
        <w:t>3</w:t>
      </w:r>
      <w:r>
        <w:rPr>
          <w:lang w:val="en-GB"/>
        </w:rPr>
        <w:t>” </w:t>
      </w:r>
      <w:r w:rsidR="00B12A2C" w:rsidRPr="007928E6">
        <w:t xml:space="preserve">; </w:t>
      </w:r>
      <w:r w:rsidR="00B12A2C">
        <w:t>et</w:t>
      </w:r>
    </w:p>
    <w:p w:rsidR="00B12A2C" w:rsidRPr="007928E6" w:rsidRDefault="00BE5DA0" w:rsidP="00182403">
      <w:pPr>
        <w:pStyle w:val="Bullet1G"/>
        <w:ind w:left="2268"/>
      </w:pPr>
      <w:r>
        <w:t>L</w:t>
      </w:r>
      <w:r w:rsidR="00465E76">
        <w:t>a quantité de matières et d</w:t>
      </w:r>
      <w:r w:rsidR="00FA4113">
        <w:t>’</w:t>
      </w:r>
      <w:r w:rsidR="00B12A2C" w:rsidRPr="0037301F">
        <w:t>objets de la catégorie de tr</w:t>
      </w:r>
      <w:r>
        <w:t>ansport </w:t>
      </w:r>
      <w:r w:rsidR="00B12A2C" w:rsidRPr="007928E6">
        <w:t>3;</w:t>
      </w:r>
    </w:p>
    <w:p w:rsidR="00B12A2C" w:rsidRPr="007928E6" w:rsidRDefault="00BE5DA0" w:rsidP="00182403">
      <w:pPr>
        <w:pStyle w:val="Bullet1G"/>
        <w:numPr>
          <w:ilvl w:val="0"/>
          <w:numId w:val="0"/>
        </w:numPr>
        <w:ind w:left="2268"/>
      </w:pPr>
      <w:r>
        <w:t>N</w:t>
      </w:r>
      <w:r w:rsidR="00B12A2C" w:rsidRPr="005B5740">
        <w:t xml:space="preserve">e doit dépasser </w:t>
      </w:r>
      <w:r>
        <w:rPr>
          <w:lang w:val="en-GB"/>
        </w:rPr>
        <w:t>“</w:t>
      </w:r>
      <w:r>
        <w:t>1 000</w:t>
      </w:r>
      <w:r>
        <w:rPr>
          <w:lang w:val="en-GB"/>
        </w:rPr>
        <w:t>”</w:t>
      </w:r>
      <w:r w:rsidR="00B12A2C">
        <w:t> ».</w:t>
      </w:r>
    </w:p>
    <w:p w:rsidR="00B12A2C" w:rsidRPr="007928E6" w:rsidRDefault="00B12A2C" w:rsidP="00F20AF0">
      <w:pPr>
        <w:pStyle w:val="H1G"/>
        <w:rPr>
          <w:rFonts w:eastAsiaTheme="minorHAnsi"/>
        </w:rPr>
      </w:pPr>
      <w:r w:rsidRPr="007928E6">
        <w:rPr>
          <w:rFonts w:eastAsiaTheme="minorHAnsi"/>
        </w:rPr>
        <w:tab/>
      </w:r>
      <w:r w:rsidRPr="007928E6">
        <w:rPr>
          <w:rFonts w:eastAsiaTheme="minorHAnsi"/>
        </w:rPr>
        <w:tab/>
      </w:r>
      <w:r>
        <w:rPr>
          <w:rFonts w:eastAsiaTheme="minorHAnsi"/>
        </w:rPr>
        <w:t>Proposition</w:t>
      </w:r>
      <w:r w:rsidR="00F20AF0">
        <w:rPr>
          <w:rFonts w:eastAsiaTheme="minorHAnsi"/>
        </w:rPr>
        <w:t> </w:t>
      </w:r>
      <w:r w:rsidRPr="007928E6">
        <w:rPr>
          <w:rFonts w:eastAsiaTheme="minorHAnsi"/>
        </w:rPr>
        <w:t>4</w:t>
      </w:r>
    </w:p>
    <w:p w:rsidR="00B12A2C" w:rsidRPr="007928E6" w:rsidRDefault="00B12A2C" w:rsidP="00465E76">
      <w:pPr>
        <w:pStyle w:val="SingleTxtG"/>
        <w:keepNext/>
        <w:keepLines/>
      </w:pPr>
      <w:r w:rsidRPr="007928E6">
        <w:t>16.</w:t>
      </w:r>
      <w:r w:rsidRPr="007928E6">
        <w:tab/>
      </w:r>
      <w:r>
        <w:t>Modifier le nota 1 du 5.4.1.1.1 f)</w:t>
      </w:r>
      <w:r w:rsidRPr="007928E6">
        <w:t xml:space="preserve"> </w:t>
      </w:r>
      <w:r>
        <w:t>comme suit</w:t>
      </w:r>
      <w:r w:rsidR="00F20AF0">
        <w:t> </w:t>
      </w:r>
      <w:r w:rsidRPr="007928E6">
        <w:t>:</w:t>
      </w:r>
    </w:p>
    <w:p w:rsidR="00B12A2C" w:rsidRPr="007256CD" w:rsidRDefault="00B12A2C" w:rsidP="00F20AF0">
      <w:pPr>
        <w:pStyle w:val="SingleTxtG"/>
        <w:rPr>
          <w:lang w:val="fr-FR"/>
        </w:rPr>
      </w:pPr>
      <w:r>
        <w:t>« NOTA </w:t>
      </w:r>
      <w:r w:rsidRPr="007928E6">
        <w:t xml:space="preserve">1: </w:t>
      </w:r>
      <w:r w:rsidRPr="007256CD">
        <w:rPr>
          <w:lang w:val="fr-FR"/>
        </w:rPr>
        <w:t>D</w:t>
      </w:r>
      <w:r>
        <w:rPr>
          <w:lang w:val="fr-FR"/>
        </w:rPr>
        <w:t>ans le cas où il est envisagé d</w:t>
      </w:r>
      <w:r w:rsidR="00FA4113">
        <w:rPr>
          <w:lang w:val="fr-FR"/>
        </w:rPr>
        <w:t>’</w:t>
      </w:r>
      <w:r w:rsidRPr="007256CD">
        <w:rPr>
          <w:lang w:val="fr-FR"/>
        </w:rPr>
        <w:t xml:space="preserve">appliquer le 1.1.3.6, la quantité totale des marchandises dangereuses de chaque catégorie de transport </w:t>
      </w:r>
      <w:r w:rsidRPr="007256CD">
        <w:rPr>
          <w:u w:val="single"/>
          <w:lang w:val="fr-FR"/>
        </w:rPr>
        <w:t xml:space="preserve">ainsi que la </w:t>
      </w:r>
      <w:r w:rsidRPr="005367A1">
        <w:rPr>
          <w:rFonts w:eastAsiaTheme="minorHAnsi"/>
          <w:u w:val="single"/>
        </w:rPr>
        <w:t xml:space="preserve">valeur pondérée </w:t>
      </w:r>
      <w:r>
        <w:rPr>
          <w:rFonts w:eastAsiaTheme="minorHAnsi"/>
          <w:u w:val="single"/>
        </w:rPr>
        <w:t>y</w:t>
      </w:r>
      <w:r w:rsidR="00F20AF0">
        <w:rPr>
          <w:rFonts w:eastAsiaTheme="minorHAnsi"/>
          <w:u w:val="single"/>
        </w:rPr>
        <w:t> </w:t>
      </w:r>
      <w:r w:rsidRPr="005367A1">
        <w:rPr>
          <w:rFonts w:eastAsiaTheme="minorHAnsi"/>
          <w:u w:val="single"/>
        </w:rPr>
        <w:t xml:space="preserve">correspondant </w:t>
      </w:r>
      <w:r w:rsidRPr="007256CD">
        <w:rPr>
          <w:lang w:val="fr-FR"/>
        </w:rPr>
        <w:t>doi</w:t>
      </w:r>
      <w:r w:rsidRPr="005367A1">
        <w:rPr>
          <w:u w:val="single"/>
          <w:lang w:val="fr-FR"/>
        </w:rPr>
        <w:t>ven</w:t>
      </w:r>
      <w:r w:rsidRPr="007256CD">
        <w:rPr>
          <w:lang w:val="fr-FR"/>
        </w:rPr>
        <w:t>t être indiquée</w:t>
      </w:r>
      <w:r w:rsidRPr="005367A1">
        <w:rPr>
          <w:u w:val="single"/>
          <w:lang w:val="fr-FR"/>
        </w:rPr>
        <w:t>s</w:t>
      </w:r>
      <w:r w:rsidRPr="007256CD">
        <w:rPr>
          <w:lang w:val="fr-FR"/>
        </w:rPr>
        <w:t xml:space="preserve"> dans le document de transport </w:t>
      </w:r>
      <w:r w:rsidRPr="007256CD">
        <w:rPr>
          <w:strike/>
          <w:lang w:val="fr-FR"/>
        </w:rPr>
        <w:t>conformément au 1.1.3.6.3</w:t>
      </w:r>
      <w:r>
        <w:rPr>
          <w:lang w:val="fr-FR"/>
        </w:rPr>
        <w:t xml:space="preserve"> </w:t>
      </w:r>
      <w:r w:rsidRPr="007256CD">
        <w:rPr>
          <w:u w:val="single"/>
          <w:lang w:val="fr-FR"/>
        </w:rPr>
        <w:t xml:space="preserve">(voir les </w:t>
      </w:r>
      <w:r w:rsidRPr="007256CD">
        <w:rPr>
          <w:u w:val="single"/>
        </w:rPr>
        <w:t xml:space="preserve">1.1.3.6.2 </w:t>
      </w:r>
      <w:r>
        <w:rPr>
          <w:u w:val="single"/>
        </w:rPr>
        <w:t>et</w:t>
      </w:r>
      <w:r w:rsidRPr="007256CD">
        <w:rPr>
          <w:u w:val="single"/>
        </w:rPr>
        <w:t xml:space="preserve"> 1.1.</w:t>
      </w:r>
      <w:r>
        <w:rPr>
          <w:u w:val="single"/>
        </w:rPr>
        <w:t>3.6.4)</w:t>
      </w:r>
      <w:r>
        <w:rPr>
          <w:lang w:val="fr-FR"/>
        </w:rPr>
        <w:t> ».</w:t>
      </w:r>
    </w:p>
    <w:p w:rsidR="00B12A2C" w:rsidRPr="007928E6" w:rsidRDefault="00B12A2C" w:rsidP="00F20AF0">
      <w:pPr>
        <w:pStyle w:val="H1G"/>
      </w:pPr>
      <w:r w:rsidRPr="007928E6">
        <w:tab/>
      </w:r>
      <w:r w:rsidRPr="007928E6">
        <w:tab/>
      </w:r>
      <w:r>
        <w:t>Proposition</w:t>
      </w:r>
      <w:r w:rsidR="00F20AF0">
        <w:t> </w:t>
      </w:r>
      <w:r w:rsidRPr="007928E6">
        <w:t>5</w:t>
      </w:r>
    </w:p>
    <w:p w:rsidR="00B12A2C" w:rsidRPr="007928E6" w:rsidRDefault="00B12A2C" w:rsidP="00F20AF0">
      <w:pPr>
        <w:pStyle w:val="SingleTxtG"/>
      </w:pPr>
      <w:r w:rsidRPr="007928E6">
        <w:t>17.</w:t>
      </w:r>
      <w:r w:rsidRPr="007928E6">
        <w:tab/>
      </w:r>
      <w:r>
        <w:t>Ajouter l</w:t>
      </w:r>
      <w:r w:rsidR="00FA4113">
        <w:t>’</w:t>
      </w:r>
      <w:r>
        <w:t>exemple suivant à la fin du nota 1 du 5.4.1.1.1 f)</w:t>
      </w:r>
      <w:r w:rsidR="00F20AF0">
        <w:t> </w:t>
      </w:r>
      <w:r w:rsidRPr="007928E6">
        <w:t>:</w:t>
      </w:r>
    </w:p>
    <w:p w:rsidR="00B12A2C" w:rsidRPr="00F20AF0" w:rsidRDefault="00B12A2C" w:rsidP="00F20AF0">
      <w:pPr>
        <w:pStyle w:val="SingleTxtG"/>
        <w:rPr>
          <w:u w:val="single"/>
        </w:rPr>
      </w:pPr>
      <w:r>
        <w:t>« </w:t>
      </w:r>
      <w:r w:rsidRPr="00F20AF0">
        <w:rPr>
          <w:u w:val="single"/>
        </w:rPr>
        <w:t>Voir l</w:t>
      </w:r>
      <w:r w:rsidR="00FA4113">
        <w:rPr>
          <w:u w:val="single"/>
        </w:rPr>
        <w:t>’</w:t>
      </w:r>
      <w:r w:rsidRPr="00F20AF0">
        <w:rPr>
          <w:u w:val="single"/>
        </w:rPr>
        <w:t>exemple ci-après</w:t>
      </w:r>
      <w:r w:rsidR="00F20AF0" w:rsidRPr="00F20AF0">
        <w:rPr>
          <w:u w:val="single"/>
        </w:rPr>
        <w:t> </w:t>
      </w:r>
      <w:r w:rsidRPr="00F20AF0">
        <w:rPr>
          <w:u w:val="single"/>
        </w:rPr>
        <w:t>:</w:t>
      </w:r>
    </w:p>
    <w:p w:rsidR="00F20AF0" w:rsidRPr="00F20AF0" w:rsidRDefault="00B12A2C" w:rsidP="00F20AF0">
      <w:pPr>
        <w:pStyle w:val="SingleTxtG"/>
        <w:rPr>
          <w:u w:val="single"/>
        </w:rPr>
      </w:pPr>
      <w:r w:rsidRPr="00F20AF0">
        <w:rPr>
          <w:u w:val="single"/>
        </w:rPr>
        <w:t>“Catégorie de transport</w:t>
      </w:r>
      <w:r w:rsidR="00F20AF0">
        <w:rPr>
          <w:u w:val="single"/>
        </w:rPr>
        <w:t> </w:t>
      </w:r>
      <w:r w:rsidRPr="00F20AF0">
        <w:rPr>
          <w:u w:val="single"/>
        </w:rPr>
        <w:t>2</w:t>
      </w:r>
      <w:r w:rsidR="00F20AF0">
        <w:rPr>
          <w:u w:val="single"/>
        </w:rPr>
        <w:t> : 44 </w:t>
      </w:r>
      <w:r w:rsidRPr="00F20AF0">
        <w:rPr>
          <w:u w:val="single"/>
        </w:rPr>
        <w:t>kg, valeur</w:t>
      </w:r>
      <w:r w:rsidR="00F20AF0">
        <w:rPr>
          <w:u w:val="single"/>
        </w:rPr>
        <w:t> </w:t>
      </w:r>
      <w:r w:rsidRPr="00F20AF0">
        <w:rPr>
          <w:u w:val="single"/>
        </w:rPr>
        <w:t>132,</w:t>
      </w:r>
    </w:p>
    <w:p w:rsidR="00B12A2C" w:rsidRPr="007928E6" w:rsidRDefault="00B12A2C" w:rsidP="00F20AF0">
      <w:pPr>
        <w:pStyle w:val="SingleTxtG"/>
        <w:rPr>
          <w:rFonts w:ascii="TimesNewRomanPSMT" w:eastAsiaTheme="minorHAnsi" w:hAnsi="TimesNewRomanPSMT" w:cs="TimesNewRomanPSMT"/>
          <w:sz w:val="22"/>
          <w:szCs w:val="22"/>
        </w:rPr>
      </w:pPr>
      <w:r w:rsidRPr="00F20AF0">
        <w:rPr>
          <w:u w:val="single"/>
        </w:rPr>
        <w:t>“Catégorie de transport</w:t>
      </w:r>
      <w:r w:rsidR="00F20AF0">
        <w:rPr>
          <w:u w:val="single"/>
        </w:rPr>
        <w:t> </w:t>
      </w:r>
      <w:r w:rsidRPr="00F20AF0">
        <w:rPr>
          <w:u w:val="single"/>
        </w:rPr>
        <w:t>3</w:t>
      </w:r>
      <w:r w:rsidR="00F20AF0">
        <w:rPr>
          <w:u w:val="single"/>
        </w:rPr>
        <w:t> </w:t>
      </w:r>
      <w:r w:rsidRPr="00F20AF0">
        <w:rPr>
          <w:u w:val="single"/>
        </w:rPr>
        <w:t>: 600</w:t>
      </w:r>
      <w:r w:rsidR="00F20AF0">
        <w:rPr>
          <w:u w:val="single"/>
        </w:rPr>
        <w:t> </w:t>
      </w:r>
      <w:r w:rsidRPr="00F20AF0">
        <w:rPr>
          <w:u w:val="single"/>
        </w:rPr>
        <w:t>litres, valeur 600”</w:t>
      </w:r>
      <w:r>
        <w:t> ».</w:t>
      </w:r>
    </w:p>
    <w:p w:rsidR="00B12A2C" w:rsidRPr="00B12A2C" w:rsidRDefault="00B12A2C" w:rsidP="00B12A2C">
      <w:pPr>
        <w:pStyle w:val="SingleTxtG"/>
        <w:spacing w:before="240" w:after="0"/>
        <w:jc w:val="center"/>
        <w:rPr>
          <w:u w:val="single"/>
        </w:rPr>
      </w:pPr>
      <w:r>
        <w:rPr>
          <w:u w:val="single"/>
        </w:rPr>
        <w:tab/>
      </w:r>
      <w:r>
        <w:rPr>
          <w:u w:val="single"/>
        </w:rPr>
        <w:tab/>
      </w:r>
      <w:r>
        <w:rPr>
          <w:u w:val="single"/>
        </w:rPr>
        <w:tab/>
      </w:r>
    </w:p>
    <w:sectPr w:rsidR="00B12A2C" w:rsidRPr="00B12A2C" w:rsidSect="00B12A2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2A" w:rsidRDefault="0029182A" w:rsidP="00F95C08">
      <w:pPr>
        <w:spacing w:line="240" w:lineRule="auto"/>
      </w:pPr>
    </w:p>
  </w:endnote>
  <w:endnote w:type="continuationSeparator" w:id="0">
    <w:p w:rsidR="0029182A" w:rsidRPr="00AC3823" w:rsidRDefault="0029182A" w:rsidP="00AC3823">
      <w:pPr>
        <w:pStyle w:val="Footer"/>
      </w:pPr>
    </w:p>
  </w:endnote>
  <w:endnote w:type="continuationNotice" w:id="1">
    <w:p w:rsidR="0029182A" w:rsidRDefault="002918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2C" w:rsidRPr="00B12A2C" w:rsidRDefault="00B12A2C" w:rsidP="00B12A2C">
    <w:pPr>
      <w:pStyle w:val="Footer"/>
      <w:tabs>
        <w:tab w:val="right" w:pos="9638"/>
      </w:tabs>
    </w:pPr>
    <w:r w:rsidRPr="00B12A2C">
      <w:rPr>
        <w:b/>
        <w:sz w:val="18"/>
      </w:rPr>
      <w:fldChar w:fldCharType="begin"/>
    </w:r>
    <w:r w:rsidRPr="00B12A2C">
      <w:rPr>
        <w:b/>
        <w:sz w:val="18"/>
      </w:rPr>
      <w:instrText xml:space="preserve"> PAGE  \* MERGEFORMAT </w:instrText>
    </w:r>
    <w:r w:rsidRPr="00B12A2C">
      <w:rPr>
        <w:b/>
        <w:sz w:val="18"/>
      </w:rPr>
      <w:fldChar w:fldCharType="separate"/>
    </w:r>
    <w:r w:rsidR="0004319C">
      <w:rPr>
        <w:b/>
        <w:noProof/>
        <w:sz w:val="18"/>
      </w:rPr>
      <w:t>4</w:t>
    </w:r>
    <w:r w:rsidRPr="00B12A2C">
      <w:rPr>
        <w:b/>
        <w:sz w:val="18"/>
      </w:rPr>
      <w:fldChar w:fldCharType="end"/>
    </w:r>
    <w:r>
      <w:rPr>
        <w:b/>
        <w:sz w:val="18"/>
      </w:rPr>
      <w:tab/>
    </w:r>
    <w:r>
      <w:t>GE.16-14498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2C" w:rsidRPr="00B12A2C" w:rsidRDefault="00B12A2C" w:rsidP="00B12A2C">
    <w:pPr>
      <w:pStyle w:val="Footer"/>
      <w:tabs>
        <w:tab w:val="right" w:pos="9638"/>
      </w:tabs>
      <w:rPr>
        <w:b/>
        <w:sz w:val="18"/>
      </w:rPr>
    </w:pPr>
    <w:r>
      <w:t>GE.16-14498</w:t>
    </w:r>
    <w:r>
      <w:tab/>
    </w:r>
    <w:r w:rsidRPr="00B12A2C">
      <w:rPr>
        <w:b/>
        <w:sz w:val="18"/>
      </w:rPr>
      <w:fldChar w:fldCharType="begin"/>
    </w:r>
    <w:r w:rsidRPr="00B12A2C">
      <w:rPr>
        <w:b/>
        <w:sz w:val="18"/>
      </w:rPr>
      <w:instrText xml:space="preserve"> PAGE  \* MERGEFORMAT </w:instrText>
    </w:r>
    <w:r w:rsidRPr="00B12A2C">
      <w:rPr>
        <w:b/>
        <w:sz w:val="18"/>
      </w:rPr>
      <w:fldChar w:fldCharType="separate"/>
    </w:r>
    <w:r w:rsidR="0004319C">
      <w:rPr>
        <w:b/>
        <w:noProof/>
        <w:sz w:val="18"/>
      </w:rPr>
      <w:t>5</w:t>
    </w:r>
    <w:r w:rsidRPr="00B12A2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B12A2C" w:rsidRDefault="00B12A2C" w:rsidP="00B12A2C">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0C7BB81D" wp14:editId="0152F62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16-14498  (F)    </w:t>
    </w:r>
    <w:r w:rsidRPr="002F244E">
      <w:rPr>
        <w:sz w:val="20"/>
      </w:rPr>
      <w:t>230916    260916</w:t>
    </w:r>
    <w:r>
      <w:rPr>
        <w:sz w:val="20"/>
      </w:rPr>
      <w:br/>
    </w:r>
    <w:r w:rsidRPr="00B12A2C">
      <w:rPr>
        <w:rFonts w:ascii="C39T30Lfz" w:hAnsi="C39T30Lfz"/>
        <w:sz w:val="56"/>
      </w:rPr>
      <w:t></w:t>
    </w:r>
    <w:r w:rsidRPr="00B12A2C">
      <w:rPr>
        <w:rFonts w:ascii="C39T30Lfz" w:hAnsi="C39T30Lfz"/>
        <w:sz w:val="56"/>
      </w:rPr>
      <w:t></w:t>
    </w:r>
    <w:r w:rsidRPr="00B12A2C">
      <w:rPr>
        <w:rFonts w:ascii="C39T30Lfz" w:hAnsi="C39T30Lfz"/>
        <w:sz w:val="56"/>
      </w:rPr>
      <w:t></w:t>
    </w:r>
    <w:r w:rsidRPr="00B12A2C">
      <w:rPr>
        <w:rFonts w:ascii="C39T30Lfz" w:hAnsi="C39T30Lfz"/>
        <w:sz w:val="56"/>
      </w:rPr>
      <w:t></w:t>
    </w:r>
    <w:r w:rsidRPr="00B12A2C">
      <w:rPr>
        <w:rFonts w:ascii="C39T30Lfz" w:hAnsi="C39T30Lfz"/>
        <w:sz w:val="56"/>
      </w:rPr>
      <w:t></w:t>
    </w:r>
    <w:r w:rsidRPr="00B12A2C">
      <w:rPr>
        <w:rFonts w:ascii="C39T30Lfz" w:hAnsi="C39T30Lfz"/>
        <w:sz w:val="56"/>
      </w:rPr>
      <w:t></w:t>
    </w:r>
    <w:r w:rsidRPr="00B12A2C">
      <w:rPr>
        <w:rFonts w:ascii="C39T30Lfz" w:hAnsi="C39T30Lfz"/>
        <w:sz w:val="56"/>
      </w:rPr>
      <w:t></w:t>
    </w:r>
    <w:r w:rsidRPr="00B12A2C">
      <w:rPr>
        <w:rFonts w:ascii="C39T30Lfz" w:hAnsi="C39T30Lfz"/>
        <w:sz w:val="56"/>
      </w:rPr>
      <w:t></w:t>
    </w:r>
    <w:r w:rsidRPr="00B12A2C">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2016/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6/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2A" w:rsidRPr="00AC3823" w:rsidRDefault="0029182A" w:rsidP="00AC3823">
      <w:pPr>
        <w:pStyle w:val="Footer"/>
        <w:tabs>
          <w:tab w:val="right" w:pos="2155"/>
        </w:tabs>
        <w:spacing w:after="80" w:line="240" w:lineRule="atLeast"/>
        <w:ind w:left="680"/>
        <w:rPr>
          <w:u w:val="single"/>
        </w:rPr>
      </w:pPr>
      <w:r>
        <w:rPr>
          <w:u w:val="single"/>
        </w:rPr>
        <w:tab/>
      </w:r>
    </w:p>
  </w:footnote>
  <w:footnote w:type="continuationSeparator" w:id="0">
    <w:p w:rsidR="0029182A" w:rsidRPr="00AC3823" w:rsidRDefault="0029182A" w:rsidP="00AC3823">
      <w:pPr>
        <w:pStyle w:val="Footer"/>
        <w:tabs>
          <w:tab w:val="right" w:pos="2155"/>
        </w:tabs>
        <w:spacing w:after="80" w:line="240" w:lineRule="atLeast"/>
        <w:ind w:left="680"/>
        <w:rPr>
          <w:u w:val="single"/>
        </w:rPr>
      </w:pPr>
      <w:r>
        <w:rPr>
          <w:u w:val="single"/>
        </w:rPr>
        <w:tab/>
      </w:r>
    </w:p>
  </w:footnote>
  <w:footnote w:type="continuationNotice" w:id="1">
    <w:p w:rsidR="0029182A" w:rsidRPr="00AC3823" w:rsidRDefault="0029182A">
      <w:pPr>
        <w:spacing w:line="240" w:lineRule="auto"/>
        <w:rPr>
          <w:sz w:val="2"/>
          <w:szCs w:val="2"/>
        </w:rPr>
      </w:pPr>
    </w:p>
  </w:footnote>
  <w:footnote w:id="2">
    <w:p w:rsidR="00B12A2C" w:rsidRPr="00335E32" w:rsidRDefault="00B12A2C" w:rsidP="00B12A2C">
      <w:pPr>
        <w:pStyle w:val="FootnoteText"/>
      </w:pPr>
      <w:r>
        <w:tab/>
      </w:r>
      <w:r w:rsidRPr="00143DF6">
        <w:rPr>
          <w:rStyle w:val="FootnoteReference"/>
        </w:rPr>
        <w:footnoteRef/>
      </w:r>
      <w:r w:rsidRPr="00335E32">
        <w:tab/>
      </w:r>
      <w:r w:rsidRPr="00335E32">
        <w:rPr>
          <w:lang w:eastAsia="en-GB"/>
        </w:rPr>
        <w:t xml:space="preserve">Conformément au programme </w:t>
      </w:r>
      <w:r>
        <w:rPr>
          <w:lang w:eastAsia="en-GB"/>
        </w:rPr>
        <w:t>de travail du Comité des transports intérieurs pour la période 2016</w:t>
      </w:r>
      <w:r>
        <w:rPr>
          <w:lang w:eastAsia="en-GB"/>
        </w:rPr>
        <w:noBreakHyphen/>
        <w:t xml:space="preserve">2017, </w:t>
      </w:r>
      <w:r w:rsidRPr="00335E32">
        <w:rPr>
          <w:lang w:eastAsia="en-GB"/>
        </w:rPr>
        <w:t>(ECE/TRANS/2016/28/Add.1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2C" w:rsidRPr="00B12A2C" w:rsidRDefault="00B12A2C">
    <w:pPr>
      <w:pStyle w:val="Header"/>
    </w:pPr>
    <w:r>
      <w:t>ECE/TRANS/WP.15/2016/10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2C" w:rsidRPr="00B12A2C" w:rsidRDefault="00B12A2C" w:rsidP="00B12A2C">
    <w:pPr>
      <w:pStyle w:val="Header"/>
      <w:jc w:val="right"/>
    </w:pPr>
    <w:r>
      <w:t>ECE/TRANS/WP.15/2016/10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E7C32A1"/>
    <w:multiLevelType w:val="hybridMultilevel"/>
    <w:tmpl w:val="A5309FA4"/>
    <w:lvl w:ilvl="0" w:tplc="3F6A5A24">
      <w:numFmt w:val="bullet"/>
      <w:lvlText w:val="-"/>
      <w:lvlJc w:val="left"/>
      <w:pPr>
        <w:ind w:left="720" w:hanging="360"/>
      </w:pPr>
      <w:rPr>
        <w:rFonts w:ascii="TimesNewRomanPSMT" w:eastAsiaTheme="minorHAnsi" w:hAnsi="TimesNewRomanPSMT" w:cs="TimesNewRomanPS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2A"/>
    <w:rsid w:val="00017F94"/>
    <w:rsid w:val="00023842"/>
    <w:rsid w:val="000334F9"/>
    <w:rsid w:val="0004319C"/>
    <w:rsid w:val="0007796D"/>
    <w:rsid w:val="000B7790"/>
    <w:rsid w:val="00111F2F"/>
    <w:rsid w:val="0014365E"/>
    <w:rsid w:val="00143C66"/>
    <w:rsid w:val="00166C50"/>
    <w:rsid w:val="00176178"/>
    <w:rsid w:val="00182403"/>
    <w:rsid w:val="001F525A"/>
    <w:rsid w:val="00223272"/>
    <w:rsid w:val="0024779E"/>
    <w:rsid w:val="00257168"/>
    <w:rsid w:val="002744B8"/>
    <w:rsid w:val="002832AC"/>
    <w:rsid w:val="0029182A"/>
    <w:rsid w:val="002D7C93"/>
    <w:rsid w:val="002F244E"/>
    <w:rsid w:val="00305801"/>
    <w:rsid w:val="00335C90"/>
    <w:rsid w:val="003447D1"/>
    <w:rsid w:val="00352386"/>
    <w:rsid w:val="003916DE"/>
    <w:rsid w:val="00441C3B"/>
    <w:rsid w:val="00446FE5"/>
    <w:rsid w:val="00452396"/>
    <w:rsid w:val="00454416"/>
    <w:rsid w:val="00465E76"/>
    <w:rsid w:val="004837D8"/>
    <w:rsid w:val="004E468C"/>
    <w:rsid w:val="005505B7"/>
    <w:rsid w:val="00573BE5"/>
    <w:rsid w:val="00586ED3"/>
    <w:rsid w:val="00596AA9"/>
    <w:rsid w:val="0071601D"/>
    <w:rsid w:val="007A62E6"/>
    <w:rsid w:val="007F20FA"/>
    <w:rsid w:val="0080684C"/>
    <w:rsid w:val="00871C75"/>
    <w:rsid w:val="008776DC"/>
    <w:rsid w:val="009126FF"/>
    <w:rsid w:val="009705C8"/>
    <w:rsid w:val="009C1CF4"/>
    <w:rsid w:val="009F6B74"/>
    <w:rsid w:val="00A10762"/>
    <w:rsid w:val="00A21F13"/>
    <w:rsid w:val="00A30353"/>
    <w:rsid w:val="00AC3823"/>
    <w:rsid w:val="00AE323C"/>
    <w:rsid w:val="00AF0CB5"/>
    <w:rsid w:val="00B00181"/>
    <w:rsid w:val="00B00B0D"/>
    <w:rsid w:val="00B12A2C"/>
    <w:rsid w:val="00B765F7"/>
    <w:rsid w:val="00BA0CA9"/>
    <w:rsid w:val="00BE5DA0"/>
    <w:rsid w:val="00C02897"/>
    <w:rsid w:val="00D3439C"/>
    <w:rsid w:val="00DA08D4"/>
    <w:rsid w:val="00DB1831"/>
    <w:rsid w:val="00DD3BFD"/>
    <w:rsid w:val="00DF6678"/>
    <w:rsid w:val="00E034AE"/>
    <w:rsid w:val="00E85C74"/>
    <w:rsid w:val="00EA6547"/>
    <w:rsid w:val="00EF2E22"/>
    <w:rsid w:val="00F20AF0"/>
    <w:rsid w:val="00F35BAF"/>
    <w:rsid w:val="00F41E56"/>
    <w:rsid w:val="00F660DF"/>
    <w:rsid w:val="00F94664"/>
    <w:rsid w:val="00F9573C"/>
    <w:rsid w:val="00F95C08"/>
    <w:rsid w:val="00FA4113"/>
    <w:rsid w:val="00FD49A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B12A2C"/>
    <w:rPr>
      <w:rFonts w:ascii="Times New Roman" w:hAnsi="Times New Roman" w:cs="Times New Roman"/>
      <w:sz w:val="20"/>
      <w:szCs w:val="20"/>
      <w:lang w:eastAsia="en-US"/>
    </w:rPr>
  </w:style>
  <w:style w:type="character" w:customStyle="1" w:styleId="HChGChar">
    <w:name w:val="_ H _Ch_G Char"/>
    <w:link w:val="HChG"/>
    <w:rsid w:val="00B12A2C"/>
    <w:rPr>
      <w:rFonts w:ascii="Times New Roman" w:hAnsi="Times New Roman" w:cs="Times New Roman"/>
      <w:b/>
      <w:sz w:val="28"/>
      <w:szCs w:val="20"/>
      <w:lang w:eastAsia="en-US"/>
    </w:rPr>
  </w:style>
  <w:style w:type="character" w:customStyle="1" w:styleId="H1GChar">
    <w:name w:val="_ H_1_G Char"/>
    <w:link w:val="H1G"/>
    <w:rsid w:val="00B12A2C"/>
    <w:rPr>
      <w:rFonts w:ascii="Times New Roman" w:hAnsi="Times New Roman" w:cs="Times New Roman"/>
      <w:b/>
      <w:sz w:val="24"/>
      <w:szCs w:val="20"/>
      <w:lang w:eastAsia="en-US"/>
    </w:rPr>
  </w:style>
  <w:style w:type="paragraph" w:styleId="ListParagraph">
    <w:name w:val="List Paragraph"/>
    <w:basedOn w:val="Normal"/>
    <w:uiPriority w:val="34"/>
    <w:qFormat/>
    <w:rsid w:val="00B12A2C"/>
    <w:pPr>
      <w:kinsoku/>
      <w:overflowPunct/>
      <w:autoSpaceDE/>
      <w:autoSpaceDN/>
      <w:adjustRightInd/>
      <w:snapToGrid/>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B12A2C"/>
    <w:rPr>
      <w:rFonts w:ascii="Times New Roman" w:hAnsi="Times New Roman" w:cs="Times New Roman"/>
      <w:sz w:val="20"/>
      <w:szCs w:val="20"/>
      <w:lang w:eastAsia="en-US"/>
    </w:rPr>
  </w:style>
  <w:style w:type="character" w:customStyle="1" w:styleId="HChGChar">
    <w:name w:val="_ H _Ch_G Char"/>
    <w:link w:val="HChG"/>
    <w:rsid w:val="00B12A2C"/>
    <w:rPr>
      <w:rFonts w:ascii="Times New Roman" w:hAnsi="Times New Roman" w:cs="Times New Roman"/>
      <w:b/>
      <w:sz w:val="28"/>
      <w:szCs w:val="20"/>
      <w:lang w:eastAsia="en-US"/>
    </w:rPr>
  </w:style>
  <w:style w:type="character" w:customStyle="1" w:styleId="H1GChar">
    <w:name w:val="_ H_1_G Char"/>
    <w:link w:val="H1G"/>
    <w:rsid w:val="00B12A2C"/>
    <w:rPr>
      <w:rFonts w:ascii="Times New Roman" w:hAnsi="Times New Roman" w:cs="Times New Roman"/>
      <w:b/>
      <w:sz w:val="24"/>
      <w:szCs w:val="20"/>
      <w:lang w:eastAsia="en-US"/>
    </w:rPr>
  </w:style>
  <w:style w:type="paragraph" w:styleId="ListParagraph">
    <w:name w:val="List Paragraph"/>
    <w:basedOn w:val="Normal"/>
    <w:uiPriority w:val="34"/>
    <w:qFormat/>
    <w:rsid w:val="00B12A2C"/>
    <w:pPr>
      <w:kinsoku/>
      <w:overflowPunct/>
      <w:autoSpaceDE/>
      <w:autoSpaceDN/>
      <w:adjustRightInd/>
      <w:snapToGrid/>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9081</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ECE/TRANS/WP.15/2016/10</vt:lpstr>
      <vt:lpstr>ECE/TRANS/WP.15/2016/10</vt:lpstr>
    </vt:vector>
  </TitlesOfParts>
  <Company>DCM</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ECE/TRANS/WP.15/2016/10</dc:title>
  <dc:creator>Bourion</dc:creator>
  <cp:lastModifiedBy>barrio-champeau</cp:lastModifiedBy>
  <cp:revision>2</cp:revision>
  <cp:lastPrinted>2016-09-26T12:55:00Z</cp:lastPrinted>
  <dcterms:created xsi:type="dcterms:W3CDTF">2016-09-26T14:49:00Z</dcterms:created>
  <dcterms:modified xsi:type="dcterms:W3CDTF">2016-09-26T14:49:00Z</dcterms:modified>
</cp:coreProperties>
</file>