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3" w:rsidRPr="00D132E0" w:rsidRDefault="00FA41F3" w:rsidP="00FA41F3">
      <w:pPr>
        <w:spacing w:line="60" w:lineRule="exact"/>
        <w:rPr>
          <w:color w:val="010000"/>
          <w:sz w:val="6"/>
        </w:rPr>
        <w:sectPr w:rsidR="00FA41F3" w:rsidRPr="00D132E0" w:rsidSect="00FA41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D132E0" w:rsidRPr="00D132E0" w:rsidRDefault="00D132E0" w:rsidP="00D132E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lastRenderedPageBreak/>
        <w:t>Европейская экономическая комиссия</w:t>
      </w:r>
    </w:p>
    <w:p w:rsidR="00D132E0" w:rsidRPr="00D132E0" w:rsidRDefault="00D132E0" w:rsidP="00D132E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132E0" w:rsidRDefault="00D132E0" w:rsidP="00D132E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D132E0">
        <w:rPr>
          <w:b w:val="0"/>
        </w:rPr>
        <w:t>Комитет по внутреннему транспорту</w:t>
      </w:r>
    </w:p>
    <w:p w:rsidR="00D132E0" w:rsidRPr="00D132E0" w:rsidRDefault="00D132E0" w:rsidP="00D132E0">
      <w:pPr>
        <w:spacing w:line="120" w:lineRule="exact"/>
        <w:rPr>
          <w:sz w:val="10"/>
        </w:rPr>
      </w:pPr>
    </w:p>
    <w:p w:rsidR="00D132E0" w:rsidRDefault="00D132E0" w:rsidP="00D132E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t xml:space="preserve">Рабочая группа по перевозкам </w:t>
      </w:r>
      <w:r>
        <w:br/>
      </w:r>
      <w:r w:rsidRPr="00D132E0">
        <w:t>опасных грузов</w:t>
      </w:r>
    </w:p>
    <w:p w:rsidR="00D132E0" w:rsidRPr="00D132E0" w:rsidRDefault="00D132E0" w:rsidP="00D132E0">
      <w:pPr>
        <w:spacing w:line="120" w:lineRule="exact"/>
        <w:rPr>
          <w:sz w:val="10"/>
        </w:rPr>
      </w:pPr>
    </w:p>
    <w:p w:rsidR="00D132E0" w:rsidRPr="00D132E0" w:rsidRDefault="00D132E0" w:rsidP="00D132E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t>100-я сессия</w:t>
      </w:r>
    </w:p>
    <w:p w:rsidR="00D132E0" w:rsidRPr="00D132E0" w:rsidRDefault="00D132E0" w:rsidP="00D132E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t>Женева, 9–13 мая 2016 года</w:t>
      </w:r>
    </w:p>
    <w:p w:rsidR="00D132E0" w:rsidRPr="00D132E0" w:rsidRDefault="00D132E0" w:rsidP="00D132E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t xml:space="preserve">Пункт 6 </w:t>
      </w:r>
      <w:r w:rsidRPr="00D132E0">
        <w:rPr>
          <w:lang w:val="en-GB"/>
        </w:rPr>
        <w:t>b</w:t>
      </w:r>
      <w:r w:rsidRPr="00D132E0">
        <w:t>) предварительной повестки дня</w:t>
      </w:r>
    </w:p>
    <w:p w:rsidR="00D132E0" w:rsidRPr="00D132E0" w:rsidRDefault="00D132E0" w:rsidP="00D132E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t xml:space="preserve">Предложения о внесении поправок </w:t>
      </w:r>
      <w:r>
        <w:br/>
      </w:r>
      <w:r w:rsidRPr="00D132E0">
        <w:t>в приложения А и В к ДОПОГ:</w:t>
      </w:r>
    </w:p>
    <w:p w:rsidR="00FA41F3" w:rsidRDefault="00D132E0" w:rsidP="00D132E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132E0">
        <w:rPr>
          <w:b/>
          <w:bCs/>
        </w:rPr>
        <w:t>различные предложения</w:t>
      </w:r>
    </w:p>
    <w:p w:rsidR="00D132E0" w:rsidRPr="00D132E0" w:rsidRDefault="00D132E0" w:rsidP="00D132E0">
      <w:pPr>
        <w:pStyle w:val="SingleTxt"/>
        <w:spacing w:after="0" w:line="120" w:lineRule="exact"/>
        <w:rPr>
          <w:sz w:val="10"/>
        </w:rPr>
      </w:pPr>
    </w:p>
    <w:p w:rsidR="00D132E0" w:rsidRPr="00D132E0" w:rsidRDefault="00D132E0" w:rsidP="00D132E0">
      <w:pPr>
        <w:pStyle w:val="SingleTxt"/>
        <w:spacing w:after="0" w:line="120" w:lineRule="exact"/>
        <w:rPr>
          <w:sz w:val="10"/>
        </w:rPr>
      </w:pPr>
    </w:p>
    <w:p w:rsidR="00D132E0" w:rsidRPr="00D132E0" w:rsidRDefault="00D132E0" w:rsidP="00D132E0">
      <w:pPr>
        <w:pStyle w:val="SingleTxt"/>
        <w:spacing w:after="0" w:line="120" w:lineRule="exact"/>
        <w:rPr>
          <w:sz w:val="10"/>
        </w:rPr>
      </w:pPr>
    </w:p>
    <w:p w:rsidR="00D132E0" w:rsidRPr="00D132E0" w:rsidRDefault="00D132E0" w:rsidP="00D132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132E0">
        <w:t>Перевозка угля навалом</w:t>
      </w:r>
    </w:p>
    <w:p w:rsidR="00D132E0" w:rsidRPr="00D132E0" w:rsidRDefault="00D132E0" w:rsidP="00D132E0">
      <w:pPr>
        <w:pStyle w:val="SingleTxt"/>
        <w:spacing w:after="0" w:line="120" w:lineRule="exact"/>
        <w:rPr>
          <w:b/>
          <w:sz w:val="10"/>
        </w:rPr>
      </w:pPr>
    </w:p>
    <w:p w:rsidR="00D132E0" w:rsidRPr="00D132E0" w:rsidRDefault="00D132E0" w:rsidP="00D132E0">
      <w:pPr>
        <w:pStyle w:val="SingleTxt"/>
        <w:spacing w:after="0" w:line="120" w:lineRule="exact"/>
        <w:rPr>
          <w:b/>
          <w:sz w:val="10"/>
        </w:rPr>
      </w:pPr>
    </w:p>
    <w:p w:rsidR="00D132E0" w:rsidRDefault="00D132E0" w:rsidP="00D132E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32E0">
        <w:tab/>
      </w:r>
      <w:r w:rsidRPr="00D132E0">
        <w:tab/>
        <w:t>Передано ЕВРОКОУЛ</w:t>
      </w:r>
      <w:r w:rsidRPr="00CF291B">
        <w:rPr>
          <w:b w:val="0"/>
          <w:sz w:val="20"/>
          <w:szCs w:val="20"/>
          <w:vertAlign w:val="superscript"/>
          <w:lang w:val="en-GB"/>
        </w:rPr>
        <w:footnoteReference w:id="1"/>
      </w:r>
    </w:p>
    <w:p w:rsidR="00D132E0" w:rsidRPr="00D132E0" w:rsidRDefault="00D132E0" w:rsidP="00D132E0">
      <w:pPr>
        <w:pStyle w:val="SingleTxt"/>
        <w:spacing w:after="0" w:line="120" w:lineRule="exact"/>
        <w:rPr>
          <w:sz w:val="10"/>
        </w:rPr>
      </w:pPr>
    </w:p>
    <w:p w:rsidR="00D132E0" w:rsidRPr="00D132E0" w:rsidRDefault="00D132E0" w:rsidP="00D132E0">
      <w:pPr>
        <w:pStyle w:val="SingleTxt"/>
        <w:spacing w:after="0" w:line="120" w:lineRule="exact"/>
        <w:rPr>
          <w:sz w:val="10"/>
        </w:rPr>
      </w:pPr>
    </w:p>
    <w:p w:rsidR="00D132E0" w:rsidRDefault="00D132E0" w:rsidP="00CF29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32E0">
        <w:tab/>
      </w:r>
      <w:r w:rsidRPr="00D132E0">
        <w:tab/>
        <w:t>Введение</w:t>
      </w:r>
    </w:p>
    <w:p w:rsidR="00D132E0" w:rsidRPr="00CF291B" w:rsidRDefault="00D132E0" w:rsidP="00CF291B">
      <w:pPr>
        <w:pStyle w:val="SingleTxt"/>
        <w:spacing w:after="0" w:line="1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after="0" w:line="120" w:lineRule="exact"/>
        <w:rPr>
          <w:sz w:val="10"/>
        </w:rPr>
      </w:pPr>
    </w:p>
    <w:p w:rsidR="00CF291B" w:rsidRPr="00CF291B" w:rsidRDefault="00CF291B" w:rsidP="00CF291B">
      <w:pPr>
        <w:pStyle w:val="SingleTxt"/>
      </w:pPr>
      <w:r w:rsidRPr="00CF291B">
        <w:t>1.</w:t>
      </w:r>
      <w:r w:rsidRPr="00CF291B">
        <w:tab/>
        <w:t xml:space="preserve">На сессии Совместного совещания Комиссии экспертов МПОГ и Рабочей группы по перевозкам опасных грузов, состоявшейся в сентябре 2014 года, Польша представила документ </w:t>
      </w:r>
      <w:r w:rsidRPr="00CF291B">
        <w:rPr>
          <w:lang w:val="en-GB"/>
        </w:rPr>
        <w:t>ECE</w:t>
      </w:r>
      <w:r w:rsidRPr="00CF291B">
        <w:t>/</w:t>
      </w:r>
      <w:r w:rsidRPr="00CF291B">
        <w:rPr>
          <w:lang w:val="en-GB"/>
        </w:rPr>
        <w:t>TRANS</w:t>
      </w:r>
      <w:r w:rsidRPr="00CF291B">
        <w:t>/</w:t>
      </w:r>
      <w:r w:rsidRPr="00CF291B">
        <w:rPr>
          <w:lang w:val="en-GB"/>
        </w:rPr>
        <w:t>WP</w:t>
      </w:r>
      <w:r w:rsidRPr="00CF291B">
        <w:t>.15/</w:t>
      </w:r>
      <w:r w:rsidRPr="00CF291B">
        <w:rPr>
          <w:lang w:val="en-GB"/>
        </w:rPr>
        <w:t>AC</w:t>
      </w:r>
      <w:r w:rsidRPr="00CF291B">
        <w:t xml:space="preserve">.1/2014/47 по вопросу о перевозке угля навалом. Кроме того, три неофициальных документа содержали либо замечания, либо дополнения к указанному документу: неофициальные документы </w:t>
      </w:r>
      <w:r w:rsidRPr="00CF291B">
        <w:rPr>
          <w:lang w:val="en-GB"/>
        </w:rPr>
        <w:t>INF</w:t>
      </w:r>
      <w:r w:rsidRPr="00CF291B">
        <w:t xml:space="preserve">.4 (Польша/ЕВРОКОУЛ), </w:t>
      </w:r>
      <w:r w:rsidRPr="00CF291B">
        <w:rPr>
          <w:lang w:val="en-GB"/>
        </w:rPr>
        <w:t>INF</w:t>
      </w:r>
      <w:r w:rsidRPr="00CF291B">
        <w:t xml:space="preserve">.24 (ЕКПТ) и </w:t>
      </w:r>
      <w:r w:rsidRPr="00CF291B">
        <w:rPr>
          <w:lang w:val="en-GB"/>
        </w:rPr>
        <w:t>INF</w:t>
      </w:r>
      <w:r w:rsidRPr="00CF291B">
        <w:t>.29 (секретариат).</w:t>
      </w:r>
    </w:p>
    <w:p w:rsidR="00CF291B" w:rsidRPr="00CF291B" w:rsidRDefault="00CF291B" w:rsidP="00CF291B">
      <w:pPr>
        <w:pStyle w:val="SingleTxt"/>
      </w:pPr>
      <w:r w:rsidRPr="00CF291B">
        <w:t>2.</w:t>
      </w:r>
      <w:r w:rsidRPr="00CF291B">
        <w:tab/>
        <w:t>Из-за недостатка времени эти документы не удалось рассмотреть в ходе сессии.</w:t>
      </w:r>
    </w:p>
    <w:p w:rsidR="00CF291B" w:rsidRPr="00CF291B" w:rsidRDefault="00CF291B" w:rsidP="00CF291B">
      <w:pPr>
        <w:pStyle w:val="SingleTxt"/>
      </w:pPr>
      <w:r w:rsidRPr="00CF291B">
        <w:t>3.</w:t>
      </w:r>
      <w:r w:rsidRPr="00CF291B">
        <w:tab/>
        <w:t>Председатель Совместного совещания предложил, чтобы вопрос об автомобильной перевозке угля навалом решался посредством соответствующих многосторонних соглашений в рамках ДОПОГ.</w:t>
      </w:r>
    </w:p>
    <w:p w:rsidR="00CF291B" w:rsidRPr="00CF291B" w:rsidRDefault="00CF291B" w:rsidP="00CF291B">
      <w:pPr>
        <w:pStyle w:val="SingleTxt"/>
      </w:pPr>
      <w:r w:rsidRPr="00CF291B">
        <w:t>4.</w:t>
      </w:r>
      <w:r w:rsidRPr="00CF291B">
        <w:tab/>
        <w:t xml:space="preserve">Польша последовала этому предложению и инициировала многостороннее соглашение </w:t>
      </w:r>
      <w:r w:rsidRPr="00CF291B">
        <w:rPr>
          <w:lang w:val="en-GB"/>
        </w:rPr>
        <w:t>M</w:t>
      </w:r>
      <w:r w:rsidRPr="00CF291B">
        <w:t xml:space="preserve">282 по перевозке № ООН 1361 УГОЛЬ, группа упаковки </w:t>
      </w:r>
      <w:r w:rsidRPr="00CF291B">
        <w:rPr>
          <w:lang w:val="en-GB"/>
        </w:rPr>
        <w:t>III</w:t>
      </w:r>
      <w:r w:rsidRPr="00CF291B">
        <w:t xml:space="preserve">, </w:t>
      </w:r>
      <w:r>
        <w:br/>
      </w:r>
      <w:r w:rsidRPr="00CF291B">
        <w:t xml:space="preserve">и № ООН 3088 САМОНАГРЕВАЮЩЕЕСЯ ТВЕРДОЕ ВЕЩЕСТВО ОРГАНИЧЕСКОЕ, Н.У.К., группа упаковки </w:t>
      </w:r>
      <w:r w:rsidRPr="00CF291B">
        <w:rPr>
          <w:lang w:val="en-GB"/>
        </w:rPr>
        <w:t>III</w:t>
      </w:r>
      <w:r w:rsidRPr="00CF291B">
        <w:t>. На настоящий момент это многостороннее соглашение подписали Польша, Германия и Франция.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lastRenderedPageBreak/>
        <w:t>4.</w:t>
      </w:r>
      <w:r w:rsidRPr="00CF291B">
        <w:tab/>
        <w:t>На своей девяносто седьмой сессии (3</w:t>
      </w:r>
      <w:r>
        <w:t>–</w:t>
      </w:r>
      <w:r w:rsidRPr="00CF291B">
        <w:t>6 ноября 2014 года) Рабочая группа отметила, что Комитет по вопросам безопасности ВОПОГ и постоянная рабочая группа Комиссии экспертов МПОГ приняли положения относительно освобождения, при определенных условиях, перевозки каменного угля, антрацита и кокса на основе использования нового специального положения и что ЕВРОКОУЛ представит на следующей сессии документ, предусматривающий включение в ДОПОГ эквивалентных положений для автомобильного транспорта.</w:t>
      </w:r>
    </w:p>
    <w:p w:rsidR="00CF291B" w:rsidRDefault="00CF291B" w:rsidP="00CF291B">
      <w:pPr>
        <w:pStyle w:val="SingleTxt"/>
        <w:spacing w:line="220" w:lineRule="exact"/>
      </w:pPr>
      <w:r w:rsidRPr="00CF291B">
        <w:t>5.</w:t>
      </w:r>
      <w:r w:rsidRPr="00CF291B">
        <w:tab/>
        <w:t xml:space="preserve">Настоящим ЕВРОКОУЛ предлагает включить в ДОПОГ новое специальное положение в полном соответствии с многосторонним соглашением </w:t>
      </w:r>
      <w:r w:rsidRPr="00CF291B">
        <w:rPr>
          <w:lang w:val="en-GB"/>
        </w:rPr>
        <w:t>M</w:t>
      </w:r>
      <w:r w:rsidRPr="00CF291B">
        <w:t>282.</w:t>
      </w: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Default="00CF291B" w:rsidP="00CF29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267" w:right="1260" w:hanging="1267"/>
      </w:pPr>
      <w:r w:rsidRPr="00CF291B">
        <w:tab/>
      </w:r>
      <w:r w:rsidRPr="00CF291B">
        <w:tab/>
        <w:t>Предложения о поправках к ДОПОГ</w:t>
      </w: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line="220" w:lineRule="exact"/>
      </w:pPr>
      <w:r w:rsidRPr="00CF291B">
        <w:t>6.</w:t>
      </w:r>
      <w:r w:rsidRPr="00CF291B">
        <w:tab/>
        <w:t>Таблицу А главы 3.2 части 3 следует изменить следующим образом: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  <w:t xml:space="preserve">Глава 3.2, таблица </w:t>
      </w:r>
      <w:r w:rsidRPr="00CF291B">
        <w:rPr>
          <w:lang w:val="en-GB"/>
        </w:rPr>
        <w:t>A</w:t>
      </w:r>
      <w:r w:rsidRPr="00CF291B">
        <w:t>, № ООН 1361 Уголь животного или растительного происхождени</w:t>
      </w:r>
      <w:r>
        <w:t>я</w:t>
      </w:r>
      <w:r w:rsidRPr="00CF291B">
        <w:t xml:space="preserve">, группа упаковки </w:t>
      </w:r>
      <w:r w:rsidRPr="00CF291B">
        <w:rPr>
          <w:lang w:val="en-GB"/>
        </w:rPr>
        <w:t>III</w:t>
      </w:r>
      <w:r w:rsidRPr="00CF291B">
        <w:t>, колонка 6</w:t>
      </w:r>
      <w:r w:rsidR="003E524C">
        <w:t>,</w:t>
      </w:r>
      <w:r w:rsidRPr="00CF291B">
        <w:t xml:space="preserve"> и № ООН 3088 САМОНАГРЕВАЮЩЕЕСЯ ТВЕРДОЕ ВЕЩЕСТВО ОРГАНИЧЕСКОЕ, Н.У.К., группа упаковки </w:t>
      </w:r>
      <w:r w:rsidRPr="00CF291B">
        <w:rPr>
          <w:lang w:val="en-GB"/>
        </w:rPr>
        <w:t>III</w:t>
      </w:r>
      <w:r w:rsidRPr="00CF291B">
        <w:t>, колонка 6: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  <w:t>включить ссылку на специальное положение «</w:t>
      </w:r>
      <w:r w:rsidRPr="00CF291B">
        <w:rPr>
          <w:lang w:val="en-GB"/>
        </w:rPr>
        <w:t>xxx</w:t>
      </w:r>
      <w:r w:rsidRPr="003E524C">
        <w:rPr>
          <w:bCs/>
        </w:rPr>
        <w:t>»</w:t>
      </w:r>
      <w:r w:rsidRPr="00CF291B">
        <w:t>.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>7.</w:t>
      </w:r>
      <w:r w:rsidRPr="00CF291B">
        <w:tab/>
        <w:t>Глава 3.3 части 3, специальное положение: добавить новое специальное положение следующего содержания:</w:t>
      </w:r>
    </w:p>
    <w:p w:rsidR="00CF291B" w:rsidRDefault="00CF291B" w:rsidP="00CF291B">
      <w:pPr>
        <w:pStyle w:val="SingleTxt"/>
        <w:spacing w:line="220" w:lineRule="exact"/>
      </w:pPr>
      <w:r w:rsidRPr="00CF291B">
        <w:tab/>
        <w:t>«</w:t>
      </w:r>
      <w:r w:rsidRPr="00CF291B">
        <w:rPr>
          <w:lang w:val="en-GB"/>
        </w:rPr>
        <w:t>xxx</w:t>
      </w:r>
      <w:r w:rsidRPr="00CF291B">
        <w:t xml:space="preserve"> В отступление от положений таблиц</w:t>
      </w:r>
      <w:bookmarkStart w:id="0" w:name="_GoBack"/>
      <w:bookmarkEnd w:id="0"/>
      <w:r w:rsidRPr="00CF291B">
        <w:t>ы А раздела 3.2.1 ДОПОГ перевозка каменного угля, кокса и антрацита, отвечающих классификационным критериям класса 4.2, группа упаковки III, не подпадает под действие положений ДОПОГ.</w:t>
      </w:r>
      <w:r w:rsidRPr="003E524C">
        <w:rPr>
          <w:bCs/>
        </w:rPr>
        <w:t>»</w:t>
      </w:r>
      <w:r w:rsidRPr="00CF291B">
        <w:t>.</w:t>
      </w: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Default="00CF291B" w:rsidP="00CF291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267" w:right="1260" w:hanging="1267"/>
      </w:pPr>
      <w:r w:rsidRPr="00CF291B">
        <w:tab/>
      </w:r>
      <w:r w:rsidRPr="00CF291B">
        <w:tab/>
        <w:t>Обоснование</w:t>
      </w: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after="0" w:line="220" w:lineRule="exact"/>
        <w:rPr>
          <w:sz w:val="10"/>
        </w:rPr>
      </w:pPr>
    </w:p>
    <w:p w:rsidR="00CF291B" w:rsidRPr="00CF291B" w:rsidRDefault="00CF291B" w:rsidP="00CF291B">
      <w:pPr>
        <w:pStyle w:val="SingleTxt"/>
        <w:spacing w:line="220" w:lineRule="exact"/>
      </w:pPr>
      <w:r w:rsidRPr="00CF291B">
        <w:t>8.</w:t>
      </w:r>
      <w:r w:rsidRPr="00CF291B">
        <w:tab/>
        <w:t>В отличие от перевозки угля под № ООН 1361 судами внутреннего плавания или поездами, в случае автомобильного транспорта нет необходимости включать в ДОПОГ, как в МПОГ и ВОПОГ, дополнительные или эквивалентные положения в силу следующих причин: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</w:r>
      <w:r w:rsidRPr="00CF291B">
        <w:rPr>
          <w:lang w:val="en-GB"/>
        </w:rPr>
        <w:t>a</w:t>
      </w:r>
      <w:r w:rsidRPr="00CF291B">
        <w:t>)</w:t>
      </w:r>
      <w:r w:rsidRPr="00CF291B">
        <w:tab/>
        <w:t>объемы угля, перевозимого грузовыми автомобилями, гораздо менее значительны по сравнению с объемами угля, перевозимого судами и поездами, и поэтому риск самонагревания намного меньше.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</w:r>
      <w:r w:rsidRPr="00CF291B">
        <w:rPr>
          <w:lang w:val="en-GB"/>
        </w:rPr>
        <w:t>b</w:t>
      </w:r>
      <w:r w:rsidRPr="00CF291B">
        <w:t>)</w:t>
      </w:r>
      <w:r w:rsidRPr="00CF291B">
        <w:tab/>
        <w:t>В отличие от перевозки угля судами или поездами, грузовой автомобиль может немедленно остановиться в случае самонагревания угля, и уголь может быть выгружен из грузового автомобиля, чтобы уменьшить его температуру.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</w:r>
      <w:r w:rsidRPr="00CF291B">
        <w:rPr>
          <w:lang w:val="en-GB"/>
        </w:rPr>
        <w:t>c</w:t>
      </w:r>
      <w:r w:rsidRPr="00CF291B">
        <w:t>)</w:t>
      </w:r>
      <w:r w:rsidRPr="00CF291B">
        <w:tab/>
        <w:t>Продолжительность автомобильной перевозки намного меньше, чем  в случае перевозки судами или поездами, так как по экономическим соображениям маршрут перевозки весьма короток. Поэтому опасность самонагревания угля может быть практически исключена.</w:t>
      </w:r>
    </w:p>
    <w:p w:rsidR="00CF291B" w:rsidRPr="00CF291B" w:rsidRDefault="00CF291B" w:rsidP="00CF291B">
      <w:pPr>
        <w:pStyle w:val="SingleTxt"/>
        <w:spacing w:line="220" w:lineRule="exact"/>
      </w:pPr>
      <w:r w:rsidRPr="00CF291B">
        <w:tab/>
      </w:r>
      <w:r w:rsidRPr="00CF291B">
        <w:rPr>
          <w:lang w:val="en-GB"/>
        </w:rPr>
        <w:t>d</w:t>
      </w:r>
      <w:r w:rsidRPr="00CF291B">
        <w:t>)</w:t>
      </w:r>
      <w:r w:rsidRPr="00CF291B">
        <w:tab/>
        <w:t>Транспортировка угля по автодорогам осуществляется редко (в чрезвычайных ситуациях).</w:t>
      </w:r>
    </w:p>
    <w:p w:rsidR="00CF291B" w:rsidRDefault="00CF291B" w:rsidP="00CF291B">
      <w:pPr>
        <w:pStyle w:val="SingleTxt"/>
        <w:spacing w:after="0" w:line="220" w:lineRule="exact"/>
      </w:pPr>
      <w:r w:rsidRPr="00CF291B">
        <w:tab/>
      </w:r>
      <w:r w:rsidRPr="00CF291B">
        <w:rPr>
          <w:lang w:val="en-GB"/>
        </w:rPr>
        <w:t>e</w:t>
      </w:r>
      <w:r w:rsidRPr="00CF291B">
        <w:t>)</w:t>
      </w:r>
      <w:r w:rsidRPr="00CF291B">
        <w:tab/>
        <w:t>Если уголь необходимо перевозить грузовыми автомобилями, погрузка в грузовой автомобиль осуществляется не ленточным</w:t>
      </w:r>
      <w:r>
        <w:t xml:space="preserve"> транспорте</w:t>
      </w:r>
      <w:r w:rsidRPr="00CF291B">
        <w:t>ром, а гусеничными экскаваторами, которые не имеют возможности измерять температуру до и после погрузки. Кроме того, измерение температуры представляется несоразмерным риску самовозгорания угля.</w:t>
      </w:r>
    </w:p>
    <w:p w:rsidR="00CF291B" w:rsidRPr="00CF291B" w:rsidRDefault="005D1A92" w:rsidP="00CF291B">
      <w:pPr>
        <w:pStyle w:val="SingleTxt"/>
        <w:spacing w:after="0" w:line="220" w:lineRule="exact"/>
      </w:pPr>
      <w:r w:rsidRPr="005D1A92">
        <w:rPr>
          <w:noProof/>
          <w:w w:val="100"/>
          <w:lang w:eastAsia="ru-RU"/>
        </w:rPr>
        <w:lastRenderedPageBreak/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CF291B" w:rsidRPr="00CF291B" w:rsidSect="00FA41F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54" w:rsidRDefault="00563354" w:rsidP="008A1A7A">
      <w:pPr>
        <w:spacing w:line="240" w:lineRule="auto"/>
      </w:pPr>
      <w:r>
        <w:separator/>
      </w:r>
    </w:p>
  </w:endnote>
  <w:endnote w:type="continuationSeparator" w:id="0">
    <w:p w:rsidR="00563354" w:rsidRDefault="0056335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A41F3" w:rsidTr="00FA41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Pieddepage"/>
            <w:rPr>
              <w:color w:val="000000"/>
            </w:rPr>
          </w:pPr>
          <w:r>
            <w:fldChar w:fldCharType="begin"/>
          </w:r>
          <w:r w:rsidR="00FA41F3">
            <w:instrText xml:space="preserve"> PAGE  \* Arabic  \* MERGEFORMAT </w:instrText>
          </w:r>
          <w:r>
            <w:fldChar w:fldCharType="separate"/>
          </w:r>
          <w:r w:rsidR="00881B37">
            <w:rPr>
              <w:noProof/>
            </w:rPr>
            <w:t>2</w:t>
          </w:r>
          <w:r>
            <w:fldChar w:fldCharType="end"/>
          </w:r>
          <w:r w:rsidR="00FA41F3">
            <w:t>/</w:t>
          </w:r>
          <w:fldSimple w:instr=" NUMPAGES  \* Arabic  \* MERGEFORMAT ">
            <w:r w:rsidR="00881B37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127EA">
              <w:rPr>
                <w:b w:val="0"/>
                <w:color w:val="000000"/>
                <w:sz w:val="14"/>
              </w:rPr>
              <w:t>GE.16-01647</w:t>
            </w:r>
          </w:fldSimple>
        </w:p>
      </w:tc>
    </w:tr>
  </w:tbl>
  <w:p w:rsidR="00FA41F3" w:rsidRPr="00FA41F3" w:rsidRDefault="00FA41F3" w:rsidP="00FA41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A41F3" w:rsidTr="00FA41F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127EA">
              <w:rPr>
                <w:b w:val="0"/>
                <w:color w:val="000000"/>
                <w:sz w:val="14"/>
              </w:rPr>
              <w:t>GE.16-01647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Pieddepage"/>
            <w:jc w:val="right"/>
          </w:pPr>
          <w:r>
            <w:fldChar w:fldCharType="begin"/>
          </w:r>
          <w:r w:rsidR="00FA41F3">
            <w:instrText xml:space="preserve"> PAGE  \* Arabic  \* MERGEFORMAT </w:instrText>
          </w:r>
          <w:r>
            <w:fldChar w:fldCharType="separate"/>
          </w:r>
          <w:r w:rsidR="00881B37">
            <w:rPr>
              <w:noProof/>
            </w:rPr>
            <w:t>3</w:t>
          </w:r>
          <w:r>
            <w:fldChar w:fldCharType="end"/>
          </w:r>
          <w:r w:rsidR="00FA41F3">
            <w:t>/</w:t>
          </w:r>
          <w:fldSimple w:instr=" NUMPAGES  \* Arabic  \* MERGEFORMAT ">
            <w:r w:rsidR="00881B37">
              <w:rPr>
                <w:noProof/>
              </w:rPr>
              <w:t>3</w:t>
            </w:r>
          </w:fldSimple>
        </w:p>
      </w:tc>
    </w:tr>
  </w:tbl>
  <w:p w:rsidR="00FA41F3" w:rsidRPr="00FA41F3" w:rsidRDefault="00FA41F3" w:rsidP="00FA41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FA41F3" w:rsidTr="00FA41F3">
      <w:tc>
        <w:tcPr>
          <w:tcW w:w="3873" w:type="dxa"/>
        </w:tcPr>
        <w:p w:rsidR="00FA41F3" w:rsidRDefault="00FA41F3" w:rsidP="00FA41F3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6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6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GE.16-01647 (R)</w:t>
          </w:r>
          <w:r>
            <w:rPr>
              <w:color w:val="010000"/>
            </w:rPr>
            <w:t xml:space="preserve">    2</w:t>
          </w:r>
          <w:r w:rsidR="00D132E0">
            <w:rPr>
              <w:color w:val="010000"/>
              <w:lang w:val="en-US"/>
            </w:rPr>
            <w:t>4</w:t>
          </w:r>
          <w:r>
            <w:rPr>
              <w:color w:val="010000"/>
            </w:rPr>
            <w:t>0216    260216</w:t>
          </w:r>
        </w:p>
        <w:p w:rsidR="00FA41F3" w:rsidRPr="00FA41F3" w:rsidRDefault="00FA41F3" w:rsidP="00FA41F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*1601647*</w:t>
          </w:r>
        </w:p>
      </w:tc>
      <w:tc>
        <w:tcPr>
          <w:tcW w:w="5127" w:type="dxa"/>
        </w:tcPr>
        <w:p w:rsidR="00FA41F3" w:rsidRDefault="00FA41F3" w:rsidP="00FA41F3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1F3" w:rsidRPr="00FA41F3" w:rsidRDefault="00FA41F3" w:rsidP="00FA41F3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54" w:rsidRPr="00CF291B" w:rsidRDefault="00563354" w:rsidP="00CF291B">
      <w:pPr>
        <w:pStyle w:val="Pieddepage"/>
        <w:spacing w:after="80"/>
        <w:ind w:left="792"/>
        <w:rPr>
          <w:sz w:val="16"/>
        </w:rPr>
      </w:pPr>
      <w:r w:rsidRPr="00CF291B">
        <w:rPr>
          <w:sz w:val="16"/>
        </w:rPr>
        <w:t>__________________</w:t>
      </w:r>
    </w:p>
  </w:footnote>
  <w:footnote w:type="continuationSeparator" w:id="0">
    <w:p w:rsidR="00563354" w:rsidRPr="00CF291B" w:rsidRDefault="00563354" w:rsidP="00CF291B">
      <w:pPr>
        <w:pStyle w:val="Pieddepage"/>
        <w:spacing w:after="80"/>
        <w:ind w:left="792"/>
        <w:rPr>
          <w:sz w:val="16"/>
        </w:rPr>
      </w:pPr>
      <w:r w:rsidRPr="00CF291B">
        <w:rPr>
          <w:sz w:val="16"/>
        </w:rPr>
        <w:t>__________________</w:t>
      </w:r>
    </w:p>
  </w:footnote>
  <w:footnote w:id="1">
    <w:p w:rsidR="00D132E0" w:rsidRPr="00623331" w:rsidRDefault="00D132E0" w:rsidP="00CF291B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 w:rsidRPr="00357440">
        <w:t xml:space="preserve"> </w:t>
      </w:r>
      <w:r w:rsidRPr="00357440">
        <w:tab/>
      </w:r>
      <w:r w:rsidRPr="008F172B">
        <w:t>В соответствии с проектом программы работы Комитета по внутреннему транспорту на 2016–2017 годы (ECE/TRANS/WP.15/2015/19 (9.2)).</w:t>
      </w:r>
    </w:p>
    <w:p w:rsidR="00D132E0" w:rsidRPr="00623331" w:rsidRDefault="00D132E0" w:rsidP="00D132E0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A41F3" w:rsidTr="00FA41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1127EA">
              <w:rPr>
                <w:b/>
              </w:rPr>
              <w:t>ECE/TRANS/WP.15/2016/5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A41F3" w:rsidRDefault="00FA41F3" w:rsidP="00FA41F3">
          <w:pPr>
            <w:pStyle w:val="En-tte"/>
          </w:pPr>
        </w:p>
      </w:tc>
    </w:tr>
  </w:tbl>
  <w:p w:rsidR="00FA41F3" w:rsidRPr="00FA41F3" w:rsidRDefault="00FA41F3" w:rsidP="00FA41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A41F3" w:rsidTr="00FA41F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A41F3" w:rsidRDefault="00FA41F3" w:rsidP="00FA41F3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FA41F3" w:rsidRPr="00FA41F3" w:rsidRDefault="005D1A92" w:rsidP="00FA41F3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1127EA">
              <w:rPr>
                <w:b/>
              </w:rPr>
              <w:t>ECE/TRANS/WP.15/2016/5</w:t>
            </w:r>
          </w:fldSimple>
        </w:p>
      </w:tc>
    </w:tr>
  </w:tbl>
  <w:p w:rsidR="00FA41F3" w:rsidRPr="00FA41F3" w:rsidRDefault="00FA41F3" w:rsidP="00FA41F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FA41F3" w:rsidTr="00FA41F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A41F3" w:rsidRPr="00FA41F3" w:rsidRDefault="00FA41F3" w:rsidP="00FA41F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A41F3" w:rsidRDefault="00FA41F3" w:rsidP="00FA41F3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A41F3" w:rsidRPr="00FA41F3" w:rsidRDefault="00FA41F3" w:rsidP="00FA41F3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/TRANS/WP.15/2016/5</w:t>
          </w:r>
        </w:p>
      </w:tc>
    </w:tr>
    <w:tr w:rsidR="00FA41F3" w:rsidRPr="00D132E0" w:rsidTr="00FA41F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41F3" w:rsidRPr="00FA41F3" w:rsidRDefault="00FA41F3" w:rsidP="00FA41F3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41F3" w:rsidRPr="00FA41F3" w:rsidRDefault="00FA41F3" w:rsidP="00FA41F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41F3" w:rsidRPr="00FA41F3" w:rsidRDefault="00FA41F3" w:rsidP="00FA41F3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A41F3" w:rsidRPr="00D132E0" w:rsidRDefault="00FA41F3" w:rsidP="00FA41F3">
          <w:pPr>
            <w:pStyle w:val="Distribution"/>
            <w:rPr>
              <w:color w:val="000000"/>
              <w:lang w:val="en-US"/>
            </w:rPr>
          </w:pPr>
          <w:r w:rsidRPr="00D132E0">
            <w:rPr>
              <w:color w:val="000000"/>
              <w:lang w:val="en-US"/>
            </w:rPr>
            <w:t>Distr.: General</w:t>
          </w:r>
        </w:p>
        <w:p w:rsidR="00FA41F3" w:rsidRPr="00D132E0" w:rsidRDefault="00FA41F3" w:rsidP="00D132E0">
          <w:pPr>
            <w:pStyle w:val="Publication"/>
            <w:rPr>
              <w:color w:val="000000"/>
              <w:lang w:val="en-US"/>
            </w:rPr>
          </w:pPr>
          <w:r w:rsidRPr="00D132E0">
            <w:rPr>
              <w:color w:val="000000"/>
              <w:lang w:val="en-US"/>
            </w:rPr>
            <w:t>8 February 2016</w:t>
          </w:r>
        </w:p>
        <w:p w:rsidR="00FA41F3" w:rsidRPr="00D132E0" w:rsidRDefault="00FA41F3" w:rsidP="00FA41F3">
          <w:pPr>
            <w:rPr>
              <w:color w:val="000000"/>
              <w:lang w:val="en-US"/>
            </w:rPr>
          </w:pPr>
          <w:r w:rsidRPr="00D132E0">
            <w:rPr>
              <w:color w:val="000000"/>
              <w:lang w:val="en-US"/>
            </w:rPr>
            <w:t>Russian</w:t>
          </w:r>
        </w:p>
        <w:p w:rsidR="00FA41F3" w:rsidRPr="00D132E0" w:rsidRDefault="00FA41F3" w:rsidP="00FA41F3">
          <w:pPr>
            <w:pStyle w:val="Original"/>
            <w:rPr>
              <w:color w:val="000000"/>
              <w:lang w:val="en-US"/>
            </w:rPr>
          </w:pPr>
          <w:r w:rsidRPr="00D132E0">
            <w:rPr>
              <w:color w:val="000000"/>
              <w:lang w:val="en-US"/>
            </w:rPr>
            <w:t>Original: English</w:t>
          </w:r>
        </w:p>
        <w:p w:rsidR="00FA41F3" w:rsidRPr="00D132E0" w:rsidRDefault="00FA41F3" w:rsidP="00FA41F3">
          <w:pPr>
            <w:rPr>
              <w:lang w:val="en-US"/>
            </w:rPr>
          </w:pPr>
        </w:p>
      </w:tc>
    </w:tr>
  </w:tbl>
  <w:p w:rsidR="00FA41F3" w:rsidRPr="00D132E0" w:rsidRDefault="00FA41F3" w:rsidP="00FA41F3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1647*"/>
    <w:docVar w:name="CreationDt" w:val="2/26/2016 3:50: PM"/>
    <w:docVar w:name="DocCategory" w:val="Doc"/>
    <w:docVar w:name="DocType" w:val="Final"/>
    <w:docVar w:name="DutyStation" w:val="Geneva"/>
    <w:docVar w:name="FooterJN" w:val="GE.16-01647"/>
    <w:docVar w:name="jobn" w:val="GE.16-01647 (R)"/>
    <w:docVar w:name="jobnDT" w:val="GE.16-01647 (R)   260216"/>
    <w:docVar w:name="jobnDTDT" w:val="GE.16-01647 (R)   260216   260216"/>
    <w:docVar w:name="JobNo" w:val="GE.1601647R"/>
    <w:docVar w:name="JobNo2" w:val="1602019R"/>
    <w:docVar w:name="LocalDrive" w:val="0"/>
    <w:docVar w:name="OandT" w:val=" "/>
    <w:docVar w:name="PaperSize" w:val="A4"/>
    <w:docVar w:name="sss1" w:val="ECE/TRANS/WP.15/2016/5"/>
    <w:docVar w:name="sss2" w:val="-"/>
    <w:docVar w:name="Symbol1" w:val="ECE/TRANS/WP.15/2016/5"/>
    <w:docVar w:name="Symbol2" w:val="-"/>
  </w:docVars>
  <w:rsids>
    <w:rsidRoot w:val="00CB1A60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27EA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10CC"/>
    <w:rsid w:val="003D2003"/>
    <w:rsid w:val="003D5DA2"/>
    <w:rsid w:val="003E5193"/>
    <w:rsid w:val="003E524C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354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1A92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1B37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B16"/>
    <w:rsid w:val="00912FB5"/>
    <w:rsid w:val="00913A54"/>
    <w:rsid w:val="009148E0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0BF6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AA7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499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A60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291B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32E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41F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Marquedecommentaire">
    <w:name w:val="annotation reference"/>
    <w:basedOn w:val="Policepardfaut"/>
    <w:uiPriority w:val="1"/>
    <w:semiHidden/>
    <w:unhideWhenUsed/>
    <w:rsid w:val="00FA41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1F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1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1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1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B3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FA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1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1F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1F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EBA-A7CA-4282-9796-872DADB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Maison</cp:lastModifiedBy>
  <cp:revision>2</cp:revision>
  <cp:lastPrinted>2016-02-26T15:28:00Z</cp:lastPrinted>
  <dcterms:created xsi:type="dcterms:W3CDTF">2016-03-24T14:48:00Z</dcterms:created>
  <dcterms:modified xsi:type="dcterms:W3CDTF">2016-03-24T14:48:00Z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1601647R</vt:lpwstr>
  </property>
  <property fmtid="{D5CDD505-2E9C-101B-9397-08002B2CF9AE}" pid="3" name="ODSRefJobNo">
    <vt:lpwstr>1602019R</vt:lpwstr>
  </property>
  <property fmtid="{D5CDD505-2E9C-101B-9397-08002B2CF9AE}" pid="4" name="Symbol1">
    <vt:lpwstr>ECE/TRANS/WP.15/2016/5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8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260216</vt:lpwstr>
  </property>
</Properties>
</file>