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2E7210">
        <w:trPr>
          <w:cantSplit/>
          <w:trHeight w:hRule="exact" w:val="851"/>
        </w:trPr>
        <w:tc>
          <w:tcPr>
            <w:tcW w:w="1276" w:type="dxa"/>
            <w:tcBorders>
              <w:bottom w:val="single" w:sz="4" w:space="0" w:color="auto"/>
            </w:tcBorders>
            <w:vAlign w:val="bottom"/>
          </w:tcPr>
          <w:p w:rsidR="00717266" w:rsidRDefault="00717266" w:rsidP="002E7210">
            <w:pPr>
              <w:spacing w:after="80"/>
            </w:pPr>
            <w:bookmarkStart w:id="0" w:name="_GoBack"/>
            <w:bookmarkEnd w:id="0"/>
          </w:p>
        </w:tc>
        <w:tc>
          <w:tcPr>
            <w:tcW w:w="2268" w:type="dxa"/>
            <w:tcBorders>
              <w:bottom w:val="single" w:sz="4" w:space="0" w:color="auto"/>
            </w:tcBorders>
            <w:vAlign w:val="bottom"/>
          </w:tcPr>
          <w:p w:rsidR="00717266" w:rsidRPr="00B97172" w:rsidRDefault="00717266" w:rsidP="002E721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402B3" w:rsidP="002E7210">
            <w:pPr>
              <w:suppressAutoHyphens w:val="0"/>
              <w:spacing w:after="20"/>
              <w:jc w:val="right"/>
            </w:pPr>
            <w:r w:rsidRPr="000402B3">
              <w:rPr>
                <w:sz w:val="40"/>
              </w:rPr>
              <w:t>ECE</w:t>
            </w:r>
            <w:r>
              <w:t>/TRANS/WP.15/2016/4</w:t>
            </w:r>
          </w:p>
        </w:tc>
      </w:tr>
      <w:tr w:rsidR="00717266" w:rsidTr="002E7210">
        <w:trPr>
          <w:cantSplit/>
          <w:trHeight w:hRule="exact" w:val="2835"/>
        </w:trPr>
        <w:tc>
          <w:tcPr>
            <w:tcW w:w="1276" w:type="dxa"/>
            <w:tcBorders>
              <w:top w:val="single" w:sz="4" w:space="0" w:color="auto"/>
              <w:bottom w:val="single" w:sz="12" w:space="0" w:color="auto"/>
            </w:tcBorders>
          </w:tcPr>
          <w:p w:rsidR="00717266" w:rsidRDefault="00717266" w:rsidP="002E7210">
            <w:pPr>
              <w:spacing w:before="120"/>
            </w:pPr>
            <w:r>
              <w:rPr>
                <w:noProof/>
                <w:lang w:eastAsia="en-GB"/>
              </w:rPr>
              <w:drawing>
                <wp:inline distT="0" distB="0" distL="0" distR="0" wp14:anchorId="6E7DA550" wp14:editId="653BDCF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2E7210">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402B3" w:rsidP="002E7210">
            <w:pPr>
              <w:suppressAutoHyphens w:val="0"/>
              <w:spacing w:before="240" w:line="240" w:lineRule="exact"/>
            </w:pPr>
            <w:r>
              <w:t>Distr.: General</w:t>
            </w:r>
          </w:p>
          <w:p w:rsidR="000402B3" w:rsidRDefault="0040274E" w:rsidP="0040274E">
            <w:pPr>
              <w:suppressAutoHyphens w:val="0"/>
            </w:pPr>
            <w:r>
              <w:t>8 February 2016</w:t>
            </w:r>
          </w:p>
          <w:p w:rsidR="000402B3" w:rsidRDefault="000402B3" w:rsidP="002E7210">
            <w:pPr>
              <w:suppressAutoHyphens w:val="0"/>
            </w:pPr>
          </w:p>
          <w:p w:rsidR="000402B3" w:rsidRDefault="000402B3" w:rsidP="002E7210">
            <w:pPr>
              <w:suppressAutoHyphens w:val="0"/>
            </w:pPr>
            <w:r>
              <w:t>English</w:t>
            </w:r>
          </w:p>
          <w:p w:rsidR="000402B3" w:rsidRDefault="000402B3" w:rsidP="002E7210">
            <w:pPr>
              <w:suppressAutoHyphens w:val="0"/>
            </w:pPr>
            <w:r>
              <w:t>Original: French</w:t>
            </w:r>
          </w:p>
        </w:tc>
      </w:tr>
    </w:tbl>
    <w:p w:rsidR="000402B3" w:rsidRDefault="000402B3">
      <w:pPr>
        <w:spacing w:before="120"/>
        <w:rPr>
          <w:b/>
          <w:sz w:val="28"/>
          <w:szCs w:val="28"/>
        </w:rPr>
      </w:pPr>
      <w:r>
        <w:rPr>
          <w:b/>
          <w:sz w:val="28"/>
          <w:szCs w:val="28"/>
        </w:rPr>
        <w:t>Economic Commission for Europe</w:t>
      </w:r>
    </w:p>
    <w:p w:rsidR="000402B3" w:rsidRDefault="000402B3">
      <w:pPr>
        <w:spacing w:before="120"/>
        <w:rPr>
          <w:sz w:val="28"/>
          <w:szCs w:val="28"/>
        </w:rPr>
      </w:pPr>
      <w:r>
        <w:rPr>
          <w:sz w:val="28"/>
          <w:szCs w:val="28"/>
        </w:rPr>
        <w:t>Inland Transport Committee</w:t>
      </w:r>
    </w:p>
    <w:p w:rsidR="000402B3" w:rsidRDefault="000402B3">
      <w:pPr>
        <w:spacing w:before="120"/>
        <w:rPr>
          <w:b/>
          <w:sz w:val="24"/>
          <w:szCs w:val="24"/>
        </w:rPr>
      </w:pPr>
      <w:r>
        <w:rPr>
          <w:b/>
          <w:sz w:val="24"/>
          <w:szCs w:val="24"/>
        </w:rPr>
        <w:t>Working Party on the Transport of Dangerous Goods</w:t>
      </w:r>
    </w:p>
    <w:p w:rsidR="007268F9" w:rsidRDefault="007268F9" w:rsidP="00FB1744"/>
    <w:p w:rsidR="000402B3" w:rsidRPr="003F486D" w:rsidRDefault="000402B3" w:rsidP="00FB1744">
      <w:pPr>
        <w:rPr>
          <w:b/>
          <w:bCs/>
        </w:rPr>
      </w:pPr>
      <w:r w:rsidRPr="003F486D">
        <w:rPr>
          <w:b/>
          <w:bCs/>
        </w:rPr>
        <w:t>100th session</w:t>
      </w:r>
    </w:p>
    <w:p w:rsidR="000402B3" w:rsidRDefault="000402B3" w:rsidP="00FB1744">
      <w:pPr>
        <w:rPr>
          <w:lang w:val="en-US"/>
        </w:rPr>
      </w:pPr>
      <w:r>
        <w:t>Geneva, 9-13 May</w:t>
      </w:r>
      <w:r>
        <w:rPr>
          <w:lang w:val="en-US"/>
        </w:rPr>
        <w:t xml:space="preserve"> 2016</w:t>
      </w:r>
    </w:p>
    <w:p w:rsidR="000402B3" w:rsidRDefault="000402B3" w:rsidP="00FB1744">
      <w:pPr>
        <w:rPr>
          <w:lang w:val="en-US"/>
        </w:rPr>
      </w:pPr>
      <w:r>
        <w:rPr>
          <w:lang w:val="en-US"/>
        </w:rPr>
        <w:t>Item 6 (b) of the Provisional agenda</w:t>
      </w:r>
    </w:p>
    <w:p w:rsidR="000402B3" w:rsidRPr="000402B3" w:rsidRDefault="000402B3" w:rsidP="00FB1744">
      <w:pPr>
        <w:rPr>
          <w:b/>
          <w:bCs/>
          <w:lang w:val="en-US"/>
        </w:rPr>
      </w:pPr>
      <w:r w:rsidRPr="000402B3">
        <w:rPr>
          <w:b/>
          <w:bCs/>
          <w:lang w:val="en-US"/>
        </w:rPr>
        <w:t>Proposals for amendments to annexes A and B of ADR:</w:t>
      </w:r>
    </w:p>
    <w:p w:rsidR="000402B3" w:rsidRDefault="000402B3" w:rsidP="00FB1744">
      <w:pPr>
        <w:rPr>
          <w:b/>
          <w:bCs/>
          <w:lang w:val="en-US"/>
        </w:rPr>
      </w:pPr>
      <w:r w:rsidRPr="000402B3">
        <w:rPr>
          <w:b/>
          <w:bCs/>
          <w:lang w:val="en-US"/>
        </w:rPr>
        <w:t>Miscellaneous proposals</w:t>
      </w:r>
    </w:p>
    <w:p w:rsidR="000402B3" w:rsidRPr="000402B3" w:rsidRDefault="000402B3" w:rsidP="000402B3">
      <w:pPr>
        <w:pStyle w:val="HChG"/>
      </w:pPr>
      <w:r w:rsidRPr="000402B3">
        <w:tab/>
      </w:r>
      <w:r w:rsidRPr="000402B3">
        <w:tab/>
        <w:t>Proposal for tunnel restriction codes for non-exempted vehicles, engines and machinery, UN Nos. 3166, 3171, 3528, 3529 and 3530</w:t>
      </w:r>
    </w:p>
    <w:p w:rsidR="000402B3" w:rsidRDefault="000402B3" w:rsidP="000402B3">
      <w:pPr>
        <w:pStyle w:val="H1G"/>
      </w:pPr>
      <w:r w:rsidRPr="000402B3">
        <w:tab/>
      </w:r>
      <w:r w:rsidRPr="000402B3">
        <w:tab/>
        <w:t>Transmitted by the Government of Switzerland</w:t>
      </w:r>
      <w:r w:rsidR="002E4AFF" w:rsidRPr="0063387F">
        <w:rPr>
          <w:rStyle w:val="FootnoteReference"/>
          <w:b w:val="0"/>
          <w:bCs/>
        </w:rPr>
        <w:footnoteReference w:id="1"/>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3386C" w:rsidTr="00C3386C">
        <w:trPr>
          <w:cantSplit/>
          <w:trHeight w:val="293"/>
          <w:jc w:val="center"/>
        </w:trPr>
        <w:tc>
          <w:tcPr>
            <w:tcW w:w="9637" w:type="dxa"/>
            <w:shd w:val="clear" w:color="auto" w:fill="auto"/>
          </w:tcPr>
          <w:p w:rsidR="00C3386C" w:rsidRPr="00A10A42" w:rsidRDefault="00C3386C" w:rsidP="005638A2">
            <w:pPr>
              <w:spacing w:before="60" w:after="60"/>
              <w:ind w:left="255"/>
              <w:rPr>
                <w:i/>
                <w:sz w:val="24"/>
              </w:rPr>
            </w:pPr>
            <w:r w:rsidRPr="00A10A42">
              <w:rPr>
                <w:i/>
                <w:sz w:val="24"/>
              </w:rPr>
              <w:t>Summary</w:t>
            </w:r>
          </w:p>
        </w:tc>
      </w:tr>
      <w:tr w:rsidR="00C3386C" w:rsidTr="00C3386C">
        <w:trPr>
          <w:cantSplit/>
          <w:jc w:val="center"/>
        </w:trPr>
        <w:tc>
          <w:tcPr>
            <w:tcW w:w="9637" w:type="dxa"/>
            <w:shd w:val="clear" w:color="auto" w:fill="auto"/>
          </w:tcPr>
          <w:p w:rsidR="00C3386C" w:rsidRDefault="00C3386C" w:rsidP="00C3386C">
            <w:pPr>
              <w:pStyle w:val="SingleTxtG"/>
              <w:spacing w:after="60"/>
              <w:ind w:left="2836" w:hanging="2552"/>
            </w:pPr>
            <w:r w:rsidRPr="00D25036">
              <w:rPr>
                <w:b/>
              </w:rPr>
              <w:t>Executive summary:</w:t>
            </w:r>
            <w:r w:rsidRPr="00A10A42">
              <w:rPr>
                <w:b/>
              </w:rPr>
              <w:t xml:space="preserve"> </w:t>
            </w:r>
            <w:r w:rsidRPr="00A10A42">
              <w:rPr>
                <w:b/>
              </w:rPr>
              <w:tab/>
            </w:r>
            <w:r w:rsidRPr="00C3386C">
              <w:t>Assign tunnel restriction codes to entries under UN Nos. 3166, 3171, 3528, 3529 and 3530 that cannot be exempted under special provisions 363 or 666.</w:t>
            </w:r>
          </w:p>
        </w:tc>
      </w:tr>
      <w:tr w:rsidR="00C3386C" w:rsidTr="00C3386C">
        <w:trPr>
          <w:cantSplit/>
          <w:jc w:val="center"/>
        </w:trPr>
        <w:tc>
          <w:tcPr>
            <w:tcW w:w="9637" w:type="dxa"/>
            <w:shd w:val="clear" w:color="auto" w:fill="auto"/>
          </w:tcPr>
          <w:p w:rsidR="00C3386C" w:rsidRPr="00C3386C" w:rsidRDefault="00C3386C" w:rsidP="00C3386C">
            <w:pPr>
              <w:pStyle w:val="SingleTxtG"/>
              <w:ind w:left="2834" w:hanging="2551"/>
            </w:pPr>
            <w:r w:rsidRPr="00D25036">
              <w:rPr>
                <w:b/>
              </w:rPr>
              <w:t>Action to be taken:</w:t>
            </w:r>
            <w:r w:rsidRPr="00A10A42">
              <w:rPr>
                <w:b/>
              </w:rPr>
              <w:tab/>
            </w:r>
            <w:r w:rsidRPr="00C3386C">
              <w:rPr>
                <w:spacing w:val="-2"/>
              </w:rPr>
              <w:t>Amend column (15) of Table A in Chapter 3.2.</w:t>
            </w:r>
          </w:p>
        </w:tc>
      </w:tr>
      <w:tr w:rsidR="00C3386C" w:rsidTr="00C3386C">
        <w:trPr>
          <w:cantSplit/>
          <w:jc w:val="center"/>
        </w:trPr>
        <w:tc>
          <w:tcPr>
            <w:tcW w:w="9637" w:type="dxa"/>
            <w:shd w:val="clear" w:color="auto" w:fill="auto"/>
          </w:tcPr>
          <w:p w:rsidR="00C3386C" w:rsidRPr="00E61CAE" w:rsidRDefault="0030412A" w:rsidP="00C3386C">
            <w:pPr>
              <w:pStyle w:val="SingleTxtG"/>
              <w:ind w:left="2834" w:hanging="2551"/>
            </w:pPr>
            <w:r w:rsidRPr="00D25036">
              <w:rPr>
                <w:b/>
              </w:rPr>
              <w:t>Background</w:t>
            </w:r>
            <w:r w:rsidR="00C3386C" w:rsidRPr="00D25036">
              <w:rPr>
                <w:b/>
              </w:rPr>
              <w:t xml:space="preserve"> documents:</w:t>
            </w:r>
            <w:r w:rsidR="00C3386C" w:rsidRPr="00A10A42">
              <w:rPr>
                <w:b/>
              </w:rPr>
              <w:t xml:space="preserve"> </w:t>
            </w:r>
            <w:r w:rsidR="00C3386C" w:rsidRPr="00A10A42">
              <w:rPr>
                <w:b/>
              </w:rPr>
              <w:tab/>
            </w:r>
            <w:r w:rsidR="00C3386C" w:rsidRPr="00D13384">
              <w:t>ECE/TRANS/WP.15/230, ECE/TRANS/WP.15/AC.1/2016/15 </w:t>
            </w:r>
          </w:p>
        </w:tc>
      </w:tr>
      <w:tr w:rsidR="00821861" w:rsidTr="00C3386C">
        <w:trPr>
          <w:cantSplit/>
          <w:jc w:val="center"/>
        </w:trPr>
        <w:tc>
          <w:tcPr>
            <w:tcW w:w="9637" w:type="dxa"/>
            <w:shd w:val="clear" w:color="auto" w:fill="auto"/>
          </w:tcPr>
          <w:p w:rsidR="00821861" w:rsidRPr="00D25036" w:rsidRDefault="00821861" w:rsidP="00C3386C">
            <w:pPr>
              <w:pStyle w:val="SingleTxtG"/>
              <w:ind w:left="2834" w:hanging="2551"/>
              <w:rPr>
                <w:b/>
              </w:rPr>
            </w:pPr>
          </w:p>
        </w:tc>
      </w:tr>
    </w:tbl>
    <w:p w:rsidR="00C3386C" w:rsidRPr="00D13384" w:rsidRDefault="00C3386C" w:rsidP="00C3386C">
      <w:pPr>
        <w:pStyle w:val="HChG"/>
      </w:pPr>
      <w:r w:rsidRPr="00D13384">
        <w:tab/>
      </w:r>
      <w:r w:rsidRPr="00D13384">
        <w:tab/>
        <w:t>Introduction</w:t>
      </w:r>
    </w:p>
    <w:p w:rsidR="00C3386C" w:rsidRPr="00D13384" w:rsidRDefault="00C3386C" w:rsidP="00C3386C">
      <w:pPr>
        <w:pStyle w:val="SingleTxtG"/>
      </w:pPr>
      <w:r w:rsidRPr="00D13384">
        <w:t>1.</w:t>
      </w:r>
      <w:r w:rsidRPr="00D13384">
        <w:tab/>
        <w:t>At its last session, the Working Party (WP.15) noted that the texts adopted for 2017 contained no information in column (15) of Table A of Chapter 3.2 regarding the transport category and tunnel restriction code for UN Nos. 3166, 3171 and 3528-3530 (ECE/TRANS/WP.15/230, para. 22).</w:t>
      </w:r>
    </w:p>
    <w:p w:rsidR="00C3386C" w:rsidRPr="00D13384" w:rsidRDefault="00F14FF1" w:rsidP="00C3386C">
      <w:pPr>
        <w:pStyle w:val="SingleTxtG"/>
      </w:pPr>
      <w:r>
        <w:lastRenderedPageBreak/>
        <w:t>2.</w:t>
      </w:r>
      <w:r>
        <w:tab/>
      </w:r>
      <w:r w:rsidR="00C3386C" w:rsidRPr="00D13384">
        <w:t>The Joint Meeting will have to decide on the transport category but it is for WP.15 to assign tunnel restriction codes to entries under UN Nos. 3166, 3171, 3528, 3529 and 3530. Vehicles and equipment are exempt under special provision 666 and engines and machinery under special provision 363. However, in certain cases it may be that the conditions for exemption cannot be met, in which case the provisions of ADR will apply. In that regard packing instruction P005 has been created for UN Nos. 3528, 3529</w:t>
      </w:r>
      <w:r w:rsidR="00D25036">
        <w:t xml:space="preserve"> and</w:t>
      </w:r>
      <w:r w:rsidR="00C3386C" w:rsidRPr="00D13384">
        <w:t xml:space="preserve"> 3530 for circumstances in which the requirements of special provision 363 cannot be met. Even though such cases may be rare, there must be tunnel restrictions for vehicles, engines and machinery that are to be carried in accordance with all the rules of ADR, and that is why we are submitting this proposal.</w:t>
      </w:r>
    </w:p>
    <w:p w:rsidR="00C3386C" w:rsidRPr="00D13384" w:rsidRDefault="00C3386C" w:rsidP="00C3386C">
      <w:pPr>
        <w:pStyle w:val="SingleTxtG"/>
      </w:pPr>
      <w:r w:rsidRPr="00D13384">
        <w:t>3.</w:t>
      </w:r>
      <w:r w:rsidRPr="00D13384">
        <w:tab/>
        <w:t xml:space="preserve">The difficulty with assigning tunnel restriction codes is that entries do not relate to a specific fuel type. Entries include vehicles that may have metal hydride storage systems, gas or liquid fuel internal combustion engines, hybrid electric vehicles powered by both a fuel cell and an internal combustion engine with wet batteries, sodium batteries, lithium metal batteries or lithium ion batteries, transported with the </w:t>
      </w:r>
      <w:r w:rsidR="00D25036" w:rsidRPr="00D13384">
        <w:t>batteries</w:t>
      </w:r>
      <w:r w:rsidRPr="00D13384">
        <w:t xml:space="preserve"> installed (UN No. 3166) or battery-powered equipment only applies to vehicles powered by wet batteries, sodium batteries, lithium metal batteries or lithium ion batteries and equipment powered by wet batteries or sodium batteries transported with these batteries installed (UN No. 3171). Engines and machinery may contain liquid fuel (UN No. 3528), gas (UN No. 3529) or other environmentally hazardous liquids (UN No. 3530).</w:t>
      </w:r>
    </w:p>
    <w:p w:rsidR="00C3386C" w:rsidRDefault="00F14FF1" w:rsidP="0030412A">
      <w:pPr>
        <w:pStyle w:val="SingleTxtG"/>
        <w:spacing w:after="240"/>
      </w:pPr>
      <w:r>
        <w:t>4.</w:t>
      </w:r>
      <w:r>
        <w:tab/>
      </w:r>
      <w:r w:rsidR="00C3386C" w:rsidRPr="00D13384">
        <w:t>Because of the wide range of engine types, entries may contain various kinds of dangerous goods to which various transport categories and tunnel restriction codes apply:</w:t>
      </w:r>
    </w:p>
    <w:tbl>
      <w:tblPr>
        <w:tblpPr w:leftFromText="180" w:rightFromText="180" w:vertAnchor="text" w:horzAnchor="page" w:tblpX="2325" w:tblpY="69"/>
        <w:tblW w:w="5524" w:type="dxa"/>
        <w:tblLook w:val="04A0" w:firstRow="1" w:lastRow="0" w:firstColumn="1" w:lastColumn="0" w:noHBand="0" w:noVBand="1"/>
      </w:tblPr>
      <w:tblGrid>
        <w:gridCol w:w="3397"/>
        <w:gridCol w:w="2127"/>
      </w:tblGrid>
      <w:tr w:rsidR="00AB40DA" w:rsidRPr="00AB40DA" w:rsidTr="009A6A82">
        <w:trPr>
          <w:trHeight w:val="1675"/>
        </w:trPr>
        <w:tc>
          <w:tcPr>
            <w:tcW w:w="3397" w:type="dxa"/>
            <w:tcBorders>
              <w:top w:val="single" w:sz="4" w:space="0" w:color="auto"/>
              <w:left w:val="single" w:sz="4" w:space="0" w:color="auto"/>
              <w:bottom w:val="nil"/>
              <w:right w:val="single" w:sz="4" w:space="0" w:color="auto"/>
            </w:tcBorders>
            <w:shd w:val="clear" w:color="000000" w:fill="FFFFFF"/>
            <w:vAlign w:val="center"/>
            <w:hideMark/>
          </w:tcPr>
          <w:p w:rsidR="00AB40DA" w:rsidRPr="005A4881" w:rsidRDefault="00AB40DA" w:rsidP="00AB40DA">
            <w:pPr>
              <w:suppressAutoHyphens w:val="0"/>
              <w:spacing w:line="240" w:lineRule="auto"/>
              <w:jc w:val="center"/>
              <w:rPr>
                <w:b/>
                <w:bCs/>
                <w:sz w:val="16"/>
                <w:szCs w:val="16"/>
                <w:lang w:val="en-US"/>
              </w:rPr>
            </w:pPr>
            <w:r w:rsidRPr="00AB40DA">
              <w:rPr>
                <w:b/>
                <w:bCs/>
                <w:sz w:val="16"/>
                <w:szCs w:val="16"/>
              </w:rPr>
              <w:t>UN No.</w:t>
            </w:r>
          </w:p>
        </w:tc>
        <w:tc>
          <w:tcPr>
            <w:tcW w:w="2127" w:type="dxa"/>
            <w:vMerge w:val="restart"/>
            <w:tcBorders>
              <w:top w:val="single" w:sz="4" w:space="0" w:color="auto"/>
              <w:bottom w:val="nil"/>
              <w:right w:val="single" w:sz="4" w:space="0" w:color="auto"/>
            </w:tcBorders>
            <w:vAlign w:val="center"/>
          </w:tcPr>
          <w:p w:rsidR="00AB40DA" w:rsidRPr="00AB40DA" w:rsidRDefault="00AB40DA" w:rsidP="00AB40DA">
            <w:pPr>
              <w:suppressAutoHyphens w:val="0"/>
              <w:spacing w:line="240" w:lineRule="auto"/>
              <w:jc w:val="center"/>
              <w:rPr>
                <w:b/>
                <w:bCs/>
                <w:sz w:val="16"/>
                <w:szCs w:val="16"/>
                <w:lang w:val="fr-CH"/>
              </w:rPr>
            </w:pPr>
            <w:r w:rsidRPr="00AB40DA">
              <w:rPr>
                <w:b/>
                <w:bCs/>
                <w:sz w:val="16"/>
                <w:szCs w:val="16"/>
              </w:rPr>
              <w:t>Transport category (Tunnel restriction code)</w:t>
            </w:r>
          </w:p>
        </w:tc>
      </w:tr>
      <w:tr w:rsidR="00AB40DA" w:rsidRPr="00AB40DA" w:rsidTr="009A6A82">
        <w:tc>
          <w:tcPr>
            <w:tcW w:w="3397" w:type="dxa"/>
            <w:tcBorders>
              <w:top w:val="nil"/>
              <w:left w:val="single" w:sz="4" w:space="0" w:color="auto"/>
              <w:bottom w:val="single" w:sz="4" w:space="0" w:color="auto"/>
              <w:right w:val="single" w:sz="4" w:space="0" w:color="auto"/>
            </w:tcBorders>
            <w:shd w:val="clear" w:color="000000" w:fill="FFFFFF"/>
            <w:hideMark/>
          </w:tcPr>
          <w:p w:rsidR="00AB40DA" w:rsidRPr="00AB40DA" w:rsidRDefault="00AB40DA" w:rsidP="009A6A82">
            <w:pPr>
              <w:suppressAutoHyphens w:val="0"/>
              <w:spacing w:line="240" w:lineRule="auto"/>
              <w:jc w:val="center"/>
              <w:rPr>
                <w:sz w:val="16"/>
                <w:szCs w:val="16"/>
                <w:lang w:val="fr-CH"/>
              </w:rPr>
            </w:pPr>
            <w:r w:rsidRPr="00AB40DA">
              <w:rPr>
                <w:sz w:val="16"/>
                <w:szCs w:val="16"/>
                <w:lang w:val="fr-CH"/>
              </w:rPr>
              <w:t> </w:t>
            </w:r>
          </w:p>
        </w:tc>
        <w:tc>
          <w:tcPr>
            <w:tcW w:w="2127" w:type="dxa"/>
            <w:vMerge/>
            <w:tcBorders>
              <w:bottom w:val="single" w:sz="4" w:space="0" w:color="auto"/>
              <w:right w:val="single" w:sz="4" w:space="0" w:color="auto"/>
            </w:tcBorders>
          </w:tcPr>
          <w:p w:rsidR="00AB40DA" w:rsidRPr="00AB40DA" w:rsidRDefault="00AB40DA" w:rsidP="009A6A82">
            <w:pPr>
              <w:jc w:val="center"/>
              <w:rPr>
                <w:b/>
                <w:bCs/>
                <w:sz w:val="16"/>
                <w:szCs w:val="16"/>
                <w:lang w:val="fr-CH"/>
              </w:rPr>
            </w:pPr>
          </w:p>
        </w:tc>
      </w:tr>
      <w:tr w:rsidR="00AB40DA" w:rsidRPr="00B041FB" w:rsidTr="009A6A82">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AB40DA" w:rsidRPr="000C7880" w:rsidRDefault="00AB40DA" w:rsidP="009A6A82">
            <w:pPr>
              <w:rPr>
                <w:lang w:val="de-CH"/>
              </w:rPr>
            </w:pPr>
            <w:r w:rsidRPr="000C7880">
              <w:t xml:space="preserve">1202 </w:t>
            </w:r>
          </w:p>
        </w:tc>
        <w:tc>
          <w:tcPr>
            <w:tcW w:w="2127" w:type="dxa"/>
            <w:tcBorders>
              <w:top w:val="single" w:sz="4" w:space="0" w:color="auto"/>
              <w:bottom w:val="single" w:sz="4" w:space="0" w:color="auto"/>
              <w:right w:val="single" w:sz="4" w:space="0" w:color="auto"/>
            </w:tcBorders>
          </w:tcPr>
          <w:p w:rsidR="00AB40DA" w:rsidRDefault="00AB40DA" w:rsidP="009A6A82">
            <w:pPr>
              <w:jc w:val="center"/>
              <w:rPr>
                <w:b/>
                <w:bCs/>
                <w:sz w:val="16"/>
                <w:szCs w:val="16"/>
              </w:rPr>
            </w:pPr>
            <w:r>
              <w:rPr>
                <w:sz w:val="16"/>
                <w:szCs w:val="16"/>
              </w:rPr>
              <w:t>3</w:t>
            </w:r>
            <w:r>
              <w:rPr>
                <w:sz w:val="16"/>
                <w:szCs w:val="16"/>
              </w:rPr>
              <w:br/>
              <w:t>(D/E)</w:t>
            </w:r>
          </w:p>
        </w:tc>
      </w:tr>
      <w:tr w:rsidR="00AB40DA" w:rsidRPr="00B041FB" w:rsidTr="009A6A82">
        <w:tc>
          <w:tcPr>
            <w:tcW w:w="3397" w:type="dxa"/>
            <w:tcBorders>
              <w:top w:val="single" w:sz="4" w:space="0" w:color="auto"/>
              <w:left w:val="single" w:sz="4" w:space="0" w:color="auto"/>
              <w:bottom w:val="single" w:sz="4" w:space="0" w:color="auto"/>
              <w:right w:val="single" w:sz="4" w:space="0" w:color="auto"/>
            </w:tcBorders>
            <w:shd w:val="clear" w:color="000000" w:fill="FFFFFF"/>
          </w:tcPr>
          <w:p w:rsidR="00AB40DA" w:rsidRPr="000C7880" w:rsidRDefault="00AB40DA" w:rsidP="009A6A82">
            <w:r>
              <w:t>1203</w:t>
            </w:r>
          </w:p>
        </w:tc>
        <w:tc>
          <w:tcPr>
            <w:tcW w:w="2127" w:type="dxa"/>
            <w:tcBorders>
              <w:top w:val="single" w:sz="4" w:space="0" w:color="auto"/>
              <w:bottom w:val="single" w:sz="4" w:space="0" w:color="auto"/>
              <w:right w:val="single" w:sz="4" w:space="0" w:color="auto"/>
            </w:tcBorders>
          </w:tcPr>
          <w:p w:rsidR="00AB40DA" w:rsidRDefault="00BC6BCE" w:rsidP="009A6A82">
            <w:pPr>
              <w:jc w:val="center"/>
              <w:rPr>
                <w:sz w:val="16"/>
                <w:szCs w:val="16"/>
              </w:rPr>
            </w:pPr>
            <w:r>
              <w:rPr>
                <w:sz w:val="16"/>
                <w:szCs w:val="16"/>
              </w:rPr>
              <w:t>2</w:t>
            </w:r>
            <w:r>
              <w:rPr>
                <w:sz w:val="16"/>
                <w:szCs w:val="16"/>
              </w:rPr>
              <w:br/>
              <w:t>(D/E)</w:t>
            </w:r>
          </w:p>
        </w:tc>
      </w:tr>
      <w:tr w:rsidR="00AB40DA" w:rsidRPr="00B041FB" w:rsidTr="009A6A82">
        <w:tc>
          <w:tcPr>
            <w:tcW w:w="3397" w:type="dxa"/>
            <w:tcBorders>
              <w:top w:val="nil"/>
              <w:left w:val="single" w:sz="4" w:space="0" w:color="auto"/>
              <w:bottom w:val="single" w:sz="4" w:space="0" w:color="auto"/>
              <w:right w:val="single" w:sz="4" w:space="0" w:color="auto"/>
            </w:tcBorders>
            <w:shd w:val="clear" w:color="000000" w:fill="FFFFFF"/>
            <w:hideMark/>
          </w:tcPr>
          <w:p w:rsidR="00AB40DA" w:rsidRPr="000C7880" w:rsidRDefault="00AB40DA" w:rsidP="009A6A82">
            <w:r w:rsidRPr="000C7880">
              <w:t>1965, 1971 et 1972</w:t>
            </w:r>
          </w:p>
        </w:tc>
        <w:tc>
          <w:tcPr>
            <w:tcW w:w="2127" w:type="dxa"/>
            <w:tcBorders>
              <w:top w:val="single" w:sz="4" w:space="0" w:color="auto"/>
              <w:bottom w:val="single" w:sz="4" w:space="0" w:color="auto"/>
              <w:right w:val="single" w:sz="4" w:space="0" w:color="auto"/>
            </w:tcBorders>
          </w:tcPr>
          <w:p w:rsidR="00AB40DA" w:rsidRPr="009F7F1E" w:rsidRDefault="00AB40DA" w:rsidP="009A6A82">
            <w:pPr>
              <w:jc w:val="center"/>
              <w:rPr>
                <w:sz w:val="16"/>
                <w:szCs w:val="16"/>
              </w:rPr>
            </w:pPr>
            <w:r>
              <w:rPr>
                <w:sz w:val="16"/>
                <w:szCs w:val="16"/>
              </w:rPr>
              <w:t>2</w:t>
            </w:r>
            <w:r>
              <w:rPr>
                <w:sz w:val="16"/>
                <w:szCs w:val="16"/>
              </w:rPr>
              <w:br/>
              <w:t>(B/D)</w:t>
            </w:r>
          </w:p>
        </w:tc>
      </w:tr>
      <w:tr w:rsidR="00AB40DA" w:rsidRPr="00B041FB" w:rsidTr="009A6A82">
        <w:tc>
          <w:tcPr>
            <w:tcW w:w="3397" w:type="dxa"/>
            <w:tcBorders>
              <w:top w:val="nil"/>
              <w:left w:val="single" w:sz="4" w:space="0" w:color="auto"/>
              <w:bottom w:val="single" w:sz="4" w:space="0" w:color="auto"/>
              <w:right w:val="single" w:sz="4" w:space="0" w:color="auto"/>
            </w:tcBorders>
            <w:shd w:val="clear" w:color="000000" w:fill="FFFFFF"/>
            <w:hideMark/>
          </w:tcPr>
          <w:p w:rsidR="00AB40DA" w:rsidRPr="000C7880" w:rsidRDefault="00AB40DA" w:rsidP="009A6A82">
            <w:r w:rsidRPr="000C7880">
              <w:t>2794, 2795 et 2800</w:t>
            </w:r>
          </w:p>
        </w:tc>
        <w:tc>
          <w:tcPr>
            <w:tcW w:w="2127" w:type="dxa"/>
            <w:tcBorders>
              <w:top w:val="single" w:sz="4" w:space="0" w:color="auto"/>
              <w:bottom w:val="single" w:sz="4" w:space="0" w:color="auto"/>
              <w:right w:val="single" w:sz="4" w:space="0" w:color="auto"/>
            </w:tcBorders>
          </w:tcPr>
          <w:p w:rsidR="00AB40DA" w:rsidRDefault="00AB40DA" w:rsidP="009A6A82">
            <w:pPr>
              <w:jc w:val="center"/>
              <w:rPr>
                <w:sz w:val="16"/>
                <w:szCs w:val="16"/>
              </w:rPr>
            </w:pPr>
            <w:r>
              <w:rPr>
                <w:sz w:val="16"/>
                <w:szCs w:val="16"/>
              </w:rPr>
              <w:t>3</w:t>
            </w:r>
            <w:r>
              <w:rPr>
                <w:sz w:val="16"/>
                <w:szCs w:val="16"/>
              </w:rPr>
              <w:br/>
              <w:t>(E)</w:t>
            </w:r>
          </w:p>
        </w:tc>
      </w:tr>
      <w:tr w:rsidR="00AB40DA" w:rsidRPr="009F7F1E" w:rsidTr="009A6A82">
        <w:tc>
          <w:tcPr>
            <w:tcW w:w="3397" w:type="dxa"/>
            <w:tcBorders>
              <w:top w:val="single" w:sz="4" w:space="0" w:color="auto"/>
              <w:left w:val="single" w:sz="4" w:space="0" w:color="auto"/>
              <w:bottom w:val="single" w:sz="4" w:space="0" w:color="auto"/>
              <w:right w:val="single" w:sz="4" w:space="0" w:color="auto"/>
            </w:tcBorders>
            <w:shd w:val="clear" w:color="000000" w:fill="FFFFFF"/>
            <w:hideMark/>
          </w:tcPr>
          <w:p w:rsidR="00AB40DA" w:rsidRPr="000C7880" w:rsidRDefault="00AB40DA" w:rsidP="009A6A82">
            <w:r>
              <w:t>3090, 3091, 3480 et 3481</w:t>
            </w:r>
          </w:p>
        </w:tc>
        <w:tc>
          <w:tcPr>
            <w:tcW w:w="2127" w:type="dxa"/>
            <w:tcBorders>
              <w:top w:val="single" w:sz="4" w:space="0" w:color="auto"/>
              <w:bottom w:val="single" w:sz="4" w:space="0" w:color="auto"/>
              <w:right w:val="single" w:sz="4" w:space="0" w:color="auto"/>
            </w:tcBorders>
          </w:tcPr>
          <w:p w:rsidR="00AB40DA" w:rsidRDefault="00AB40DA" w:rsidP="009A6A82">
            <w:pPr>
              <w:jc w:val="center"/>
              <w:rPr>
                <w:sz w:val="16"/>
                <w:szCs w:val="16"/>
              </w:rPr>
            </w:pPr>
            <w:r>
              <w:rPr>
                <w:sz w:val="16"/>
                <w:szCs w:val="16"/>
              </w:rPr>
              <w:t>2</w:t>
            </w:r>
            <w:r>
              <w:rPr>
                <w:sz w:val="16"/>
                <w:szCs w:val="16"/>
              </w:rPr>
              <w:br/>
              <w:t>(E)</w:t>
            </w:r>
          </w:p>
        </w:tc>
      </w:tr>
      <w:tr w:rsidR="00AB40DA" w:rsidRPr="006613C0" w:rsidTr="009A6A82">
        <w:tc>
          <w:tcPr>
            <w:tcW w:w="3397" w:type="dxa"/>
            <w:tcBorders>
              <w:top w:val="nil"/>
              <w:left w:val="single" w:sz="4" w:space="0" w:color="auto"/>
              <w:bottom w:val="single" w:sz="4" w:space="0" w:color="auto"/>
              <w:right w:val="single" w:sz="4" w:space="0" w:color="auto"/>
            </w:tcBorders>
            <w:shd w:val="clear" w:color="000000" w:fill="FFFFFF"/>
          </w:tcPr>
          <w:p w:rsidR="00AB40DA" w:rsidRPr="009F7F1E" w:rsidRDefault="00AB40DA" w:rsidP="009A6A82">
            <w:pPr>
              <w:suppressAutoHyphens w:val="0"/>
              <w:spacing w:line="240" w:lineRule="auto"/>
            </w:pPr>
            <w:r w:rsidRPr="009F7F1E">
              <w:t>3468</w:t>
            </w:r>
          </w:p>
        </w:tc>
        <w:tc>
          <w:tcPr>
            <w:tcW w:w="2127" w:type="dxa"/>
            <w:tcBorders>
              <w:top w:val="single" w:sz="4" w:space="0" w:color="auto"/>
              <w:bottom w:val="single" w:sz="4" w:space="0" w:color="auto"/>
              <w:right w:val="single" w:sz="4" w:space="0" w:color="auto"/>
            </w:tcBorders>
          </w:tcPr>
          <w:p w:rsidR="00AB40DA" w:rsidRPr="006613C0" w:rsidRDefault="00AB40DA" w:rsidP="009A6A82">
            <w:pPr>
              <w:jc w:val="center"/>
              <w:rPr>
                <w:sz w:val="16"/>
                <w:szCs w:val="16"/>
              </w:rPr>
            </w:pPr>
            <w:r>
              <w:rPr>
                <w:sz w:val="16"/>
                <w:szCs w:val="16"/>
              </w:rPr>
              <w:t>2</w:t>
            </w:r>
          </w:p>
          <w:p w:rsidR="00AB40DA" w:rsidRPr="006613C0" w:rsidRDefault="00AB40DA" w:rsidP="009A6A82">
            <w:pPr>
              <w:jc w:val="center"/>
              <w:rPr>
                <w:sz w:val="16"/>
                <w:szCs w:val="16"/>
              </w:rPr>
            </w:pPr>
            <w:r w:rsidRPr="006613C0">
              <w:rPr>
                <w:sz w:val="16"/>
                <w:szCs w:val="16"/>
              </w:rPr>
              <w:t>(</w:t>
            </w:r>
            <w:r>
              <w:rPr>
                <w:sz w:val="16"/>
                <w:szCs w:val="16"/>
              </w:rPr>
              <w:t>D</w:t>
            </w:r>
            <w:r w:rsidRPr="006613C0">
              <w:rPr>
                <w:sz w:val="16"/>
                <w:szCs w:val="16"/>
              </w:rPr>
              <w:t>)</w:t>
            </w:r>
          </w:p>
        </w:tc>
      </w:tr>
    </w:tbl>
    <w:p w:rsidR="00AB40DA" w:rsidRPr="00D13384" w:rsidRDefault="00AB40DA" w:rsidP="0030412A">
      <w:pPr>
        <w:pStyle w:val="SingleTxtG"/>
        <w:spacing w:after="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AB40DA" w:rsidRDefault="00AB40DA" w:rsidP="0030412A">
      <w:pPr>
        <w:pStyle w:val="SingleTxtG"/>
        <w:spacing w:before="240"/>
      </w:pPr>
    </w:p>
    <w:p w:rsidR="00C3386C" w:rsidRPr="00D13384" w:rsidRDefault="00F14FF1" w:rsidP="0030412A">
      <w:pPr>
        <w:pStyle w:val="SingleTxtG"/>
        <w:spacing w:before="240"/>
      </w:pPr>
      <w:r>
        <w:t>5.</w:t>
      </w:r>
      <w:r>
        <w:tab/>
      </w:r>
      <w:r w:rsidR="00C3386C" w:rsidRPr="00D13384">
        <w:t>All these types of dangerous goods may be found on a vehicle, or in an engine or machinery and each type should in principle have a specific tunnel restriction code depending on the fuel.</w:t>
      </w:r>
    </w:p>
    <w:p w:rsidR="00C3386C" w:rsidRPr="00D13384" w:rsidRDefault="00C3386C" w:rsidP="00C3386C">
      <w:pPr>
        <w:pStyle w:val="SingleTxtG"/>
      </w:pPr>
      <w:r w:rsidRPr="00D13384">
        <w:t>6.</w:t>
      </w:r>
      <w:r w:rsidRPr="00D13384">
        <w:tab/>
        <w:t xml:space="preserve">In assigning a tunnel restriction code the scope of restrictions also needs to be taken into account. For vehicles the definitions in special provisions 240 and 385 need to be considered. These special provisions include locomotives, boats and aircraft, which may contain large quantities of fuel. As to machinery and engines, consideration needs to be </w:t>
      </w:r>
      <w:r w:rsidRPr="00D13384">
        <w:lastRenderedPageBreak/>
        <w:t>given to the fact that, on the one hand</w:t>
      </w:r>
      <w:proofErr w:type="gramStart"/>
      <w:r w:rsidRPr="00D13384">
        <w:t>,  they</w:t>
      </w:r>
      <w:proofErr w:type="gramEnd"/>
      <w:r w:rsidRPr="00D13384">
        <w:t xml:space="preserve"> may contain unlimited quantities of fuel, in accordance with special provision 363, and on the other hand there is a packing instruction (P005) for engines and machinery that do not meet the exemption conditions in special provision 363. Thus vehicles that do not meet the exemption conditions in special provision 666 and engines and machinery that do not meet the exemption conditions in special provision 363 are subject to all the requirements of ADR and in that case the transport units must bear orange-coloured plate marking. For such cases the restrictions for passage through tunnels should be entered in column (15) of Table </w:t>
      </w:r>
      <w:proofErr w:type="gramStart"/>
      <w:r w:rsidRPr="00D13384">
        <w:t>A</w:t>
      </w:r>
      <w:proofErr w:type="gramEnd"/>
      <w:r w:rsidRPr="00D13384">
        <w:t xml:space="preserve"> of Chapter 3.2.</w:t>
      </w:r>
    </w:p>
    <w:p w:rsidR="00C3386C" w:rsidRPr="00D13384" w:rsidRDefault="00F14FF1" w:rsidP="00C3386C">
      <w:pPr>
        <w:pStyle w:val="SingleTxtG"/>
      </w:pPr>
      <w:r>
        <w:t>7.</w:t>
      </w:r>
      <w:r>
        <w:tab/>
      </w:r>
      <w:r w:rsidR="00C3386C" w:rsidRPr="00D13384">
        <w:t>Taking into account the fuels listed in paragraph 3 above, and applying the strictest conditions, vehicles under UN No. 3166, which may contain hybrid engines, should be assigned transport category 2 and tunnel restriction code (B/D); vehicles under UN No. 3171 which contain only wet batteries, sodium batteries, lithium metal batteries or lithium ion batteries and equipment powered by we</w:t>
      </w:r>
      <w:r w:rsidR="00425DA1">
        <w:t>t batteries or sodium batteries</w:t>
      </w:r>
      <w:r w:rsidR="00C3386C" w:rsidRPr="00D13384">
        <w:t>, should be assigned transport category 2 and tunnel restriction code (E). For engines and machinery under UN Nos. 3528, 3529 and 3530, with the same characteristics, transport category 2 and tunnel restriction codes (D/E) and (B/D) will apply to UN Nos. 3528 and 3529 and transport category 3 and tunnel restriction code (E) to UN No. 3530.</w:t>
      </w:r>
    </w:p>
    <w:p w:rsidR="000402B3" w:rsidRDefault="000C440C" w:rsidP="00821861">
      <w:pPr>
        <w:pStyle w:val="HChG"/>
      </w:pPr>
      <w:r>
        <w:tab/>
      </w:r>
      <w:r>
        <w:tab/>
      </w:r>
      <w:r w:rsidR="00C3386C" w:rsidRPr="00D13384">
        <w:t>Proposal</w:t>
      </w: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5"/>
        <w:gridCol w:w="2977"/>
        <w:gridCol w:w="436"/>
        <w:gridCol w:w="497"/>
        <w:gridCol w:w="286"/>
        <w:gridCol w:w="287"/>
        <w:gridCol w:w="429"/>
        <w:gridCol w:w="390"/>
        <w:gridCol w:w="390"/>
        <w:gridCol w:w="530"/>
        <w:gridCol w:w="424"/>
        <w:gridCol w:w="584"/>
        <w:gridCol w:w="407"/>
        <w:gridCol w:w="407"/>
        <w:gridCol w:w="407"/>
        <w:gridCol w:w="407"/>
        <w:gridCol w:w="407"/>
      </w:tblGrid>
      <w:tr w:rsidR="007A6891" w:rsidTr="009A6A82">
        <w:trPr>
          <w:cantSplit/>
          <w:tblHead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bCs/>
                <w:sz w:val="18"/>
                <w:szCs w:val="18"/>
              </w:rPr>
            </w:pPr>
            <w:r>
              <w:rPr>
                <w:bCs/>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bCs/>
                <w:sz w:val="18"/>
                <w:szCs w:val="18"/>
              </w:rPr>
            </w:pPr>
            <w:r>
              <w:rPr>
                <w:bCs/>
                <w:sz w:val="18"/>
                <w:szCs w:val="18"/>
              </w:rPr>
              <w:t>(2)</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bCs/>
                <w:sz w:val="18"/>
                <w:szCs w:val="18"/>
              </w:rPr>
            </w:pPr>
            <w:r>
              <w:rPr>
                <w:bCs/>
                <w:sz w:val="18"/>
                <w:szCs w:val="18"/>
              </w:rPr>
              <w:t>(3a)</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bCs/>
                <w:sz w:val="18"/>
                <w:szCs w:val="18"/>
              </w:rPr>
            </w:pPr>
            <w:r>
              <w:rPr>
                <w:bCs/>
                <w:sz w:val="18"/>
                <w:szCs w:val="18"/>
              </w:rPr>
              <w:t>(3b)</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bCs/>
                <w:sz w:val="18"/>
                <w:szCs w:val="18"/>
              </w:rPr>
            </w:pPr>
            <w:r>
              <w:rPr>
                <w:bCs/>
                <w:sz w:val="18"/>
                <w:szCs w:val="18"/>
              </w:rPr>
              <w:t>(4)</w:t>
            </w:r>
          </w:p>
        </w:tc>
        <w:tc>
          <w:tcPr>
            <w:tcW w:w="28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sz w:val="18"/>
                <w:szCs w:val="18"/>
              </w:rPr>
            </w:pPr>
            <w:r>
              <w:rPr>
                <w:bCs/>
                <w:sz w:val="18"/>
                <w:szCs w:val="18"/>
              </w:rPr>
              <w:t>(5)</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bCs/>
                <w:sz w:val="18"/>
                <w:szCs w:val="18"/>
              </w:rPr>
            </w:pPr>
            <w:r>
              <w:rPr>
                <w:bCs/>
                <w:sz w:val="18"/>
                <w:szCs w:val="18"/>
              </w:rPr>
              <w:t>(6)</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(7a)</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(7b)</w:t>
            </w:r>
          </w:p>
        </w:tc>
        <w:tc>
          <w:tcPr>
            <w:tcW w:w="53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(8)</w:t>
            </w:r>
          </w:p>
        </w:tc>
        <w:tc>
          <w:tcPr>
            <w:tcW w:w="42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w:t>
            </w:r>
          </w:p>
        </w:tc>
        <w:tc>
          <w:tcPr>
            <w:tcW w:w="58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(15)</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(16)</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(17)</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(18)</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(19)</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Cs/>
                <w:iCs/>
                <w:sz w:val="18"/>
                <w:szCs w:val="18"/>
              </w:rPr>
            </w:pPr>
            <w:r>
              <w:rPr>
                <w:bCs/>
                <w:iCs/>
                <w:sz w:val="18"/>
                <w:szCs w:val="18"/>
              </w:rPr>
              <w:t>(20)</w:t>
            </w:r>
          </w:p>
        </w:tc>
      </w:tr>
      <w:tr w:rsidR="007A6891" w:rsidTr="009A6A82">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rPr>
                <w:sz w:val="18"/>
                <w:szCs w:val="18"/>
              </w:rPr>
            </w:pPr>
            <w:r>
              <w:rPr>
                <w:sz w:val="18"/>
                <w:szCs w:val="18"/>
              </w:rPr>
              <w:t>3166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6891" w:rsidRPr="007A6891" w:rsidRDefault="007A6891" w:rsidP="007A6891">
            <w:pPr>
              <w:spacing w:line="240" w:lineRule="auto"/>
              <w:rPr>
                <w:sz w:val="18"/>
                <w:szCs w:val="18"/>
              </w:rPr>
            </w:pPr>
            <w:r w:rsidRPr="007A6891">
              <w:rPr>
                <w:sz w:val="16"/>
                <w:szCs w:val="16"/>
              </w:rPr>
              <w:t>ENGINE, INTERNAL COMBUSTION, FLAMMABLE LIQUID POWERED or ENGINE, FUEL CELL, FLAMMABLE LIQUID POWERED or MACHINERY, INTERNAL COMBUSTION, FLAMMABLE LIQUID POWERED or MACHINERY, FUEL CELL, FLAMMABLE LIQUID POWERED</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jc w:val="center"/>
              <w:rPr>
                <w:sz w:val="18"/>
                <w:szCs w:val="18"/>
              </w:rPr>
            </w:pPr>
            <w:r>
              <w:rPr>
                <w:sz w:val="18"/>
                <w:szCs w:val="18"/>
              </w:rPr>
              <w:t>M11</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jc w:val="center"/>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7A6891" w:rsidRDefault="007A6891" w:rsidP="009A6A82">
            <w:pPr>
              <w:spacing w:line="240" w:lineRule="auto"/>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rPr>
            </w:pPr>
            <w:r>
              <w:rPr>
                <w:sz w:val="18"/>
                <w:szCs w:val="18"/>
              </w:rPr>
              <w:t>312</w:t>
            </w:r>
            <w:r>
              <w:rPr>
                <w:sz w:val="18"/>
                <w:szCs w:val="18"/>
              </w:rPr>
              <w:br/>
              <w:t>385</w:t>
            </w:r>
            <w:r>
              <w:rPr>
                <w:sz w:val="18"/>
                <w:szCs w:val="18"/>
              </w:rPr>
              <w:br/>
              <w:t>666</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53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2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B/D</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r>
      <w:tr w:rsidR="007A6891" w:rsidTr="009A6A82">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rPr>
                <w:sz w:val="18"/>
                <w:szCs w:val="18"/>
              </w:rPr>
            </w:pPr>
            <w:r>
              <w:rPr>
                <w:sz w:val="18"/>
                <w:szCs w:val="18"/>
              </w:rPr>
              <w:t>3171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6891" w:rsidRPr="007A6891" w:rsidRDefault="007A6891" w:rsidP="007A6891">
            <w:pPr>
              <w:spacing w:line="240" w:lineRule="auto"/>
              <w:rPr>
                <w:sz w:val="18"/>
                <w:szCs w:val="18"/>
              </w:rPr>
            </w:pPr>
            <w:r w:rsidRPr="007A6891">
              <w:rPr>
                <w:sz w:val="16"/>
                <w:szCs w:val="16"/>
              </w:rPr>
              <w:t>BATTERY-POWERED VEHICLE OR BATTERY-POWERED EQUIPMENT</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jc w:val="center"/>
              <w:rPr>
                <w:sz w:val="18"/>
                <w:szCs w:val="18"/>
              </w:rPr>
            </w:pPr>
            <w:r>
              <w:rPr>
                <w:sz w:val="18"/>
                <w:szCs w:val="18"/>
              </w:rPr>
              <w:t>M11</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pacing w:line="240" w:lineRule="auto"/>
              <w:jc w:val="center"/>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7A6891" w:rsidRDefault="007A6891" w:rsidP="009A6A82">
            <w:pPr>
              <w:spacing w:line="240" w:lineRule="auto"/>
              <w:jc w:val="center"/>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rPr>
            </w:pPr>
            <w:r>
              <w:rPr>
                <w:sz w:val="18"/>
                <w:szCs w:val="18"/>
              </w:rPr>
              <w:t>240</w:t>
            </w:r>
            <w:r>
              <w:rPr>
                <w:sz w:val="18"/>
                <w:szCs w:val="18"/>
              </w:rPr>
              <w:br/>
              <w:t>666</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53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2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E</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r>
      <w:tr w:rsidR="007A6891" w:rsidTr="009A6A82">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rPr>
                <w:sz w:val="18"/>
                <w:szCs w:val="18"/>
              </w:rPr>
            </w:pPr>
            <w:r>
              <w:rPr>
                <w:sz w:val="18"/>
                <w:szCs w:val="18"/>
              </w:rPr>
              <w:t>3528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6891" w:rsidRPr="007A6891" w:rsidRDefault="007A6891" w:rsidP="007A6891">
            <w:pPr>
              <w:pStyle w:val="SingleTxtG"/>
              <w:spacing w:after="0" w:line="240" w:lineRule="auto"/>
              <w:ind w:left="0" w:right="0"/>
              <w:jc w:val="left"/>
              <w:rPr>
                <w:sz w:val="18"/>
                <w:szCs w:val="18"/>
              </w:rPr>
            </w:pPr>
            <w:r w:rsidRPr="007A6891">
              <w:rPr>
                <w:sz w:val="18"/>
                <w:szCs w:val="18"/>
              </w:rPr>
              <w:t>ENGINE, INTERNAL COMBUSTION, FLAMMABLE LIQUID POWERED or ENGINE, FUEL CELL, FLAMMABLE LIQUID POWERED or MACHINERY, INTERNAL COMBUSTION, FLAMMABLE LIQUID POWERED or MACHINERY, FUEL CELL, FLAMMABLE LIQUID POWERED</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rPr>
            </w:pPr>
            <w:r>
              <w:rPr>
                <w:sz w:val="18"/>
                <w:szCs w:val="18"/>
              </w:rPr>
              <w:t>3</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3</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D/E</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r>
      <w:tr w:rsidR="007A6891" w:rsidTr="009A6A82">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rPr>
                <w:sz w:val="18"/>
                <w:szCs w:val="18"/>
              </w:rPr>
            </w:pPr>
            <w:r>
              <w:rPr>
                <w:sz w:val="18"/>
                <w:szCs w:val="18"/>
              </w:rPr>
              <w:t>3529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6891" w:rsidRPr="007A6891" w:rsidRDefault="007A6891" w:rsidP="007A6891">
            <w:pPr>
              <w:suppressAutoHyphens w:val="0"/>
              <w:spacing w:line="240" w:lineRule="auto"/>
              <w:rPr>
                <w:sz w:val="18"/>
                <w:szCs w:val="18"/>
              </w:rPr>
            </w:pPr>
            <w:r w:rsidRPr="007A6891">
              <w:rPr>
                <w:sz w:val="18"/>
                <w:szCs w:val="18"/>
              </w:rPr>
              <w:t>ENGINE, INTERNAL COMBUSTION, FLAMMABLE GAS POWERED or ENGINE, FUEL CELL, FLAMMABLE GAS POWERED or MACHINERY, INTERNAL COMBUSTION, FLAMMABLE GAS POWERED or MACHINERY, FUEL CELL, FLAMMABLE GAS POWERED</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rPr>
            </w:pPr>
            <w:r>
              <w:rPr>
                <w:sz w:val="18"/>
                <w:szCs w:val="18"/>
              </w:rPr>
              <w:t>2</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2.1</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r>
              <w:rPr>
                <w:b/>
                <w:sz w:val="18"/>
                <w:szCs w:val="18"/>
                <w:u w:val="single"/>
                <w:lang w:eastAsia="nb-NO"/>
              </w:rPr>
              <w:t>2</w:t>
            </w:r>
            <w:r>
              <w:rPr>
                <w:b/>
                <w:sz w:val="18"/>
                <w:szCs w:val="18"/>
                <w:u w:val="single"/>
                <w:lang w:eastAsia="nb-NO"/>
              </w:rPr>
              <w:br/>
              <w:t>B/D</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r>
      <w:tr w:rsidR="007A6891" w:rsidTr="009A6A82">
        <w:trPr>
          <w:cantSplit/>
        </w:trPr>
        <w:tc>
          <w:tcPr>
            <w:tcW w:w="425"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rPr>
                <w:sz w:val="18"/>
                <w:szCs w:val="18"/>
              </w:rPr>
            </w:pPr>
            <w:r>
              <w:rPr>
                <w:sz w:val="18"/>
                <w:szCs w:val="18"/>
              </w:rPr>
              <w:t>3530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6891" w:rsidRPr="007A6891" w:rsidRDefault="007A6891" w:rsidP="007A6891">
            <w:pPr>
              <w:suppressAutoHyphens w:val="0"/>
              <w:spacing w:line="240" w:lineRule="auto"/>
              <w:rPr>
                <w:sz w:val="18"/>
                <w:szCs w:val="18"/>
              </w:rPr>
            </w:pPr>
            <w:r w:rsidRPr="007A6891">
              <w:rPr>
                <w:sz w:val="18"/>
                <w:szCs w:val="18"/>
              </w:rPr>
              <w:t>ENGINE, INTERNAL COMBUSTION or MACHINERY, INTERNAL COMBUSTION</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rPr>
            </w:pPr>
            <w:r>
              <w:rPr>
                <w:sz w:val="18"/>
                <w:szCs w:val="18"/>
              </w:rPr>
              <w:t>9</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p>
        </w:tc>
        <w:tc>
          <w:tcPr>
            <w:tcW w:w="28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9</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7A6891" w:rsidRDefault="007A6891" w:rsidP="009A6A82">
            <w:pPr>
              <w:suppressAutoHyphens w:val="0"/>
              <w:spacing w:line="240" w:lineRule="auto"/>
              <w:jc w:val="center"/>
              <w:rPr>
                <w:sz w:val="18"/>
                <w:szCs w:val="18"/>
                <w:lang w:eastAsia="nb-NO"/>
              </w:rPr>
            </w:pPr>
            <w:r>
              <w:rPr>
                <w:sz w:val="18"/>
                <w:szCs w:val="18"/>
              </w:rPr>
              <w:t>363</w:t>
            </w:r>
            <w:r>
              <w:rPr>
                <w:sz w:val="18"/>
                <w:szCs w:val="18"/>
              </w:rPr>
              <w:br/>
              <w:t>667</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0</w:t>
            </w:r>
          </w:p>
        </w:tc>
        <w:tc>
          <w:tcPr>
            <w:tcW w:w="39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E0</w:t>
            </w:r>
          </w:p>
        </w:tc>
        <w:tc>
          <w:tcPr>
            <w:tcW w:w="530"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rPr>
            </w:pPr>
            <w:r>
              <w:rPr>
                <w:sz w:val="18"/>
                <w:szCs w:val="18"/>
              </w:rPr>
              <w:t>P005</w:t>
            </w:r>
          </w:p>
        </w:tc>
        <w:tc>
          <w:tcPr>
            <w:tcW w:w="42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584"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b/>
                <w:sz w:val="18"/>
                <w:szCs w:val="18"/>
                <w:u w:val="single"/>
                <w:lang w:eastAsia="nb-NO"/>
              </w:rPr>
            </w:pPr>
            <w:r>
              <w:rPr>
                <w:b/>
                <w:sz w:val="18"/>
                <w:szCs w:val="18"/>
                <w:u w:val="single"/>
                <w:lang w:eastAsia="nb-NO"/>
              </w:rPr>
              <w:t>3</w:t>
            </w:r>
            <w:r>
              <w:rPr>
                <w:b/>
                <w:sz w:val="18"/>
                <w:szCs w:val="18"/>
                <w:u w:val="single"/>
                <w:lang w:eastAsia="nb-NO"/>
              </w:rPr>
              <w:br/>
              <w:t>E</w:t>
            </w: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c>
          <w:tcPr>
            <w:tcW w:w="407" w:type="dxa"/>
            <w:tcBorders>
              <w:top w:val="single" w:sz="4" w:space="0" w:color="auto"/>
              <w:left w:val="single" w:sz="4" w:space="0" w:color="auto"/>
              <w:bottom w:val="single" w:sz="4" w:space="0" w:color="auto"/>
              <w:right w:val="single" w:sz="4" w:space="0" w:color="auto"/>
            </w:tcBorders>
          </w:tcPr>
          <w:p w:rsidR="007A6891" w:rsidRDefault="007A6891" w:rsidP="009A6A82">
            <w:pPr>
              <w:suppressAutoHyphens w:val="0"/>
              <w:spacing w:line="240" w:lineRule="auto"/>
              <w:jc w:val="center"/>
              <w:rPr>
                <w:sz w:val="18"/>
                <w:szCs w:val="18"/>
                <w:lang w:eastAsia="nb-NO"/>
              </w:rPr>
            </w:pPr>
          </w:p>
        </w:tc>
      </w:tr>
    </w:tbl>
    <w:p w:rsidR="004A7420" w:rsidRPr="000C376B" w:rsidRDefault="004A7420" w:rsidP="004A7420">
      <w:pPr>
        <w:pStyle w:val="SingleTxtG"/>
        <w:spacing w:before="240" w:after="0"/>
        <w:jc w:val="center"/>
        <w:rPr>
          <w:u w:val="single"/>
        </w:rPr>
      </w:pPr>
      <w:r>
        <w:rPr>
          <w:u w:val="single"/>
        </w:rPr>
        <w:tab/>
      </w:r>
      <w:r>
        <w:rPr>
          <w:u w:val="single"/>
        </w:rPr>
        <w:tab/>
      </w:r>
      <w:r>
        <w:rPr>
          <w:u w:val="single"/>
        </w:rPr>
        <w:tab/>
      </w:r>
    </w:p>
    <w:sectPr w:rsidR="004A7420" w:rsidRPr="000C376B" w:rsidSect="000402B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15" w:rsidRPr="00FB1744" w:rsidRDefault="00135F15" w:rsidP="00FB1744">
      <w:pPr>
        <w:pStyle w:val="Footer"/>
      </w:pPr>
    </w:p>
  </w:endnote>
  <w:endnote w:type="continuationSeparator" w:id="0">
    <w:p w:rsidR="00135F15" w:rsidRPr="00FB1744" w:rsidRDefault="00135F1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B3" w:rsidRPr="000402B3" w:rsidRDefault="000402B3" w:rsidP="000402B3">
    <w:pPr>
      <w:pStyle w:val="Footer"/>
      <w:tabs>
        <w:tab w:val="right" w:pos="9598"/>
      </w:tabs>
    </w:pPr>
    <w:r w:rsidRPr="000402B3">
      <w:rPr>
        <w:b/>
        <w:sz w:val="18"/>
      </w:rPr>
      <w:fldChar w:fldCharType="begin"/>
    </w:r>
    <w:r w:rsidRPr="000402B3">
      <w:rPr>
        <w:b/>
        <w:sz w:val="18"/>
      </w:rPr>
      <w:instrText xml:space="preserve"> PAGE  \* MERGEFORMAT </w:instrText>
    </w:r>
    <w:r w:rsidRPr="000402B3">
      <w:rPr>
        <w:b/>
        <w:sz w:val="18"/>
      </w:rPr>
      <w:fldChar w:fldCharType="separate"/>
    </w:r>
    <w:r w:rsidR="005E6FBC">
      <w:rPr>
        <w:b/>
        <w:noProof/>
        <w:sz w:val="18"/>
      </w:rPr>
      <w:t>2</w:t>
    </w:r>
    <w:r w:rsidRPr="000402B3">
      <w:rPr>
        <w:b/>
        <w:sz w:val="18"/>
      </w:rPr>
      <w:fldChar w:fldCharType="end"/>
    </w:r>
    <w:r w:rsidR="006949E1">
      <w:rPr>
        <w:sz w:val="18"/>
      </w:rPr>
      <w:tab/>
      <w:t>GE.</w:t>
    </w:r>
    <w:r>
      <w:t>16</w:t>
    </w:r>
    <w:r w:rsidR="006949E1">
      <w:t>-</w:t>
    </w:r>
    <w:r>
      <w:t>01645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B3" w:rsidRPr="000402B3" w:rsidRDefault="000402B3" w:rsidP="000402B3">
    <w:pPr>
      <w:pStyle w:val="Footer"/>
      <w:tabs>
        <w:tab w:val="right" w:pos="9598"/>
      </w:tabs>
      <w:rPr>
        <w:b/>
        <w:sz w:val="18"/>
      </w:rPr>
    </w:pPr>
    <w:r>
      <w:t>GE.16-01645</w:t>
    </w:r>
    <w:r>
      <w:tab/>
    </w:r>
    <w:r w:rsidRPr="000402B3">
      <w:rPr>
        <w:b/>
        <w:sz w:val="18"/>
      </w:rPr>
      <w:fldChar w:fldCharType="begin"/>
    </w:r>
    <w:r w:rsidRPr="000402B3">
      <w:rPr>
        <w:b/>
        <w:sz w:val="18"/>
      </w:rPr>
      <w:instrText xml:space="preserve"> PAGE  \* MERGEFORMAT </w:instrText>
    </w:r>
    <w:r w:rsidRPr="000402B3">
      <w:rPr>
        <w:b/>
        <w:sz w:val="18"/>
      </w:rPr>
      <w:fldChar w:fldCharType="separate"/>
    </w:r>
    <w:r w:rsidR="005E6FBC">
      <w:rPr>
        <w:b/>
        <w:noProof/>
        <w:sz w:val="18"/>
      </w:rPr>
      <w:t>3</w:t>
    </w:r>
    <w:r w:rsidRPr="000402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B3" w:rsidRDefault="00717266" w:rsidP="0063387F">
    <w:r>
      <w:rPr>
        <w:noProof/>
        <w:lang w:eastAsia="en-GB"/>
      </w:rPr>
      <w:drawing>
        <wp:anchor distT="0" distB="0" distL="114300" distR="114300" simplePos="0" relativeHeight="251659264" behindDoc="0" locked="1" layoutInCell="1" allowOverlap="1" wp14:anchorId="29DADE19" wp14:editId="4C872EA9">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2B3">
      <w:t>GE.16-</w:t>
    </w:r>
    <w:proofErr w:type="gramStart"/>
    <w:r w:rsidR="000402B3">
      <w:t>01645  (</w:t>
    </w:r>
    <w:proofErr w:type="gramEnd"/>
    <w:r w:rsidR="000402B3">
      <w:t>E)</w:t>
    </w:r>
  </w:p>
  <w:p w:rsidR="000402B3" w:rsidRPr="000402B3" w:rsidRDefault="000402B3" w:rsidP="000402B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915F177" wp14:editId="59DD6DE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2016/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15" w:rsidRPr="00FB1744" w:rsidRDefault="00135F15" w:rsidP="00FB1744">
      <w:pPr>
        <w:tabs>
          <w:tab w:val="right" w:pos="2155"/>
        </w:tabs>
        <w:spacing w:after="80" w:line="240" w:lineRule="auto"/>
        <w:ind w:left="680"/>
      </w:pPr>
      <w:r>
        <w:rPr>
          <w:u w:val="single"/>
        </w:rPr>
        <w:tab/>
      </w:r>
    </w:p>
  </w:footnote>
  <w:footnote w:type="continuationSeparator" w:id="0">
    <w:p w:rsidR="00135F15" w:rsidRPr="00FB1744" w:rsidRDefault="00135F15" w:rsidP="00FB1744">
      <w:pPr>
        <w:tabs>
          <w:tab w:val="right" w:pos="2155"/>
        </w:tabs>
        <w:spacing w:after="80" w:line="240" w:lineRule="auto"/>
        <w:ind w:left="680"/>
      </w:pPr>
      <w:r>
        <w:rPr>
          <w:u w:val="single"/>
        </w:rPr>
        <w:tab/>
      </w:r>
    </w:p>
  </w:footnote>
  <w:footnote w:id="1">
    <w:p w:rsidR="002E4AFF" w:rsidRPr="002E4AFF" w:rsidRDefault="002E4AFF" w:rsidP="002E4AFF">
      <w:pPr>
        <w:pStyle w:val="SingleTxtG"/>
        <w:ind w:left="1701" w:hanging="567"/>
        <w:rPr>
          <w:lang w:val="en-US"/>
        </w:rPr>
      </w:pPr>
      <w:r>
        <w:rPr>
          <w:rStyle w:val="FootnoteReference"/>
        </w:rPr>
        <w:footnoteRef/>
      </w:r>
      <w:r>
        <w:tab/>
      </w:r>
      <w:proofErr w:type="gramStart"/>
      <w:r w:rsidRPr="002E4AFF">
        <w:rPr>
          <w:sz w:val="17"/>
          <w:szCs w:val="17"/>
        </w:rPr>
        <w:t>In accordance with the draft programme of work of the Inlan</w:t>
      </w:r>
      <w:r w:rsidR="0063387F">
        <w:rPr>
          <w:sz w:val="17"/>
          <w:szCs w:val="17"/>
        </w:rPr>
        <w:t>d Transport Committee for 2016-</w:t>
      </w:r>
      <w:r w:rsidRPr="002E4AFF">
        <w:rPr>
          <w:sz w:val="17"/>
          <w:szCs w:val="17"/>
        </w:rPr>
        <w:t>2017 (ECE/TRANS/WP.15/2015/19 (9.2)).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B3" w:rsidRPr="000402B3" w:rsidRDefault="000402B3" w:rsidP="000402B3">
    <w:pPr>
      <w:pStyle w:val="Header"/>
    </w:pPr>
    <w:r w:rsidRPr="000402B3">
      <w:t>ECE/TRANS/WP.15/2016/4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B3" w:rsidRPr="000402B3" w:rsidRDefault="000402B3" w:rsidP="000402B3">
    <w:pPr>
      <w:pStyle w:val="Header"/>
      <w:jc w:val="right"/>
    </w:pPr>
    <w:r w:rsidRPr="000402B3">
      <w:t>ECE/TRANS/WP.15/2016/4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5F15"/>
    <w:rsid w:val="000402B3"/>
    <w:rsid w:val="00046E92"/>
    <w:rsid w:val="000C440C"/>
    <w:rsid w:val="001170DC"/>
    <w:rsid w:val="00135F15"/>
    <w:rsid w:val="001B3828"/>
    <w:rsid w:val="00247E2C"/>
    <w:rsid w:val="002D6C53"/>
    <w:rsid w:val="002E4AFF"/>
    <w:rsid w:val="002E7210"/>
    <w:rsid w:val="002F5595"/>
    <w:rsid w:val="0030412A"/>
    <w:rsid w:val="00334F6A"/>
    <w:rsid w:val="00342AC8"/>
    <w:rsid w:val="003B4550"/>
    <w:rsid w:val="003D1D2F"/>
    <w:rsid w:val="003F486D"/>
    <w:rsid w:val="0040274E"/>
    <w:rsid w:val="00425DA1"/>
    <w:rsid w:val="00461253"/>
    <w:rsid w:val="004A7420"/>
    <w:rsid w:val="005042C2"/>
    <w:rsid w:val="00524E1A"/>
    <w:rsid w:val="005E6FBC"/>
    <w:rsid w:val="00621B1E"/>
    <w:rsid w:val="0063387F"/>
    <w:rsid w:val="00671529"/>
    <w:rsid w:val="006949E1"/>
    <w:rsid w:val="00717266"/>
    <w:rsid w:val="007268F9"/>
    <w:rsid w:val="007A6891"/>
    <w:rsid w:val="007C52B0"/>
    <w:rsid w:val="00821861"/>
    <w:rsid w:val="008224B8"/>
    <w:rsid w:val="00872F92"/>
    <w:rsid w:val="00933D8C"/>
    <w:rsid w:val="009411B4"/>
    <w:rsid w:val="009D0139"/>
    <w:rsid w:val="009F5CDC"/>
    <w:rsid w:val="00A775CF"/>
    <w:rsid w:val="00AB3C7E"/>
    <w:rsid w:val="00AB40DA"/>
    <w:rsid w:val="00B06045"/>
    <w:rsid w:val="00BC6BCE"/>
    <w:rsid w:val="00C3386C"/>
    <w:rsid w:val="00C35A27"/>
    <w:rsid w:val="00C61BBC"/>
    <w:rsid w:val="00C7441A"/>
    <w:rsid w:val="00D25036"/>
    <w:rsid w:val="00E02C2B"/>
    <w:rsid w:val="00ED6C48"/>
    <w:rsid w:val="00F14FF1"/>
    <w:rsid w:val="00F62A07"/>
    <w:rsid w:val="00F65F5D"/>
    <w:rsid w:val="00F86A3A"/>
    <w:rsid w:val="00FB1744"/>
    <w:rsid w:val="00FE2E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link w:val="SingleTxtG"/>
    <w:rsid w:val="00C3386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link w:val="SingleTxtG"/>
    <w:rsid w:val="00C3386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2F11-7F29-4341-83C2-C3EA1470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1601645</vt:lpstr>
    </vt:vector>
  </TitlesOfParts>
  <Company>DCM</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1601645</dc:title>
  <dc:subject>ECE/TRANS/WP.15/2016/4</dc:subject>
  <dc:creator>Moses Okello</dc:creator>
  <cp:lastModifiedBy>barrio-champeau</cp:lastModifiedBy>
  <cp:revision>2</cp:revision>
  <cp:lastPrinted>2016-03-07T09:07:00Z</cp:lastPrinted>
  <dcterms:created xsi:type="dcterms:W3CDTF">2016-03-18T08:27:00Z</dcterms:created>
  <dcterms:modified xsi:type="dcterms:W3CDTF">2016-03-18T08:27:00Z</dcterms:modified>
</cp:coreProperties>
</file>