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BB7876">
            <w:pPr>
              <w:suppressAutoHyphens w:val="0"/>
              <w:spacing w:after="20"/>
              <w:jc w:val="right"/>
              <w:rPr>
                <w:b/>
                <w:sz w:val="28"/>
                <w:szCs w:val="28"/>
              </w:rPr>
            </w:pPr>
            <w:r w:rsidRPr="008268C5">
              <w:rPr>
                <w:b/>
                <w:sz w:val="28"/>
                <w:szCs w:val="28"/>
              </w:rPr>
              <w:t>INF.</w:t>
            </w:r>
            <w:r w:rsidR="00BB7876">
              <w:rPr>
                <w:b/>
                <w:sz w:val="28"/>
                <w:szCs w:val="28"/>
              </w:rPr>
              <w:t>6</w:t>
            </w:r>
            <w:r w:rsidR="00815E91" w:rsidRPr="008268C5">
              <w:rPr>
                <w:b/>
                <w:sz w:val="28"/>
                <w:szCs w:val="28"/>
              </w:rPr>
              <w:t xml:space="preserve"> </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B25EB2" w:rsidP="00AB32F7">
      <w:pPr>
        <w:spacing w:before="120"/>
        <w:rPr>
          <w:b/>
        </w:rPr>
      </w:pPr>
      <w:proofErr w:type="gramStart"/>
      <w:r w:rsidRPr="008268C5">
        <w:rPr>
          <w:b/>
        </w:rPr>
        <w:t>10</w:t>
      </w:r>
      <w:r w:rsidR="00192D6D">
        <w:rPr>
          <w:b/>
        </w:rPr>
        <w:t>1st</w:t>
      </w:r>
      <w:proofErr w:type="gramEnd"/>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3346B0">
        <w:rPr>
          <w:b/>
        </w:rPr>
        <w:t>10 October</w:t>
      </w:r>
      <w:r w:rsidR="006162FB">
        <w:rPr>
          <w:b/>
        </w:rPr>
        <w:t xml:space="preserve"> 2016</w:t>
      </w:r>
    </w:p>
    <w:p w:rsidR="00AB32F7" w:rsidRPr="008268C5" w:rsidRDefault="00AB32F7" w:rsidP="00AB32F7">
      <w:r w:rsidRPr="008268C5">
        <w:t xml:space="preserve">Geneva, </w:t>
      </w:r>
      <w:r w:rsidR="00192D6D">
        <w:t>8</w:t>
      </w:r>
      <w:r w:rsidRPr="008268C5">
        <w:t>–</w:t>
      </w:r>
      <w:r w:rsidR="00192D6D">
        <w:t>11</w:t>
      </w:r>
      <w:r w:rsidRPr="008268C5">
        <w:t xml:space="preserve"> </w:t>
      </w:r>
      <w:r w:rsidR="00192D6D">
        <w:t>November</w:t>
      </w:r>
      <w:r w:rsidRPr="008268C5">
        <w:t xml:space="preserve"> </w:t>
      </w:r>
      <w:r w:rsidR="00B25EB2" w:rsidRPr="008268C5">
        <w:t>2016</w:t>
      </w:r>
    </w:p>
    <w:p w:rsidR="00BB7876" w:rsidRDefault="003346B0" w:rsidP="00BB7876">
      <w:pPr>
        <w:rPr>
          <w:lang w:val="en-US"/>
        </w:rPr>
      </w:pPr>
      <w:r>
        <w:rPr>
          <w:lang w:val="en-US"/>
        </w:rPr>
        <w:t xml:space="preserve">Item </w:t>
      </w:r>
      <w:proofErr w:type="gramStart"/>
      <w:r>
        <w:rPr>
          <w:lang w:val="en-US"/>
        </w:rPr>
        <w:t>6</w:t>
      </w:r>
      <w:proofErr w:type="gramEnd"/>
      <w:r w:rsidR="00BB7876">
        <w:rPr>
          <w:lang w:val="en-US"/>
        </w:rPr>
        <w:t xml:space="preserve"> of the Provisional agenda</w:t>
      </w:r>
    </w:p>
    <w:p w:rsidR="0022321E" w:rsidRPr="00DF6282" w:rsidRDefault="003346B0" w:rsidP="00BB7876">
      <w:pPr>
        <w:rPr>
          <w:b/>
        </w:rPr>
      </w:pPr>
      <w:r>
        <w:rPr>
          <w:b/>
          <w:bCs/>
          <w:lang w:val="en-US"/>
        </w:rPr>
        <w:t>Interpretation</w:t>
      </w:r>
      <w:r w:rsidR="00011405">
        <w:rPr>
          <w:b/>
          <w:bCs/>
          <w:lang w:val="en-US"/>
        </w:rPr>
        <w:t xml:space="preserve"> of ADR</w:t>
      </w:r>
      <w:bookmarkStart w:id="0" w:name="_GoBack"/>
      <w:bookmarkEnd w:id="0"/>
    </w:p>
    <w:p w:rsidR="00BB7876" w:rsidRPr="000402B3" w:rsidRDefault="003D3380" w:rsidP="00BB7876">
      <w:pPr>
        <w:pStyle w:val="HChG"/>
      </w:pPr>
      <w:r w:rsidRPr="008268C5">
        <w:tab/>
      </w:r>
      <w:r w:rsidRPr="008268C5">
        <w:tab/>
      </w:r>
      <w:r w:rsidR="00BB7876">
        <w:t>Define the scope of the special provision 601 of chapter 3.3</w:t>
      </w:r>
    </w:p>
    <w:p w:rsidR="00BB7876" w:rsidRDefault="00BB7876" w:rsidP="00BB7876">
      <w:pPr>
        <w:pStyle w:val="H1G"/>
      </w:pPr>
      <w:r w:rsidRPr="000402B3">
        <w:tab/>
      </w:r>
      <w:r w:rsidRPr="000402B3">
        <w:tab/>
        <w:t>Transmitted by the Government of Switzerland</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BB7876" w:rsidTr="00857508">
        <w:trPr>
          <w:cantSplit/>
          <w:trHeight w:val="293"/>
          <w:jc w:val="center"/>
        </w:trPr>
        <w:tc>
          <w:tcPr>
            <w:tcW w:w="9637" w:type="dxa"/>
            <w:shd w:val="clear" w:color="auto" w:fill="auto"/>
          </w:tcPr>
          <w:p w:rsidR="00BB7876" w:rsidRPr="00A10A42" w:rsidRDefault="00BB7876" w:rsidP="00857508">
            <w:pPr>
              <w:spacing w:before="60" w:after="60"/>
              <w:ind w:left="255"/>
              <w:rPr>
                <w:i/>
                <w:sz w:val="24"/>
              </w:rPr>
            </w:pPr>
            <w:r w:rsidRPr="00A10A42">
              <w:rPr>
                <w:i/>
                <w:sz w:val="24"/>
              </w:rPr>
              <w:t>Summary</w:t>
            </w:r>
          </w:p>
        </w:tc>
      </w:tr>
      <w:tr w:rsidR="00BB7876" w:rsidTr="00857508">
        <w:trPr>
          <w:cantSplit/>
          <w:jc w:val="center"/>
        </w:trPr>
        <w:tc>
          <w:tcPr>
            <w:tcW w:w="9637" w:type="dxa"/>
            <w:shd w:val="clear" w:color="auto" w:fill="auto"/>
          </w:tcPr>
          <w:p w:rsidR="00BB7876" w:rsidRDefault="00BB7876" w:rsidP="00BB7876">
            <w:pPr>
              <w:pStyle w:val="SingleTxtG"/>
              <w:spacing w:after="60"/>
              <w:ind w:left="3401" w:hanging="2268"/>
            </w:pPr>
            <w:r w:rsidRPr="00D25036">
              <w:rPr>
                <w:b/>
              </w:rPr>
              <w:t>Executive summary:</w:t>
            </w:r>
            <w:r w:rsidRPr="00A10A42">
              <w:rPr>
                <w:b/>
              </w:rPr>
              <w:t xml:space="preserve"> </w:t>
            </w:r>
            <w:r w:rsidRPr="00A10A42">
              <w:rPr>
                <w:b/>
              </w:rPr>
              <w:tab/>
            </w:r>
            <w:r>
              <w:t>The scope of the SP601 should be better defined in order to avoid misunderstandings. Does this SP also apply to medicines intended for retail sale or distribution for personal or household even if these medicines are not yet carried in the final packaging? For example by consignments between the production plant to the packing site?</w:t>
            </w:r>
          </w:p>
        </w:tc>
      </w:tr>
      <w:tr w:rsidR="00BB7876" w:rsidTr="00857508">
        <w:trPr>
          <w:cantSplit/>
          <w:jc w:val="center"/>
        </w:trPr>
        <w:tc>
          <w:tcPr>
            <w:tcW w:w="9637" w:type="dxa"/>
            <w:shd w:val="clear" w:color="auto" w:fill="auto"/>
          </w:tcPr>
          <w:p w:rsidR="00BB7876" w:rsidRPr="00C3386C" w:rsidRDefault="00BB7876" w:rsidP="00BB7876">
            <w:pPr>
              <w:pStyle w:val="SingleTxtG"/>
              <w:spacing w:after="60"/>
              <w:ind w:left="3401" w:hanging="2268"/>
            </w:pPr>
            <w:r w:rsidRPr="00D25036">
              <w:rPr>
                <w:b/>
              </w:rPr>
              <w:t>Action to be taken:</w:t>
            </w:r>
            <w:r w:rsidRPr="00A10A42">
              <w:rPr>
                <w:b/>
              </w:rPr>
              <w:tab/>
            </w:r>
            <w:r w:rsidRPr="00C3386C">
              <w:rPr>
                <w:spacing w:val="-2"/>
              </w:rPr>
              <w:t>.</w:t>
            </w:r>
          </w:p>
        </w:tc>
      </w:tr>
      <w:tr w:rsidR="00BB7876" w:rsidTr="00857508">
        <w:trPr>
          <w:cantSplit/>
          <w:jc w:val="center"/>
        </w:trPr>
        <w:tc>
          <w:tcPr>
            <w:tcW w:w="9637" w:type="dxa"/>
            <w:shd w:val="clear" w:color="auto" w:fill="auto"/>
          </w:tcPr>
          <w:p w:rsidR="00BB7876" w:rsidRPr="00E61CAE" w:rsidRDefault="00BB7876" w:rsidP="00BB7876">
            <w:pPr>
              <w:pStyle w:val="SingleTxtG"/>
              <w:spacing w:after="60"/>
              <w:ind w:left="3401" w:hanging="2268"/>
            </w:pPr>
            <w:r w:rsidRPr="00D25036">
              <w:rPr>
                <w:b/>
              </w:rPr>
              <w:t>Background documents:</w:t>
            </w:r>
            <w:r w:rsidRPr="00A10A42">
              <w:rPr>
                <w:b/>
              </w:rPr>
              <w:t xml:space="preserve"> </w:t>
            </w:r>
            <w:r w:rsidRPr="00A10A42">
              <w:rPr>
                <w:b/>
              </w:rPr>
              <w:tab/>
            </w:r>
          </w:p>
        </w:tc>
      </w:tr>
      <w:tr w:rsidR="00BB7876" w:rsidTr="00857508">
        <w:trPr>
          <w:cantSplit/>
          <w:jc w:val="center"/>
        </w:trPr>
        <w:tc>
          <w:tcPr>
            <w:tcW w:w="9637" w:type="dxa"/>
            <w:shd w:val="clear" w:color="auto" w:fill="auto"/>
          </w:tcPr>
          <w:p w:rsidR="00BB7876" w:rsidRPr="00D25036" w:rsidRDefault="00BB7876" w:rsidP="00857508">
            <w:pPr>
              <w:pStyle w:val="SingleTxtG"/>
              <w:ind w:left="2834" w:hanging="2551"/>
              <w:rPr>
                <w:b/>
              </w:rPr>
            </w:pPr>
          </w:p>
        </w:tc>
      </w:tr>
    </w:tbl>
    <w:p w:rsidR="00BB7876" w:rsidRPr="00D13384" w:rsidRDefault="00BB7876" w:rsidP="00BB7876">
      <w:pPr>
        <w:pStyle w:val="HChG"/>
      </w:pPr>
      <w:r w:rsidRPr="00D13384">
        <w:tab/>
      </w:r>
      <w:r w:rsidRPr="00D13384">
        <w:tab/>
        <w:t>Introduction</w:t>
      </w:r>
    </w:p>
    <w:p w:rsidR="00BB7876" w:rsidRDefault="00BB7876" w:rsidP="00BB7876">
      <w:pPr>
        <w:pStyle w:val="SingleTxtG"/>
      </w:pPr>
      <w:r w:rsidRPr="00D13384">
        <w:t>1.</w:t>
      </w:r>
      <w:r w:rsidRPr="00D13384">
        <w:tab/>
      </w:r>
      <w:r>
        <w:t>Recently we have been confronted with the question of interpretation of the scope of tie special provision 601.</w:t>
      </w:r>
    </w:p>
    <w:p w:rsidR="00BB7876" w:rsidRDefault="00BB7876" w:rsidP="00BB7876">
      <w:pPr>
        <w:pStyle w:val="SingleTxtG"/>
      </w:pPr>
      <w:r>
        <w:t>2.</w:t>
      </w:r>
      <w:r>
        <w:tab/>
        <w:t>The 1999 edition of RID/ADR contained a NOTE both in Class 3, marginal (2)301 under items 19° and 32° and in Class 6.1, marginal (2)601 under item 90°.  This NOTE read as follows:</w:t>
      </w:r>
    </w:p>
    <w:p w:rsidR="00BB7876" w:rsidRPr="00A06DE4" w:rsidRDefault="00BB7876" w:rsidP="00BB7876">
      <w:pPr>
        <w:pStyle w:val="SingleTxtG"/>
      </w:pPr>
      <w:r>
        <w:tab/>
      </w:r>
      <w:r>
        <w:rPr>
          <w:lang w:val="fr-CH"/>
        </w:rPr>
        <w:t>«</w:t>
      </w:r>
      <w:r w:rsidRPr="00A06DE4">
        <w:t xml:space="preserve">Pharmaceutical products ready for use, e.g. cosmetics, drugs and medicines, which are substances manufactured and packed in </w:t>
      </w:r>
      <w:proofErr w:type="spellStart"/>
      <w:r w:rsidRPr="00A06DE4">
        <w:t>packagings</w:t>
      </w:r>
      <w:proofErr w:type="spellEnd"/>
      <w:r w:rsidRPr="00A06DE4">
        <w:t xml:space="preserve"> of a type intended for retail sale or distribution for personal or household consumption, which would otherwise be substances of item xx°, are not subject to the provisions of RID/ADR.”</w:t>
      </w:r>
    </w:p>
    <w:p w:rsidR="00BB7876" w:rsidRDefault="00BB7876" w:rsidP="00BB7876">
      <w:pPr>
        <w:pStyle w:val="SingleTxtG"/>
      </w:pPr>
      <w:r>
        <w:t>This wording remain intact until the 2007 edition of ADR.</w:t>
      </w:r>
    </w:p>
    <w:p w:rsidR="00BB7876" w:rsidRDefault="00BB7876" w:rsidP="00BB7876">
      <w:pPr>
        <w:pStyle w:val="SingleTxtG"/>
      </w:pPr>
      <w:r>
        <w:t>3.</w:t>
      </w:r>
      <w:r>
        <w:tab/>
        <w:t xml:space="preserve">Following a German proposal in document TRANS/WP.15/AC.1/2004/4 and </w:t>
      </w:r>
      <w:proofErr w:type="spellStart"/>
      <w:r>
        <w:rPr>
          <w:lang w:val="fr-CH"/>
        </w:rPr>
        <w:t>informal</w:t>
      </w:r>
      <w:proofErr w:type="spellEnd"/>
      <w:r>
        <w:rPr>
          <w:lang w:val="fr-CH"/>
        </w:rPr>
        <w:t xml:space="preserve"> document </w:t>
      </w:r>
      <w:r>
        <w:t>INF.30 of the RID-ADR session from September 2004 the texts were proposed to be adapted as follows:</w:t>
      </w:r>
    </w:p>
    <w:p w:rsidR="00BB7876" w:rsidRPr="00BB7876" w:rsidRDefault="00BB7876" w:rsidP="00BB7876">
      <w:pPr>
        <w:pStyle w:val="SingleTxtG"/>
        <w:ind w:left="1701" w:hanging="567"/>
        <w:rPr>
          <w:lang w:val="fr-CH"/>
        </w:rPr>
      </w:pPr>
      <w:r>
        <w:t>601</w:t>
      </w:r>
      <w:r>
        <w:tab/>
        <w:t xml:space="preserve">Pharmaceutical products (medicines) ready for use, which are substances manufactured and packed in </w:t>
      </w:r>
      <w:proofErr w:type="spellStart"/>
      <w:r>
        <w:t>packagings</w:t>
      </w:r>
      <w:proofErr w:type="spellEnd"/>
      <w:r>
        <w:t xml:space="preserve"> of a type intended for retail sale or distribution for personal or household consumption are not subject to the requirements of RID/ADR/ADN.</w:t>
      </w:r>
      <w:r>
        <w:rPr>
          <w:lang w:val="fr-CH"/>
        </w:rPr>
        <w:t>»</w:t>
      </w:r>
    </w:p>
    <w:p w:rsidR="00BB7876" w:rsidRDefault="00BB7876" w:rsidP="00BB7876">
      <w:pPr>
        <w:pStyle w:val="SingleTxtG"/>
        <w:rPr>
          <w:lang w:val="en-US"/>
        </w:rPr>
      </w:pPr>
      <w:r w:rsidRPr="00A06DE4">
        <w:rPr>
          <w:lang w:val="en-US"/>
        </w:rPr>
        <w:lastRenderedPageBreak/>
        <w:t xml:space="preserve">In the final report of this </w:t>
      </w:r>
      <w:proofErr w:type="gramStart"/>
      <w:r w:rsidRPr="00A06DE4">
        <w:rPr>
          <w:lang w:val="en-US"/>
        </w:rPr>
        <w:t>session</w:t>
      </w:r>
      <w:proofErr w:type="gramEnd"/>
      <w:r w:rsidRPr="00A06DE4">
        <w:rPr>
          <w:lang w:val="en-US"/>
        </w:rPr>
        <w:t xml:space="preserve"> however the text adopted was slightly different</w:t>
      </w:r>
      <w:r>
        <w:rPr>
          <w:lang w:val="en-US"/>
        </w:rPr>
        <w:t xml:space="preserve"> and reproduces the actual wording of the SP601 in ADR</w:t>
      </w:r>
      <w:r w:rsidRPr="0095399C">
        <w:t xml:space="preserve"> </w:t>
      </w:r>
      <w:r>
        <w:t>but no explanation of this change appears in the report of this session</w:t>
      </w:r>
      <w:r>
        <w:rPr>
          <w:lang w:val="en-US"/>
        </w:rPr>
        <w:t>:</w:t>
      </w:r>
    </w:p>
    <w:p w:rsidR="00BB7876" w:rsidRDefault="00BB7876" w:rsidP="00BB7876">
      <w:pPr>
        <w:pStyle w:val="SingleTxtG"/>
        <w:ind w:left="1701" w:hanging="567"/>
      </w:pPr>
      <w:r>
        <w:t>601</w:t>
      </w:r>
      <w:r>
        <w:tab/>
        <w:t>Pharmaceutical products (medicines) ready for use, which are substances manufactured and packaged for retail sale or distribution for personal or household consumption are not subject to the requirements of RID/ADR/ADN.”</w:t>
      </w:r>
    </w:p>
    <w:p w:rsidR="00BB7876" w:rsidRDefault="00BB7876" w:rsidP="00BB7876">
      <w:pPr>
        <w:pStyle w:val="SingleTxtG"/>
      </w:pPr>
      <w:r>
        <w:t>4.</w:t>
      </w:r>
      <w:r>
        <w:tab/>
        <w:t xml:space="preserve">From the original wording we observe that the words </w:t>
      </w:r>
      <w:r w:rsidRPr="0095399C">
        <w:rPr>
          <w:u w:val="single"/>
        </w:rPr>
        <w:t>“in packaging of a type</w:t>
      </w:r>
      <w:r>
        <w:t>” have been deleted in the final version.</w:t>
      </w:r>
    </w:p>
    <w:p w:rsidR="00BB7876" w:rsidRDefault="00BB7876" w:rsidP="00BB7876">
      <w:pPr>
        <w:pStyle w:val="SingleTxtG"/>
      </w:pPr>
      <w:r>
        <w:t xml:space="preserve">Some people interpret this deletion as meaning that the exemption of SP601 does not only apply to Pharmaceutical products (medicines) packed in </w:t>
      </w:r>
      <w:proofErr w:type="spellStart"/>
      <w:r>
        <w:t>packagings</w:t>
      </w:r>
      <w:proofErr w:type="spellEnd"/>
      <w:r>
        <w:t xml:space="preserve"> intended for retail sale or distribution but also to pharmaceutical products (medicines) not packed in </w:t>
      </w:r>
      <w:proofErr w:type="spellStart"/>
      <w:r>
        <w:t>packagings</w:t>
      </w:r>
      <w:proofErr w:type="spellEnd"/>
      <w:r>
        <w:t xml:space="preserve"> but which are still “intended for sale or distribution”.</w:t>
      </w:r>
    </w:p>
    <w:p w:rsidR="00BB7876" w:rsidRDefault="00BB7876" w:rsidP="00BB7876">
      <w:pPr>
        <w:pStyle w:val="SingleTxtG"/>
      </w:pPr>
      <w:r>
        <w:t>6.</w:t>
      </w:r>
      <w:r>
        <w:tab/>
        <w:t xml:space="preserve">However in contradiction to this interpretation a multilateral agreement M287 seems to presuppose that at least in case of wastes, the SP601 only shall apply in presence of </w:t>
      </w:r>
      <w:proofErr w:type="spellStart"/>
      <w:r>
        <w:t>packagings</w:t>
      </w:r>
      <w:proofErr w:type="spellEnd"/>
      <w:r>
        <w:t xml:space="preserve"> of a type intended for retails or distribution.</w:t>
      </w:r>
    </w:p>
    <w:p w:rsidR="00BB7876" w:rsidRPr="007D4E11" w:rsidRDefault="00BB7876" w:rsidP="00BB7876">
      <w:pPr>
        <w:pStyle w:val="SingleTxtG"/>
        <w:rPr>
          <w:rFonts w:eastAsia="SimSun"/>
          <w:lang w:eastAsia="zh-CN"/>
        </w:rPr>
      </w:pPr>
      <w:r w:rsidRPr="007D4E11">
        <w:rPr>
          <w:rFonts w:eastAsia="SimSun"/>
          <w:lang w:eastAsia="zh-CN"/>
        </w:rPr>
        <w:t xml:space="preserve">“2.3 </w:t>
      </w:r>
      <w:r w:rsidRPr="00BB7876">
        <w:rPr>
          <w:rFonts w:eastAsia="SimSun"/>
          <w:i/>
          <w:lang w:eastAsia="zh-CN"/>
        </w:rPr>
        <w:t>Medicines</w:t>
      </w:r>
    </w:p>
    <w:p w:rsidR="00BB7876" w:rsidRPr="007D4E11" w:rsidRDefault="00BB7876" w:rsidP="00BB7876">
      <w:pPr>
        <w:pStyle w:val="SingleTxtG"/>
        <w:rPr>
          <w:rFonts w:eastAsia="SimSun"/>
          <w:lang w:eastAsia="zh-CN"/>
        </w:rPr>
      </w:pPr>
      <w:r w:rsidRPr="007D4E11">
        <w:rPr>
          <w:rFonts w:eastAsia="SimSun"/>
          <w:lang w:eastAsia="zh-CN"/>
        </w:rPr>
        <w:t xml:space="preserve">Special provision 601 of Chapter 3.3 of ADR shall also apply to wastes of medicines if they are no longer packed in </w:t>
      </w:r>
      <w:proofErr w:type="spellStart"/>
      <w:r w:rsidRPr="007D4E11">
        <w:rPr>
          <w:rFonts w:eastAsia="SimSun"/>
          <w:lang w:eastAsia="zh-CN"/>
        </w:rPr>
        <w:t>packagings</w:t>
      </w:r>
      <w:proofErr w:type="spellEnd"/>
      <w:r w:rsidRPr="007D4E11">
        <w:rPr>
          <w:rFonts w:eastAsia="SimSun"/>
          <w:lang w:eastAsia="zh-CN"/>
        </w:rPr>
        <w:t xml:space="preserve"> of a type intended for retail sale or distribution.” </w:t>
      </w:r>
    </w:p>
    <w:p w:rsidR="00BB7876" w:rsidRDefault="00BB7876" w:rsidP="00BB7876">
      <w:pPr>
        <w:pStyle w:val="SingleTxtG"/>
      </w:pPr>
      <w:r>
        <w:t xml:space="preserve">This text would imply that, even without mentioning it in the SP601, this special provision only shall apply for medicines packed in </w:t>
      </w:r>
      <w:proofErr w:type="spellStart"/>
      <w:r>
        <w:t>packagings</w:t>
      </w:r>
      <w:proofErr w:type="spellEnd"/>
      <w:r>
        <w:t xml:space="preserve"> of a type ready for use. The exemption would thus not apply for consignments of blister packs of pills in big amounts between production plants and packing sites where the preparation of the final packaging of small boxes and documents for use for the consumer is performed. This only because those blisters are not contained in the final packaging as it appears in the chemist shop.</w:t>
      </w:r>
    </w:p>
    <w:p w:rsidR="00BB7876" w:rsidRDefault="00BB7876" w:rsidP="00BB7876">
      <w:pPr>
        <w:pStyle w:val="SingleTxtG"/>
      </w:pPr>
      <w:r>
        <w:t>7.</w:t>
      </w:r>
      <w:r>
        <w:tab/>
        <w:t>We are interested to know the opinion of the delegates of the WP.15 about the right interpretation of the SP601. This means, it should be answered to the question if the exemption in SP601 applies also for medicines as long as they are intended for retail sail or distribution even in the case that those medicines are not carried in the final packaging. That is for example, before they are introduced in the final packaging with all the information for the users, consigned from a production plant at a packing plant where the packaging will be performed.</w:t>
      </w:r>
    </w:p>
    <w:p w:rsidR="00BB7876" w:rsidRDefault="00BB7876" w:rsidP="00BB7876">
      <w:pPr>
        <w:pStyle w:val="SingleTxtG"/>
        <w:rPr>
          <w:lang w:val="fr-CH"/>
        </w:rPr>
      </w:pPr>
      <w:r>
        <w:t>8.</w:t>
      </w:r>
      <w:r>
        <w:tab/>
        <w:t>If this would be the sense of the mentioned deletion in the ADR20107 it would probably be necessary to add explanatory text in the SP601 in order to avoid misunderstandings. This could be done for the next meeting of the RID-ADR-AND in March.</w:t>
      </w:r>
    </w:p>
    <w:p w:rsidR="00BB7876" w:rsidRPr="00F07ABD" w:rsidRDefault="00BB7876" w:rsidP="00BB7876">
      <w:pPr>
        <w:pStyle w:val="SingleTxtG"/>
        <w:spacing w:before="240" w:after="0"/>
        <w:jc w:val="center"/>
        <w:rPr>
          <w:u w:val="single"/>
          <w:lang w:val="en-GB"/>
        </w:rPr>
      </w:pPr>
      <w:r w:rsidRPr="00F07ABD">
        <w:rPr>
          <w:u w:val="single"/>
          <w:lang w:val="en-GB"/>
        </w:rPr>
        <w:tab/>
      </w:r>
      <w:r w:rsidRPr="00F07ABD">
        <w:rPr>
          <w:u w:val="single"/>
          <w:lang w:val="en-GB"/>
        </w:rPr>
        <w:tab/>
      </w:r>
      <w:r w:rsidRPr="00F07ABD">
        <w:rPr>
          <w:u w:val="single"/>
          <w:lang w:val="en-GB"/>
        </w:rPr>
        <w:tab/>
      </w:r>
    </w:p>
    <w:sectPr w:rsidR="00BB7876" w:rsidRPr="00F07ABD" w:rsidSect="009D2A5B">
      <w:headerReference w:type="even" r:id="rId9"/>
      <w:headerReference w:type="default" r:id="rId10"/>
      <w:footerReference w:type="even" r:id="rId11"/>
      <w:footerReference w:type="default" r:id="rId12"/>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57" w:rsidRDefault="00733F57"/>
  </w:endnote>
  <w:endnote w:type="continuationSeparator" w:id="0">
    <w:p w:rsidR="00733F57" w:rsidRDefault="00733F57"/>
  </w:endnote>
  <w:endnote w:type="continuationNotice" w:id="1">
    <w:p w:rsidR="00733F57" w:rsidRDefault="00733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41560D"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3346B0">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9D2A5B" w:rsidRDefault="008C7AFF" w:rsidP="009D2A5B">
    <w:pPr>
      <w:pStyle w:val="Footer"/>
      <w:tabs>
        <w:tab w:val="right" w:pos="9598"/>
      </w:tabs>
      <w:rPr>
        <w:b/>
        <w:sz w:val="18"/>
      </w:rPr>
    </w:pPr>
    <w:r>
      <w:tab/>
    </w:r>
    <w:r w:rsidR="0041560D" w:rsidRPr="009D2A5B">
      <w:rPr>
        <w:b/>
        <w:sz w:val="18"/>
      </w:rPr>
      <w:fldChar w:fldCharType="begin"/>
    </w:r>
    <w:r w:rsidRPr="009D2A5B">
      <w:rPr>
        <w:b/>
        <w:sz w:val="18"/>
      </w:rPr>
      <w:instrText xml:space="preserve"> PAGE  \* MERGEFORMAT </w:instrText>
    </w:r>
    <w:r w:rsidR="0041560D" w:rsidRPr="009D2A5B">
      <w:rPr>
        <w:b/>
        <w:sz w:val="18"/>
      </w:rPr>
      <w:fldChar w:fldCharType="separate"/>
    </w:r>
    <w:r w:rsidR="00253B7F">
      <w:rPr>
        <w:b/>
        <w:noProof/>
        <w:sz w:val="18"/>
      </w:rPr>
      <w:t>3</w:t>
    </w:r>
    <w:r w:rsidR="0041560D"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57" w:rsidRPr="000B175B" w:rsidRDefault="00733F57" w:rsidP="000B175B">
      <w:pPr>
        <w:tabs>
          <w:tab w:val="right" w:pos="2155"/>
        </w:tabs>
        <w:spacing w:after="80"/>
        <w:ind w:left="680"/>
        <w:rPr>
          <w:u w:val="single"/>
        </w:rPr>
      </w:pPr>
      <w:r>
        <w:rPr>
          <w:u w:val="single"/>
        </w:rPr>
        <w:tab/>
      </w:r>
    </w:p>
  </w:footnote>
  <w:footnote w:type="continuationSeparator" w:id="0">
    <w:p w:rsidR="00733F57" w:rsidRPr="00FC68B7" w:rsidRDefault="00733F57" w:rsidP="00FC68B7">
      <w:pPr>
        <w:tabs>
          <w:tab w:val="left" w:pos="2155"/>
        </w:tabs>
        <w:spacing w:after="80"/>
        <w:ind w:left="680"/>
        <w:rPr>
          <w:u w:val="single"/>
        </w:rPr>
      </w:pPr>
      <w:r>
        <w:rPr>
          <w:u w:val="single"/>
        </w:rPr>
        <w:tab/>
      </w:r>
    </w:p>
  </w:footnote>
  <w:footnote w:type="continuationNotice" w:id="1">
    <w:p w:rsidR="00733F57" w:rsidRDefault="00733F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FA7F6B" w:rsidRDefault="008C7AFF" w:rsidP="009D2A5B">
    <w:pPr>
      <w:pStyle w:val="Header"/>
      <w:rPr>
        <w:szCs w:val="18"/>
        <w:lang w:val="fr-CH"/>
      </w:rPr>
    </w:pPr>
    <w:r w:rsidRPr="00FA7F6B">
      <w:rPr>
        <w:szCs w:val="18"/>
        <w:lang w:val="fr-CH"/>
      </w:rPr>
      <w:t>INF.</w:t>
    </w:r>
    <w:r w:rsidR="00BB7876">
      <w:rPr>
        <w:szCs w:val="18"/>
        <w:lang w:val="fr-CH"/>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FF" w:rsidRPr="00CD57D2" w:rsidRDefault="008C7AFF" w:rsidP="009D2A5B">
    <w:pPr>
      <w:pStyle w:val="Header"/>
      <w:jc w:val="right"/>
      <w:rPr>
        <w:lang w:val="fr-CH"/>
      </w:rPr>
    </w:pPr>
    <w:r>
      <w:rPr>
        <w:lang w:val="fr-CH"/>
      </w:rPr>
      <w:t>INF.3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0D206F"/>
    <w:multiLevelType w:val="hybridMultilevel"/>
    <w:tmpl w:val="EA6CAF94"/>
    <w:lvl w:ilvl="0" w:tplc="5404A8FC">
      <w:start w:val="1"/>
      <w:numFmt w:val="bullet"/>
      <w:lvlText w:val=""/>
      <w:lvlJc w:val="left"/>
      <w:pPr>
        <w:tabs>
          <w:tab w:val="num" w:pos="720"/>
        </w:tabs>
        <w:ind w:left="720" w:hanging="360"/>
      </w:pPr>
      <w:rPr>
        <w:rFonts w:ascii="Symbol" w:hAnsi="Symbol" w:hint="default"/>
        <w:sz w:val="20"/>
      </w:rPr>
    </w:lvl>
    <w:lvl w:ilvl="1" w:tplc="80244BC8" w:tentative="1">
      <w:start w:val="1"/>
      <w:numFmt w:val="bullet"/>
      <w:lvlText w:val="o"/>
      <w:lvlJc w:val="left"/>
      <w:pPr>
        <w:tabs>
          <w:tab w:val="num" w:pos="1440"/>
        </w:tabs>
        <w:ind w:left="1440" w:hanging="360"/>
      </w:pPr>
      <w:rPr>
        <w:rFonts w:ascii="Courier New" w:hAnsi="Courier New" w:hint="default"/>
        <w:sz w:val="20"/>
      </w:rPr>
    </w:lvl>
    <w:lvl w:ilvl="2" w:tplc="A1DE630C" w:tentative="1">
      <w:start w:val="1"/>
      <w:numFmt w:val="bullet"/>
      <w:lvlText w:val=""/>
      <w:lvlJc w:val="left"/>
      <w:pPr>
        <w:tabs>
          <w:tab w:val="num" w:pos="2160"/>
        </w:tabs>
        <w:ind w:left="2160" w:hanging="360"/>
      </w:pPr>
      <w:rPr>
        <w:rFonts w:ascii="Wingdings" w:hAnsi="Wingdings" w:hint="default"/>
        <w:sz w:val="20"/>
      </w:rPr>
    </w:lvl>
    <w:lvl w:ilvl="3" w:tplc="5DFCF508" w:tentative="1">
      <w:start w:val="1"/>
      <w:numFmt w:val="bullet"/>
      <w:lvlText w:val=""/>
      <w:lvlJc w:val="left"/>
      <w:pPr>
        <w:tabs>
          <w:tab w:val="num" w:pos="2880"/>
        </w:tabs>
        <w:ind w:left="2880" w:hanging="360"/>
      </w:pPr>
      <w:rPr>
        <w:rFonts w:ascii="Wingdings" w:hAnsi="Wingdings" w:hint="default"/>
        <w:sz w:val="20"/>
      </w:rPr>
    </w:lvl>
    <w:lvl w:ilvl="4" w:tplc="D1647CE4" w:tentative="1">
      <w:start w:val="1"/>
      <w:numFmt w:val="bullet"/>
      <w:lvlText w:val=""/>
      <w:lvlJc w:val="left"/>
      <w:pPr>
        <w:tabs>
          <w:tab w:val="num" w:pos="3600"/>
        </w:tabs>
        <w:ind w:left="3600" w:hanging="360"/>
      </w:pPr>
      <w:rPr>
        <w:rFonts w:ascii="Wingdings" w:hAnsi="Wingdings" w:hint="default"/>
        <w:sz w:val="20"/>
      </w:rPr>
    </w:lvl>
    <w:lvl w:ilvl="5" w:tplc="D9729A78" w:tentative="1">
      <w:start w:val="1"/>
      <w:numFmt w:val="bullet"/>
      <w:lvlText w:val=""/>
      <w:lvlJc w:val="left"/>
      <w:pPr>
        <w:tabs>
          <w:tab w:val="num" w:pos="4320"/>
        </w:tabs>
        <w:ind w:left="4320" w:hanging="360"/>
      </w:pPr>
      <w:rPr>
        <w:rFonts w:ascii="Wingdings" w:hAnsi="Wingdings" w:hint="default"/>
        <w:sz w:val="20"/>
      </w:rPr>
    </w:lvl>
    <w:lvl w:ilvl="6" w:tplc="6A3CDB70" w:tentative="1">
      <w:start w:val="1"/>
      <w:numFmt w:val="bullet"/>
      <w:lvlText w:val=""/>
      <w:lvlJc w:val="left"/>
      <w:pPr>
        <w:tabs>
          <w:tab w:val="num" w:pos="5040"/>
        </w:tabs>
        <w:ind w:left="5040" w:hanging="360"/>
      </w:pPr>
      <w:rPr>
        <w:rFonts w:ascii="Wingdings" w:hAnsi="Wingdings" w:hint="default"/>
        <w:sz w:val="20"/>
      </w:rPr>
    </w:lvl>
    <w:lvl w:ilvl="7" w:tplc="015EF474" w:tentative="1">
      <w:start w:val="1"/>
      <w:numFmt w:val="bullet"/>
      <w:lvlText w:val=""/>
      <w:lvlJc w:val="left"/>
      <w:pPr>
        <w:tabs>
          <w:tab w:val="num" w:pos="5760"/>
        </w:tabs>
        <w:ind w:left="5760" w:hanging="360"/>
      </w:pPr>
      <w:rPr>
        <w:rFonts w:ascii="Wingdings" w:hAnsi="Wingdings" w:hint="default"/>
        <w:sz w:val="20"/>
      </w:rPr>
    </w:lvl>
    <w:lvl w:ilvl="8" w:tplc="8C88DD0A"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8"/>
  </w:num>
  <w:num w:numId="18">
    <w:abstractNumId w:val="17"/>
  </w:num>
  <w:num w:numId="19">
    <w:abstractNumId w:val="1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rina mansion">
    <w15:presenceInfo w15:providerId="Windows Live" w15:userId="e0550db0a9b16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numStart w:val="2"/>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35B8"/>
    <w:rsid w:val="00011405"/>
    <w:rsid w:val="00013E97"/>
    <w:rsid w:val="000149A1"/>
    <w:rsid w:val="000218B5"/>
    <w:rsid w:val="000260EE"/>
    <w:rsid w:val="00037F90"/>
    <w:rsid w:val="00046B1F"/>
    <w:rsid w:val="000470B0"/>
    <w:rsid w:val="00047EB7"/>
    <w:rsid w:val="00050F6B"/>
    <w:rsid w:val="00057E97"/>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103AA"/>
    <w:rsid w:val="0011119B"/>
    <w:rsid w:val="0011666B"/>
    <w:rsid w:val="0012118B"/>
    <w:rsid w:val="001362A8"/>
    <w:rsid w:val="00141383"/>
    <w:rsid w:val="00142AB2"/>
    <w:rsid w:val="00146DC8"/>
    <w:rsid w:val="001529F1"/>
    <w:rsid w:val="00155068"/>
    <w:rsid w:val="00165F3A"/>
    <w:rsid w:val="00177CE8"/>
    <w:rsid w:val="0018210E"/>
    <w:rsid w:val="00187C92"/>
    <w:rsid w:val="00192D6D"/>
    <w:rsid w:val="00193CA7"/>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67CD"/>
    <w:rsid w:val="00247BDC"/>
    <w:rsid w:val="00252290"/>
    <w:rsid w:val="00253B7F"/>
    <w:rsid w:val="00263A3B"/>
    <w:rsid w:val="00267F5F"/>
    <w:rsid w:val="00280A1D"/>
    <w:rsid w:val="00284DBC"/>
    <w:rsid w:val="00286B4D"/>
    <w:rsid w:val="002A0CC5"/>
    <w:rsid w:val="002A3C85"/>
    <w:rsid w:val="002A603B"/>
    <w:rsid w:val="002B46EB"/>
    <w:rsid w:val="002D0CE4"/>
    <w:rsid w:val="002D2E24"/>
    <w:rsid w:val="002D4643"/>
    <w:rsid w:val="002D4B6C"/>
    <w:rsid w:val="002F175C"/>
    <w:rsid w:val="002F50A7"/>
    <w:rsid w:val="00301D76"/>
    <w:rsid w:val="00302E18"/>
    <w:rsid w:val="0030606F"/>
    <w:rsid w:val="003173A5"/>
    <w:rsid w:val="003229D8"/>
    <w:rsid w:val="0033230E"/>
    <w:rsid w:val="003346B0"/>
    <w:rsid w:val="003358CF"/>
    <w:rsid w:val="00335D02"/>
    <w:rsid w:val="0034605E"/>
    <w:rsid w:val="00352709"/>
    <w:rsid w:val="00354ED9"/>
    <w:rsid w:val="003706D8"/>
    <w:rsid w:val="0037107E"/>
    <w:rsid w:val="00371178"/>
    <w:rsid w:val="00375B70"/>
    <w:rsid w:val="0038452A"/>
    <w:rsid w:val="00393A3C"/>
    <w:rsid w:val="003A10AC"/>
    <w:rsid w:val="003A30E1"/>
    <w:rsid w:val="003A6498"/>
    <w:rsid w:val="003A6728"/>
    <w:rsid w:val="003A6810"/>
    <w:rsid w:val="003A7C69"/>
    <w:rsid w:val="003B36D1"/>
    <w:rsid w:val="003B7418"/>
    <w:rsid w:val="003C2CC4"/>
    <w:rsid w:val="003C74DD"/>
    <w:rsid w:val="003D0D2E"/>
    <w:rsid w:val="003D30B0"/>
    <w:rsid w:val="003D3380"/>
    <w:rsid w:val="003D4B23"/>
    <w:rsid w:val="003E0B6D"/>
    <w:rsid w:val="003F310D"/>
    <w:rsid w:val="003F7107"/>
    <w:rsid w:val="004002CE"/>
    <w:rsid w:val="00406D5C"/>
    <w:rsid w:val="00410C89"/>
    <w:rsid w:val="0041397F"/>
    <w:rsid w:val="0041539A"/>
    <w:rsid w:val="0041560D"/>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632A"/>
    <w:rsid w:val="007327D5"/>
    <w:rsid w:val="00733F57"/>
    <w:rsid w:val="00743E81"/>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0628A"/>
    <w:rsid w:val="008116D7"/>
    <w:rsid w:val="00811920"/>
    <w:rsid w:val="00815AD0"/>
    <w:rsid w:val="00815E91"/>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26E7"/>
    <w:rsid w:val="009B350F"/>
    <w:rsid w:val="009C454F"/>
    <w:rsid w:val="009C4E99"/>
    <w:rsid w:val="009D2486"/>
    <w:rsid w:val="009D2A5B"/>
    <w:rsid w:val="009E1D30"/>
    <w:rsid w:val="009F2BB8"/>
    <w:rsid w:val="00A00A3F"/>
    <w:rsid w:val="00A01489"/>
    <w:rsid w:val="00A12E50"/>
    <w:rsid w:val="00A14388"/>
    <w:rsid w:val="00A1777D"/>
    <w:rsid w:val="00A3009E"/>
    <w:rsid w:val="00A3026E"/>
    <w:rsid w:val="00A31D95"/>
    <w:rsid w:val="00A338F1"/>
    <w:rsid w:val="00A45808"/>
    <w:rsid w:val="00A46694"/>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5045"/>
    <w:rsid w:val="00AC6EC4"/>
    <w:rsid w:val="00AD44C2"/>
    <w:rsid w:val="00AD48FA"/>
    <w:rsid w:val="00B03366"/>
    <w:rsid w:val="00B0614C"/>
    <w:rsid w:val="00B101E9"/>
    <w:rsid w:val="00B117CF"/>
    <w:rsid w:val="00B11BB4"/>
    <w:rsid w:val="00B12CA6"/>
    <w:rsid w:val="00B2148A"/>
    <w:rsid w:val="00B21F96"/>
    <w:rsid w:val="00B22BC2"/>
    <w:rsid w:val="00B24F79"/>
    <w:rsid w:val="00B25EB2"/>
    <w:rsid w:val="00B27148"/>
    <w:rsid w:val="00B30179"/>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5635"/>
    <w:rsid w:val="00BB7876"/>
    <w:rsid w:val="00BB7CD1"/>
    <w:rsid w:val="00BC2725"/>
    <w:rsid w:val="00BC3FA0"/>
    <w:rsid w:val="00BC626B"/>
    <w:rsid w:val="00BC67E1"/>
    <w:rsid w:val="00BC74E9"/>
    <w:rsid w:val="00BE4F17"/>
    <w:rsid w:val="00BF125B"/>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A1B"/>
    <w:rsid w:val="00CC5B3B"/>
    <w:rsid w:val="00CD1FCA"/>
    <w:rsid w:val="00CD46A7"/>
    <w:rsid w:val="00CD57D2"/>
    <w:rsid w:val="00CE1761"/>
    <w:rsid w:val="00CE3E6E"/>
    <w:rsid w:val="00CE4A8F"/>
    <w:rsid w:val="00CF7AC0"/>
    <w:rsid w:val="00D13F4D"/>
    <w:rsid w:val="00D2031B"/>
    <w:rsid w:val="00D224BF"/>
    <w:rsid w:val="00D22523"/>
    <w:rsid w:val="00D25FE2"/>
    <w:rsid w:val="00D43252"/>
    <w:rsid w:val="00D44198"/>
    <w:rsid w:val="00D47EEA"/>
    <w:rsid w:val="00D47F36"/>
    <w:rsid w:val="00D550D4"/>
    <w:rsid w:val="00D56292"/>
    <w:rsid w:val="00D62742"/>
    <w:rsid w:val="00D7419E"/>
    <w:rsid w:val="00D773DF"/>
    <w:rsid w:val="00D876F8"/>
    <w:rsid w:val="00D9255F"/>
    <w:rsid w:val="00D95303"/>
    <w:rsid w:val="00D978C6"/>
    <w:rsid w:val="00DA3C1C"/>
    <w:rsid w:val="00DA5024"/>
    <w:rsid w:val="00DB1304"/>
    <w:rsid w:val="00DB43CD"/>
    <w:rsid w:val="00DC12A9"/>
    <w:rsid w:val="00DE37C6"/>
    <w:rsid w:val="00DE4970"/>
    <w:rsid w:val="00DE7486"/>
    <w:rsid w:val="00DF6282"/>
    <w:rsid w:val="00E01B7D"/>
    <w:rsid w:val="00E046DF"/>
    <w:rsid w:val="00E14853"/>
    <w:rsid w:val="00E15557"/>
    <w:rsid w:val="00E261FA"/>
    <w:rsid w:val="00E26778"/>
    <w:rsid w:val="00E27346"/>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D7E4E"/>
    <w:rsid w:val="00EE6AA0"/>
    <w:rsid w:val="00EE6B3A"/>
    <w:rsid w:val="00EF1D7F"/>
    <w:rsid w:val="00F05E4B"/>
    <w:rsid w:val="00F07ABD"/>
    <w:rsid w:val="00F16B7D"/>
    <w:rsid w:val="00F227A6"/>
    <w:rsid w:val="00F31170"/>
    <w:rsid w:val="00F31E5F"/>
    <w:rsid w:val="00F36F0D"/>
    <w:rsid w:val="00F42999"/>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E6E9F"/>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character" w:customStyle="1" w:styleId="qpdate">
    <w:name w:val="qp_date"/>
    <w:basedOn w:val="DefaultParagraphFont"/>
    <w:rsid w:val="00192D6D"/>
  </w:style>
  <w:style w:type="character" w:customStyle="1" w:styleId="Heading2Char">
    <w:name w:val="Heading 2 Char"/>
    <w:basedOn w:val="DefaultParagraphFont"/>
    <w:link w:val="Heading2"/>
    <w:rsid w:val="00253B7F"/>
    <w:rPr>
      <w:lang w:val="en-GB" w:eastAsia="en-US"/>
    </w:rPr>
  </w:style>
  <w:style w:type="character" w:customStyle="1" w:styleId="Heading4Char">
    <w:name w:val="Heading 4 Char"/>
    <w:basedOn w:val="DefaultParagraphFont"/>
    <w:link w:val="Heading4"/>
    <w:rsid w:val="00253B7F"/>
    <w:rPr>
      <w:lang w:val="en-GB" w:eastAsia="en-US"/>
    </w:rPr>
  </w:style>
  <w:style w:type="character" w:customStyle="1" w:styleId="Datum1">
    <w:name w:val="Datum1"/>
    <w:basedOn w:val="DefaultParagraphFont"/>
    <w:rsid w:val="00253B7F"/>
  </w:style>
  <w:style w:type="character" w:customStyle="1" w:styleId="location">
    <w:name w:val="location"/>
    <w:basedOn w:val="DefaultParagraphFont"/>
    <w:rsid w:val="00253B7F"/>
  </w:style>
  <w:style w:type="character" w:customStyle="1" w:styleId="no">
    <w:name w:val="no"/>
    <w:basedOn w:val="DefaultParagraphFont"/>
    <w:rsid w:val="00253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character" w:customStyle="1" w:styleId="qpdate">
    <w:name w:val="qp_date"/>
    <w:basedOn w:val="DefaultParagraphFont"/>
    <w:rsid w:val="00192D6D"/>
  </w:style>
  <w:style w:type="character" w:customStyle="1" w:styleId="Heading2Char">
    <w:name w:val="Heading 2 Char"/>
    <w:basedOn w:val="DefaultParagraphFont"/>
    <w:link w:val="Heading2"/>
    <w:rsid w:val="00253B7F"/>
    <w:rPr>
      <w:lang w:val="en-GB" w:eastAsia="en-US"/>
    </w:rPr>
  </w:style>
  <w:style w:type="character" w:customStyle="1" w:styleId="Heading4Char">
    <w:name w:val="Heading 4 Char"/>
    <w:basedOn w:val="DefaultParagraphFont"/>
    <w:link w:val="Heading4"/>
    <w:rsid w:val="00253B7F"/>
    <w:rPr>
      <w:lang w:val="en-GB" w:eastAsia="en-US"/>
    </w:rPr>
  </w:style>
  <w:style w:type="character" w:customStyle="1" w:styleId="Datum1">
    <w:name w:val="Datum1"/>
    <w:basedOn w:val="DefaultParagraphFont"/>
    <w:rsid w:val="00253B7F"/>
  </w:style>
  <w:style w:type="character" w:customStyle="1" w:styleId="location">
    <w:name w:val="location"/>
    <w:basedOn w:val="DefaultParagraphFont"/>
    <w:rsid w:val="00253B7F"/>
  </w:style>
  <w:style w:type="character" w:customStyle="1" w:styleId="no">
    <w:name w:val="no"/>
    <w:basedOn w:val="DefaultParagraphFont"/>
    <w:rsid w:val="0025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88C18-A789-4630-A4D9-2FB85768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680</Words>
  <Characters>3876</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5</cp:revision>
  <cp:lastPrinted>2016-08-17T08:37:00Z</cp:lastPrinted>
  <dcterms:created xsi:type="dcterms:W3CDTF">2016-10-06T14:13:00Z</dcterms:created>
  <dcterms:modified xsi:type="dcterms:W3CDTF">2016-10-10T14:12:00Z</dcterms:modified>
</cp:coreProperties>
</file>