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2A55D2" w:rsidTr="00691F20">
        <w:trPr>
          <w:cantSplit/>
          <w:trHeight w:hRule="exact" w:val="851"/>
        </w:trPr>
        <w:tc>
          <w:tcPr>
            <w:tcW w:w="9639" w:type="dxa"/>
            <w:tcBorders>
              <w:bottom w:val="single" w:sz="4" w:space="0" w:color="auto"/>
            </w:tcBorders>
            <w:vAlign w:val="bottom"/>
          </w:tcPr>
          <w:p w:rsidR="0099001C" w:rsidRPr="002A55D2" w:rsidRDefault="0099001C" w:rsidP="00DD5E7B">
            <w:pPr>
              <w:jc w:val="right"/>
              <w:rPr>
                <w:b/>
                <w:sz w:val="40"/>
                <w:szCs w:val="40"/>
              </w:rPr>
            </w:pPr>
            <w:r w:rsidRPr="00DD5E7B">
              <w:rPr>
                <w:b/>
                <w:sz w:val="40"/>
                <w:szCs w:val="40"/>
              </w:rPr>
              <w:t>UN/SCEGHS/</w:t>
            </w:r>
            <w:r w:rsidR="00462AB2" w:rsidRPr="00DD5E7B">
              <w:rPr>
                <w:b/>
                <w:sz w:val="40"/>
                <w:szCs w:val="40"/>
              </w:rPr>
              <w:t>32</w:t>
            </w:r>
            <w:r w:rsidRPr="00DD5E7B">
              <w:rPr>
                <w:b/>
                <w:sz w:val="40"/>
                <w:szCs w:val="40"/>
              </w:rPr>
              <w:t>/INF.</w:t>
            </w:r>
            <w:r w:rsidR="00DD5E7B" w:rsidRPr="00DD5E7B">
              <w:rPr>
                <w:b/>
                <w:sz w:val="40"/>
                <w:szCs w:val="40"/>
              </w:rPr>
              <w:t>36</w:t>
            </w:r>
          </w:p>
        </w:tc>
      </w:tr>
      <w:tr w:rsidR="0099001C" w:rsidRPr="00CC693C" w:rsidTr="00D07709">
        <w:trPr>
          <w:cantSplit/>
          <w:trHeight w:hRule="exact" w:val="2423"/>
        </w:trPr>
        <w:tc>
          <w:tcPr>
            <w:tcW w:w="9639" w:type="dxa"/>
            <w:tcBorders>
              <w:top w:val="single" w:sz="4" w:space="0" w:color="auto"/>
            </w:tcBorders>
          </w:tcPr>
          <w:p w:rsidR="00A805EB" w:rsidRPr="0055236B" w:rsidRDefault="00A805EB" w:rsidP="00A805EB">
            <w:pPr>
              <w:spacing w:before="120"/>
              <w:rPr>
                <w:b/>
                <w:sz w:val="24"/>
                <w:szCs w:val="24"/>
              </w:rPr>
            </w:pPr>
            <w:r w:rsidRPr="0055236B">
              <w:rPr>
                <w:b/>
                <w:sz w:val="24"/>
                <w:szCs w:val="24"/>
              </w:rPr>
              <w:t>Committee of Experts on the Transport of Dangerous Goods</w:t>
            </w:r>
            <w:r w:rsidRPr="0055236B">
              <w:rPr>
                <w:b/>
                <w:sz w:val="24"/>
                <w:szCs w:val="24"/>
              </w:rPr>
              <w:br/>
              <w:t>and on the Globally Harmonized System of Classification</w:t>
            </w:r>
            <w:r w:rsidRPr="0055236B">
              <w:rPr>
                <w:b/>
                <w:sz w:val="24"/>
                <w:szCs w:val="24"/>
              </w:rPr>
              <w:br/>
              <w:t>and Labelling of Chemicals</w:t>
            </w:r>
          </w:p>
          <w:p w:rsidR="00FD4F7E" w:rsidRPr="0055236B" w:rsidRDefault="00A805EB" w:rsidP="00FD4F7E">
            <w:pPr>
              <w:tabs>
                <w:tab w:val="right" w:pos="9300"/>
              </w:tabs>
              <w:spacing w:before="120"/>
              <w:rPr>
                <w:rFonts w:ascii="Helv" w:hAnsi="Helv" w:cs="Helv"/>
                <w:b/>
                <w:color w:val="000000"/>
              </w:rPr>
            </w:pPr>
            <w:r w:rsidRPr="0055236B">
              <w:rPr>
                <w:b/>
              </w:rPr>
              <w:t>Sub-Committee of Experts on the Globally Harmonized</w:t>
            </w:r>
            <w:r w:rsidRPr="0055236B">
              <w:rPr>
                <w:b/>
              </w:rPr>
              <w:br/>
              <w:t>System of Classification and Labelling of Chemicals</w:t>
            </w:r>
            <w:r w:rsidR="00FD4F7E" w:rsidRPr="0055236B">
              <w:rPr>
                <w:b/>
              </w:rPr>
              <w:tab/>
            </w:r>
            <w:r w:rsidR="00F538B7" w:rsidRPr="0055236B">
              <w:rPr>
                <w:b/>
              </w:rPr>
              <w:t>6</w:t>
            </w:r>
            <w:r w:rsidR="006A7757" w:rsidRPr="0055236B">
              <w:rPr>
                <w:b/>
              </w:rPr>
              <w:t xml:space="preserve"> </w:t>
            </w:r>
            <w:r w:rsidR="00462AB2" w:rsidRPr="0055236B">
              <w:rPr>
                <w:b/>
              </w:rPr>
              <w:t xml:space="preserve">December </w:t>
            </w:r>
            <w:r w:rsidR="00390983" w:rsidRPr="0055236B">
              <w:rPr>
                <w:b/>
              </w:rPr>
              <w:t>2016</w:t>
            </w:r>
          </w:p>
          <w:p w:rsidR="00652396" w:rsidRPr="0055236B" w:rsidRDefault="00390983" w:rsidP="00652396">
            <w:pPr>
              <w:spacing w:before="120"/>
              <w:rPr>
                <w:b/>
              </w:rPr>
            </w:pPr>
            <w:r w:rsidRPr="0055236B">
              <w:rPr>
                <w:b/>
                <w:bCs/>
              </w:rPr>
              <w:t>Thirty-</w:t>
            </w:r>
            <w:r w:rsidR="00462AB2" w:rsidRPr="0055236B">
              <w:rPr>
                <w:b/>
                <w:bCs/>
              </w:rPr>
              <w:t>second</w:t>
            </w:r>
            <w:r w:rsidR="00652396" w:rsidRPr="0055236B">
              <w:rPr>
                <w:b/>
                <w:bCs/>
              </w:rPr>
              <w:t xml:space="preserve"> session</w:t>
            </w:r>
          </w:p>
          <w:p w:rsidR="00652396" w:rsidRPr="0055236B" w:rsidRDefault="00462AB2" w:rsidP="00652396">
            <w:pPr>
              <w:jc w:val="both"/>
            </w:pPr>
            <w:r w:rsidRPr="0055236B">
              <w:t>Geneva,7</w:t>
            </w:r>
            <w:r w:rsidR="00652396" w:rsidRPr="0055236B">
              <w:t xml:space="preserve">– </w:t>
            </w:r>
            <w:r w:rsidRPr="0055236B">
              <w:t>9</w:t>
            </w:r>
            <w:r w:rsidR="00652396" w:rsidRPr="0055236B">
              <w:t xml:space="preserve"> </w:t>
            </w:r>
            <w:r w:rsidRPr="0055236B">
              <w:t xml:space="preserve">December </w:t>
            </w:r>
            <w:r w:rsidR="00390983" w:rsidRPr="0055236B">
              <w:t>2016</w:t>
            </w:r>
          </w:p>
          <w:p w:rsidR="00390983" w:rsidRPr="0055236B" w:rsidRDefault="00390983" w:rsidP="00652396">
            <w:pPr>
              <w:jc w:val="both"/>
            </w:pPr>
            <w:r w:rsidRPr="0055236B">
              <w:t xml:space="preserve">Agenda item </w:t>
            </w:r>
            <w:r w:rsidR="0007368D" w:rsidRPr="0055236B">
              <w:t>2</w:t>
            </w:r>
          </w:p>
          <w:p w:rsidR="0099001C" w:rsidRPr="0055236B" w:rsidRDefault="0099001C" w:rsidP="001A4C88"/>
        </w:tc>
      </w:tr>
    </w:tbl>
    <w:p w:rsidR="001A6D55" w:rsidRPr="00CC693C" w:rsidRDefault="0099001C" w:rsidP="001A6D55">
      <w:pPr>
        <w:pStyle w:val="HChG"/>
      </w:pPr>
      <w:r w:rsidRPr="00CC693C">
        <w:rPr>
          <w:rFonts w:eastAsia="MS Mincho"/>
          <w:lang w:eastAsia="ja-JP"/>
        </w:rPr>
        <w:tab/>
      </w:r>
      <w:r w:rsidR="006A7757" w:rsidRPr="00CC693C">
        <w:rPr>
          <w:rFonts w:eastAsia="MS Mincho"/>
          <w:lang w:eastAsia="ja-JP"/>
        </w:rPr>
        <w:tab/>
      </w:r>
      <w:r w:rsidR="001A6D55" w:rsidRPr="00DD5E7B">
        <w:t>Work of the Sub-Committee of Experts on the Transport of</w:t>
      </w:r>
      <w:r w:rsidR="001A6D55" w:rsidRPr="00CC693C">
        <w:t xml:space="preserve"> Dangerous Goods on its </w:t>
      </w:r>
      <w:r w:rsidR="00462AB2">
        <w:t>50</w:t>
      </w:r>
      <w:r w:rsidR="00462AB2" w:rsidRPr="00462AB2">
        <w:t>th</w:t>
      </w:r>
      <w:r w:rsidR="00462AB2">
        <w:rPr>
          <w:vertAlign w:val="superscript"/>
        </w:rPr>
        <w:t xml:space="preserve"> </w:t>
      </w:r>
      <w:r w:rsidR="001A6D55" w:rsidRPr="00CC693C">
        <w:t xml:space="preserve">session </w:t>
      </w:r>
      <w:r w:rsidR="00FF4D94" w:rsidRPr="00CC693C">
        <w:t>on matters of interest to the GHS Sub-Committee</w:t>
      </w:r>
    </w:p>
    <w:p w:rsidR="001A6D55" w:rsidRPr="00CC693C" w:rsidRDefault="001A6D55" w:rsidP="001A6D55">
      <w:pPr>
        <w:pStyle w:val="H1G"/>
        <w:rPr>
          <w:rFonts w:eastAsia="MS Mincho"/>
        </w:rPr>
      </w:pPr>
      <w:r w:rsidRPr="00CC693C">
        <w:rPr>
          <w:rFonts w:eastAsia="MS Mincho"/>
        </w:rPr>
        <w:tab/>
      </w:r>
      <w:r w:rsidRPr="00CC693C">
        <w:rPr>
          <w:rFonts w:eastAsia="MS Mincho"/>
        </w:rPr>
        <w:tab/>
        <w:t>Note by the secretariat</w:t>
      </w:r>
    </w:p>
    <w:p w:rsidR="001A6D55" w:rsidRPr="00CC693C" w:rsidRDefault="001A6D55" w:rsidP="001A6D55">
      <w:pPr>
        <w:pStyle w:val="HChG"/>
      </w:pPr>
      <w:r w:rsidRPr="00CC693C">
        <w:tab/>
      </w:r>
      <w:r w:rsidR="00ED049D" w:rsidRPr="00CC693C">
        <w:tab/>
      </w:r>
      <w:r w:rsidRPr="00CC693C">
        <w:t>Introduction</w:t>
      </w:r>
    </w:p>
    <w:p w:rsidR="00462AB2" w:rsidRDefault="008B6B2F" w:rsidP="008B6B2F">
      <w:pPr>
        <w:pStyle w:val="SingleTxtG"/>
      </w:pPr>
      <w:r w:rsidRPr="00CC693C">
        <w:t>1.</w:t>
      </w:r>
      <w:r w:rsidRPr="00CC693C">
        <w:tab/>
      </w:r>
      <w:r w:rsidR="000D4FF6">
        <w:t xml:space="preserve">At </w:t>
      </w:r>
      <w:r w:rsidR="00462AB2">
        <w:t>its 50</w:t>
      </w:r>
      <w:r w:rsidR="00462AB2" w:rsidRPr="00462AB2">
        <w:rPr>
          <w:vertAlign w:val="superscript"/>
        </w:rPr>
        <w:t>th</w:t>
      </w:r>
      <w:r w:rsidR="00462AB2">
        <w:t xml:space="preserve"> session, the Sub-Committee of Experts on the Transport of Dangerous Goods (TDG Sub-Committee) considered matters on interest to the GHS Su</w:t>
      </w:r>
      <w:r w:rsidR="00DD5E7B">
        <w:t>b-Committee under items 2 (b) (</w:t>
      </w:r>
      <w:r w:rsidR="00462AB2">
        <w:t>Explosives and related matters</w:t>
      </w:r>
      <w:r w:rsidR="00DD5E7B">
        <w:t>), 2 (c) (</w:t>
      </w:r>
      <w:r w:rsidR="00462AB2">
        <w:t>List</w:t>
      </w:r>
      <w:r w:rsidR="00DD5E7B">
        <w:t>ing, classification and packing) and 7 (</w:t>
      </w:r>
      <w:r w:rsidR="00462AB2">
        <w:t>Issues relating to the GHS</w:t>
      </w:r>
      <w:r w:rsidR="00DD5E7B">
        <w:t>) of its agenda</w:t>
      </w:r>
      <w:r w:rsidR="00462AB2">
        <w:t>.</w:t>
      </w:r>
    </w:p>
    <w:p w:rsidR="00E03F0A" w:rsidRPr="00367DFB" w:rsidRDefault="00353ECF" w:rsidP="00462AB2">
      <w:pPr>
        <w:pStyle w:val="SingleTxtG"/>
      </w:pPr>
      <w:r>
        <w:t>2</w:t>
      </w:r>
      <w:r w:rsidR="008B6B2F" w:rsidRPr="00CC693C">
        <w:t>.</w:t>
      </w:r>
      <w:r w:rsidR="008B6B2F" w:rsidRPr="00CC693C">
        <w:tab/>
      </w:r>
      <w:r w:rsidR="00AC58B3" w:rsidRPr="00CC693C">
        <w:t>Most</w:t>
      </w:r>
      <w:r w:rsidR="008E6C62" w:rsidRPr="00CC693C">
        <w:t xml:space="preserve"> of the questions </w:t>
      </w:r>
      <w:r w:rsidR="00B81A5C" w:rsidRPr="00CC693C">
        <w:t xml:space="preserve">on explosives and related matters </w:t>
      </w:r>
      <w:r w:rsidR="008E6C62" w:rsidRPr="00CC693C">
        <w:t>under agenda item 2</w:t>
      </w:r>
      <w:r w:rsidR="00346026" w:rsidRPr="00CC693C">
        <w:t xml:space="preserve">, as well as the documents under </w:t>
      </w:r>
      <w:r w:rsidR="00346026" w:rsidRPr="00353ECF">
        <w:t xml:space="preserve">agenda item </w:t>
      </w:r>
      <w:r w:rsidR="00462AB2">
        <w:t>7</w:t>
      </w:r>
      <w:r w:rsidR="00346026" w:rsidRPr="00353ECF">
        <w:t xml:space="preserve"> (g) relating to the</w:t>
      </w:r>
      <w:r w:rsidR="00346026" w:rsidRPr="00CC693C">
        <w:t xml:space="preserve"> use of the Manual of Tests and Criteria in the context of the GHS</w:t>
      </w:r>
      <w:r w:rsidR="00462AB2">
        <w:t xml:space="preserve"> and 7 (h) addressing the review of Chapter 2.1 of the GHS</w:t>
      </w:r>
      <w:r w:rsidR="00346026" w:rsidRPr="00CC693C">
        <w:t xml:space="preserve"> were </w:t>
      </w:r>
      <w:r w:rsidR="008E6C62" w:rsidRPr="00CC693C">
        <w:t xml:space="preserve">referred to the Working Group on Explosives which met from </w:t>
      </w:r>
      <w:r w:rsidR="00462AB2">
        <w:t xml:space="preserve">28 November </w:t>
      </w:r>
      <w:r w:rsidR="008E6C62" w:rsidRPr="00CC693C">
        <w:t xml:space="preserve">to </w:t>
      </w:r>
      <w:r w:rsidR="00462AB2">
        <w:t xml:space="preserve">2 December </w:t>
      </w:r>
      <w:r w:rsidR="00390983">
        <w:t>2016</w:t>
      </w:r>
      <w:r w:rsidR="008E6C62" w:rsidRPr="00CC693C">
        <w:t xml:space="preserve"> under the chairmanship of Mr. Ed de Jong (Netherlands). </w:t>
      </w:r>
      <w:r w:rsidR="003E6725" w:rsidRPr="00CC693C">
        <w:t xml:space="preserve">The </w:t>
      </w:r>
      <w:r w:rsidR="006945BE">
        <w:t xml:space="preserve">full </w:t>
      </w:r>
      <w:r w:rsidR="003E6725" w:rsidRPr="00CC693C">
        <w:t xml:space="preserve">report of the Working Group on Explosives </w:t>
      </w:r>
      <w:r w:rsidR="00462AB2">
        <w:t xml:space="preserve">has </w:t>
      </w:r>
      <w:r w:rsidR="003E6725" w:rsidRPr="00367DFB">
        <w:t>been circulated as INF.</w:t>
      </w:r>
      <w:r w:rsidR="00462AB2">
        <w:t xml:space="preserve">59 </w:t>
      </w:r>
      <w:r w:rsidR="003E6725" w:rsidRPr="00367DFB">
        <w:t xml:space="preserve">at the </w:t>
      </w:r>
      <w:r w:rsidR="00462AB2">
        <w:t>50</w:t>
      </w:r>
      <w:r w:rsidR="00462AB2">
        <w:rPr>
          <w:vertAlign w:val="superscript"/>
        </w:rPr>
        <w:t xml:space="preserve">th </w:t>
      </w:r>
      <w:r w:rsidR="003E6725" w:rsidRPr="00367DFB">
        <w:t>session of the TDG Sub-Committee</w:t>
      </w:r>
      <w:r w:rsidR="003E6725" w:rsidRPr="00367DFB">
        <w:rPr>
          <w:rStyle w:val="FootnoteReference"/>
        </w:rPr>
        <w:footnoteReference w:id="2"/>
      </w:r>
      <w:r w:rsidR="003E6725" w:rsidRPr="00367DFB">
        <w:t xml:space="preserve">. </w:t>
      </w:r>
    </w:p>
    <w:p w:rsidR="00CE0361" w:rsidRDefault="00353ECF" w:rsidP="00CE0361">
      <w:pPr>
        <w:pStyle w:val="SingleTxtG"/>
      </w:pPr>
      <w:r w:rsidRPr="00A54133">
        <w:t>3</w:t>
      </w:r>
      <w:r w:rsidR="008B6B2F" w:rsidRPr="00A54133">
        <w:t>.</w:t>
      </w:r>
      <w:r w:rsidR="008B6B2F" w:rsidRPr="00A54133">
        <w:tab/>
      </w:r>
      <w:r w:rsidR="00846EFC" w:rsidRPr="00A54133">
        <w:t xml:space="preserve">The TDG Sub-Committee endorsed the </w:t>
      </w:r>
      <w:r w:rsidR="00CE0361" w:rsidRPr="00A54133">
        <w:t xml:space="preserve">conclusions of the </w:t>
      </w:r>
      <w:r w:rsidR="00846EFC" w:rsidRPr="00A54133">
        <w:t xml:space="preserve">Explosives </w:t>
      </w:r>
      <w:r w:rsidR="00CE0361" w:rsidRPr="00A54133">
        <w:t>Working Group</w:t>
      </w:r>
      <w:r w:rsidR="00491122" w:rsidRPr="00A54133">
        <w:t xml:space="preserve"> with some exceptions and additional comments.</w:t>
      </w:r>
      <w:r w:rsidR="00846EFC" w:rsidRPr="00A54133">
        <w:t xml:space="preserve"> The</w:t>
      </w:r>
      <w:r w:rsidR="00AC58B3" w:rsidRPr="00A54133">
        <w:t>se</w:t>
      </w:r>
      <w:r w:rsidR="00846EFC" w:rsidRPr="00A54133">
        <w:t xml:space="preserve"> conclusions will be included in the final report of the </w:t>
      </w:r>
      <w:r w:rsidR="007E120B" w:rsidRPr="00A54133">
        <w:t xml:space="preserve">TDG </w:t>
      </w:r>
      <w:r w:rsidR="00846EFC" w:rsidRPr="00A54133">
        <w:t>Sub-Committee</w:t>
      </w:r>
      <w:r w:rsidR="00AC58B3" w:rsidRPr="00A54133">
        <w:t>.</w:t>
      </w:r>
    </w:p>
    <w:p w:rsidR="00677A43" w:rsidRPr="00CC693C" w:rsidRDefault="00677A43" w:rsidP="00677A43">
      <w:pPr>
        <w:pStyle w:val="HChG"/>
        <w:rPr>
          <w:rFonts w:eastAsia="MS Mincho"/>
          <w:lang w:eastAsia="ja-JP"/>
        </w:rPr>
      </w:pPr>
      <w:r w:rsidRPr="00CC693C">
        <w:rPr>
          <w:rFonts w:eastAsia="MS Mincho"/>
          <w:lang w:eastAsia="ja-JP"/>
        </w:rPr>
        <w:tab/>
      </w:r>
      <w:r w:rsidRPr="00CC693C">
        <w:rPr>
          <w:rFonts w:eastAsia="MS Mincho"/>
          <w:lang w:eastAsia="ja-JP"/>
        </w:rPr>
        <w:tab/>
        <w:t>Outcome of the discussions at the TDG Sub-Committee</w:t>
      </w:r>
    </w:p>
    <w:p w:rsidR="00F33B1E" w:rsidRDefault="00DD5E7B" w:rsidP="008059C3">
      <w:pPr>
        <w:pStyle w:val="SingleTxtG"/>
      </w:pPr>
      <w:r>
        <w:t>4</w:t>
      </w:r>
      <w:r w:rsidR="008059C3" w:rsidRPr="00B76D51">
        <w:t>.</w:t>
      </w:r>
      <w:r w:rsidR="008059C3" w:rsidRPr="00B76D51">
        <w:tab/>
      </w:r>
      <w:r>
        <w:t>This document contains t</w:t>
      </w:r>
      <w:r w:rsidR="000C2C4C" w:rsidRPr="00A54133">
        <w:t xml:space="preserve">he </w:t>
      </w:r>
      <w:r w:rsidR="009602EE" w:rsidRPr="00A54133">
        <w:t xml:space="preserve">paragraphs </w:t>
      </w:r>
      <w:r w:rsidR="000C2C4C" w:rsidRPr="00A54133">
        <w:t xml:space="preserve">of </w:t>
      </w:r>
      <w:r w:rsidR="008059C3" w:rsidRPr="00A54133">
        <w:t>the report of the Explosives Working Group</w:t>
      </w:r>
      <w:r w:rsidR="008059C3" w:rsidRPr="00B76D51">
        <w:t xml:space="preserve"> and of the draft</w:t>
      </w:r>
      <w:r w:rsidR="008059C3" w:rsidRPr="00CC693C">
        <w:t xml:space="preserve"> report of the TDG S</w:t>
      </w:r>
      <w:r w:rsidR="009602EE">
        <w:t>ub-Committee on its 50</w:t>
      </w:r>
      <w:r w:rsidR="008059C3" w:rsidRPr="00CC693C">
        <w:t>th session on matters of interest to the GHS Sub-Committee for information of the GHS Sub-Committee</w:t>
      </w:r>
      <w:r w:rsidR="00F33B1E">
        <w:t xml:space="preserve">. </w:t>
      </w:r>
      <w:r>
        <w:t xml:space="preserve">The paragraphs </w:t>
      </w:r>
      <w:r w:rsidRPr="00F33B1E">
        <w:t xml:space="preserve">of the draft report of the TDG Sub-Committee on its </w:t>
      </w:r>
      <w:r>
        <w:t>50</w:t>
      </w:r>
      <w:r w:rsidRPr="00F33B1E">
        <w:t xml:space="preserve">th session </w:t>
      </w:r>
      <w:r>
        <w:t xml:space="preserve">included </w:t>
      </w:r>
      <w:r w:rsidRPr="00F33B1E">
        <w:t xml:space="preserve">in this document </w:t>
      </w:r>
      <w:r>
        <w:t>take account of the corrections made by the TDG Sub-Committee during the adoption of the report.</w:t>
      </w:r>
      <w:r w:rsidRPr="00F33B1E">
        <w:t xml:space="preserve"> </w:t>
      </w:r>
      <w:r w:rsidRPr="00C76311">
        <w:t xml:space="preserve">The final version of the report </w:t>
      </w:r>
      <w:r>
        <w:t xml:space="preserve">will </w:t>
      </w:r>
      <w:r w:rsidRPr="00C76311">
        <w:t>be circulated as document ST/SG/AC.10/C.3/</w:t>
      </w:r>
      <w:r>
        <w:t>100</w:t>
      </w:r>
      <w:r>
        <w:t>.</w:t>
      </w:r>
      <w:r>
        <w:rPr>
          <w:rStyle w:val="FootnoteReference"/>
        </w:rPr>
        <w:footnoteReference w:id="3"/>
      </w:r>
    </w:p>
    <w:p w:rsidR="008059C3" w:rsidRPr="00CC693C" w:rsidRDefault="00DD5E7B" w:rsidP="008059C3">
      <w:pPr>
        <w:pStyle w:val="SingleTxtG"/>
      </w:pPr>
      <w:r>
        <w:lastRenderedPageBreak/>
        <w:t>5</w:t>
      </w:r>
      <w:r w:rsidR="008B6B2F" w:rsidRPr="00A54133">
        <w:t>.</w:t>
      </w:r>
      <w:r w:rsidR="008B6B2F" w:rsidRPr="00A54133">
        <w:tab/>
      </w:r>
      <w:r w:rsidR="00A3374D" w:rsidRPr="00A54133">
        <w:t>For ease of reference, the proposed consequential amendments t</w:t>
      </w:r>
      <w:r w:rsidR="00A54133">
        <w:t>o the GHS are</w:t>
      </w:r>
      <w:r w:rsidR="005D42A5">
        <w:t xml:space="preserve"> </w:t>
      </w:r>
      <w:r w:rsidR="00A54133">
        <w:t xml:space="preserve">reproduced in </w:t>
      </w:r>
      <w:r w:rsidR="00A3374D" w:rsidRPr="00A54133">
        <w:t xml:space="preserve">Annex </w:t>
      </w:r>
      <w:r w:rsidR="00A54133">
        <w:t xml:space="preserve">I </w:t>
      </w:r>
      <w:r w:rsidR="00A3374D" w:rsidRPr="00A54133">
        <w:t>to this document.</w:t>
      </w:r>
      <w:r w:rsidR="00A54133">
        <w:t xml:space="preserve"> Proposed amendments for the Manual of Tests and Criteria </w:t>
      </w:r>
      <w:r w:rsidR="005D42A5">
        <w:t>related to its</w:t>
      </w:r>
      <w:r w:rsidR="005D42A5" w:rsidRPr="00CC693C">
        <w:t xml:space="preserve"> use in the context of the GHS</w:t>
      </w:r>
      <w:r w:rsidR="005D42A5">
        <w:t xml:space="preserve"> </w:t>
      </w:r>
      <w:r w:rsidR="00A54133">
        <w:t>are reproduced in Annex II</w:t>
      </w:r>
    </w:p>
    <w:p w:rsidR="00FB57BB" w:rsidRDefault="00FB57BB" w:rsidP="00FB57BB">
      <w:pPr>
        <w:pStyle w:val="H23G"/>
      </w:pPr>
      <w:r>
        <w:t>Item 1</w:t>
      </w:r>
      <w:r w:rsidR="00CC693C" w:rsidRPr="00CC693C">
        <w:tab/>
      </w:r>
      <w:r>
        <w:tab/>
        <w:t>Definition of Class 1 (explosives) in Chapter 2.1 of the Model Regulations and the GHS</w:t>
      </w:r>
      <w:r w:rsidR="00B17513">
        <w:t xml:space="preserve"> (GHS agenda item 2 (a))</w:t>
      </w:r>
    </w:p>
    <w:p w:rsidR="00FB57BB" w:rsidRPr="00072495" w:rsidRDefault="00FB57BB" w:rsidP="00FB57BB">
      <w:pPr>
        <w:pStyle w:val="SingleTxtG"/>
        <w:spacing w:after="240" w:line="240" w:lineRule="auto"/>
        <w:ind w:right="39"/>
        <w:jc w:val="left"/>
        <w:rPr>
          <w:i/>
          <w:iCs/>
          <w:lang w:val="en-US"/>
        </w:rPr>
      </w:pPr>
      <w:r w:rsidRPr="00072495">
        <w:rPr>
          <w:i/>
        </w:rPr>
        <w:t>Document:</w:t>
      </w:r>
      <w:r w:rsidRPr="00072495">
        <w:rPr>
          <w:i/>
        </w:rPr>
        <w:tab/>
      </w:r>
      <w:r w:rsidRPr="00191C1C">
        <w:rPr>
          <w:i/>
          <w:iCs/>
          <w:lang w:val="en-US"/>
        </w:rPr>
        <w:t>ST/SG/AC.10/C.3/2016/53 - ST/SG/AC.10/C.4/2016/14 - (AEISG)</w:t>
      </w:r>
    </w:p>
    <w:p w:rsidR="005D42A5" w:rsidRPr="00A54BE6" w:rsidRDefault="00A54BE6" w:rsidP="00A54BE6">
      <w:pPr>
        <w:pStyle w:val="H4G"/>
        <w:rPr>
          <w:b/>
        </w:rPr>
      </w:pPr>
      <w:r w:rsidRPr="00A54BE6">
        <w:rPr>
          <w:b/>
        </w:rPr>
        <w:tab/>
      </w:r>
      <w:r w:rsidRPr="00A54BE6">
        <w:rPr>
          <w:b/>
        </w:rPr>
        <w:tab/>
      </w:r>
      <w:r>
        <w:rPr>
          <w:b/>
        </w:rPr>
        <w:t xml:space="preserve">Working Group on </w:t>
      </w:r>
      <w:r w:rsidR="005D42A5" w:rsidRPr="00A54BE6">
        <w:rPr>
          <w:b/>
        </w:rPr>
        <w:t xml:space="preserve">Explosives </w:t>
      </w:r>
    </w:p>
    <w:p w:rsidR="00E537A6" w:rsidRDefault="00FB57BB" w:rsidP="00FB57BB">
      <w:pPr>
        <w:pStyle w:val="SingleTxtG"/>
      </w:pPr>
      <w:r w:rsidRPr="00A54BE6">
        <w:rPr>
          <w:u w:val="single"/>
        </w:rPr>
        <w:t>Discussion:</w:t>
      </w:r>
      <w:r w:rsidRPr="00FB57BB">
        <w:t xml:space="preserve">  The phrase “a practical explosive or pyrotechnic effect”, EXCLUDING THE COMMA, is used in several parts of the existing Model Regulations (nineteenth revised edition), the Manual of Tests and Criteria (sixth revised edition) and the GHS (sixth revised edition). The phrase “a practical, explosive or pyrotechnic effect”, WITH COMMA, appears in 51.2.2 (a) of the Manual of Tests and Criteria (sixth revised edition) and 2.17.2.1 (a) of the GHS. </w:t>
      </w:r>
    </w:p>
    <w:p w:rsidR="00FB57BB" w:rsidRPr="00FB57BB" w:rsidRDefault="00FB57BB" w:rsidP="00FB57BB">
      <w:pPr>
        <w:pStyle w:val="SingleTxtG"/>
      </w:pPr>
      <w:r w:rsidRPr="00FB57BB">
        <w:t>These sections were amended at the forty-ninth session of the TDG Sub-Committee and at the thirty-first session of the GHS Sub-Committee to exclude the comma amongst other things (ST/SG/AC.10/C.3/98, paragraph 138 and ST/SG/AC.10/C.4/62, paragraph 23). AEISG noted that “a practical, explosive or pyrotechnic effect”, WITH COMMA, still appears in several places. Consensus of the EWG is that corrections should be made.</w:t>
      </w:r>
    </w:p>
    <w:p w:rsidR="00E537A6" w:rsidRDefault="00FB57BB" w:rsidP="00FB57BB">
      <w:pPr>
        <w:pStyle w:val="SingleTxtG"/>
      </w:pPr>
      <w:r w:rsidRPr="00A54BE6">
        <w:rPr>
          <w:i/>
          <w:u w:val="single"/>
        </w:rPr>
        <w:t>Conclusion</w:t>
      </w:r>
      <w:r w:rsidRPr="00FB57BB">
        <w:t>:  Remove the comma after the word “practical” in 2.1.1.1</w:t>
      </w:r>
      <w:r>
        <w:t xml:space="preserve"> </w:t>
      </w:r>
      <w:r w:rsidRPr="00FB57BB">
        <w:t xml:space="preserve">(c) of the Model Regulations, 2.1.1.2 (c) of the GHS, and Note b to Table 2.1.1 of the GHS. </w:t>
      </w:r>
    </w:p>
    <w:p w:rsidR="00FB57BB" w:rsidRPr="00FB57BB" w:rsidRDefault="00E537A6" w:rsidP="00FB57BB">
      <w:pPr>
        <w:pStyle w:val="SingleTxtG"/>
      </w:pPr>
      <w:r>
        <w:t>The proposed amendments to Chapter 2.1 of the GHS are shown in the annex to this document.</w:t>
      </w:r>
    </w:p>
    <w:p w:rsidR="00E537A6" w:rsidRPr="008B2859" w:rsidRDefault="00E537A6" w:rsidP="00E537A6">
      <w:pPr>
        <w:pStyle w:val="SingleTxtG"/>
        <w:rPr>
          <w:i/>
        </w:rPr>
      </w:pPr>
      <w:r w:rsidRPr="00E537A6">
        <w:rPr>
          <w:i/>
        </w:rPr>
        <w:t xml:space="preserve">(Ref.Doc: Report of the Explosives Working Group to the TDG Sub-Committee, INF.59 (50th </w:t>
      </w:r>
      <w:r w:rsidRPr="008B2859">
        <w:rPr>
          <w:i/>
        </w:rPr>
        <w:t xml:space="preserve">session), paragraph </w:t>
      </w:r>
      <w:r w:rsidR="004506F9" w:rsidRPr="008B2859">
        <w:rPr>
          <w:i/>
        </w:rPr>
        <w:t>5</w:t>
      </w:r>
      <w:r w:rsidRPr="008B2859">
        <w:rPr>
          <w:i/>
        </w:rPr>
        <w:t>)</w:t>
      </w:r>
    </w:p>
    <w:p w:rsidR="00772B67" w:rsidRPr="00A54BE6" w:rsidRDefault="00474E93" w:rsidP="00474E93">
      <w:pPr>
        <w:pStyle w:val="SingleTxtG"/>
        <w:ind w:left="567" w:firstLine="567"/>
        <w:rPr>
          <w:b/>
          <w:i/>
        </w:rPr>
      </w:pPr>
      <w:r w:rsidRPr="00011120">
        <w:rPr>
          <w:b/>
          <w:i/>
          <w:u w:val="single"/>
        </w:rPr>
        <w:t xml:space="preserve">Conclusion </w:t>
      </w:r>
      <w:r w:rsidR="00772B67" w:rsidRPr="00011120">
        <w:rPr>
          <w:b/>
          <w:i/>
          <w:u w:val="single"/>
        </w:rPr>
        <w:t>by the TDG Sub-Committee</w:t>
      </w:r>
    </w:p>
    <w:p w:rsidR="00C61A46" w:rsidRPr="00C61A46" w:rsidRDefault="00772B67" w:rsidP="00E537A6">
      <w:pPr>
        <w:pStyle w:val="SingleTxtG"/>
      </w:pPr>
      <w:r w:rsidRPr="008B2859">
        <w:t xml:space="preserve">The </w:t>
      </w:r>
      <w:r w:rsidR="00C61A46" w:rsidRPr="008B2859">
        <w:t>TDG Sub-Committee endorsed the conclusion of the Working Group</w:t>
      </w:r>
      <w:r w:rsidRPr="008B2859">
        <w:t>.</w:t>
      </w:r>
    </w:p>
    <w:p w:rsidR="000D4FF6" w:rsidRDefault="002E5C9C" w:rsidP="000D4FF6">
      <w:pPr>
        <w:pStyle w:val="H23G"/>
        <w:rPr>
          <w:lang w:eastAsia="ja-JP"/>
        </w:rPr>
      </w:pPr>
      <w:r w:rsidRPr="00CC693C">
        <w:rPr>
          <w:lang w:eastAsia="ja-JP"/>
        </w:rPr>
        <w:tab/>
      </w:r>
      <w:r w:rsidR="000D4FF6" w:rsidRPr="004B14E2">
        <w:t xml:space="preserve">Item </w:t>
      </w:r>
      <w:r w:rsidR="000D4FF6">
        <w:t>2</w:t>
      </w:r>
      <w:r w:rsidR="000D4FF6" w:rsidRPr="004B14E2">
        <w:tab/>
      </w:r>
      <w:r w:rsidR="000D4FF6" w:rsidRPr="004B14E2">
        <w:rPr>
          <w:lang w:eastAsia="ja-JP"/>
        </w:rPr>
        <w:t>Classification criteria and hazard communication for flammable gases (GHS agenda item 2 (b))</w:t>
      </w:r>
    </w:p>
    <w:p w:rsidR="000D4FF6" w:rsidRPr="008B2859" w:rsidRDefault="000D4FF6" w:rsidP="000D4FF6">
      <w:pPr>
        <w:pStyle w:val="SingleTxtG"/>
        <w:jc w:val="left"/>
      </w:pPr>
      <w:r>
        <w:rPr>
          <w:i/>
        </w:rPr>
        <w:t>Document:</w:t>
      </w:r>
      <w:r>
        <w:rPr>
          <w:i/>
        </w:rPr>
        <w:tab/>
      </w:r>
      <w:r w:rsidRPr="008B2859">
        <w:t>ST/SG/AC.10/C.3/2016/58 - ST/SG/AC.10/C.4/2016/12 (Belgium, Japan)</w:t>
      </w:r>
    </w:p>
    <w:p w:rsidR="000D4FF6" w:rsidRPr="008B2859" w:rsidRDefault="000D4FF6" w:rsidP="005D42A5">
      <w:pPr>
        <w:pStyle w:val="SingleTxtG"/>
        <w:ind w:left="3119" w:hanging="1985"/>
        <w:jc w:val="left"/>
      </w:pPr>
      <w:r w:rsidRPr="008B2859">
        <w:rPr>
          <w:i/>
        </w:rPr>
        <w:t>Informal documents:</w:t>
      </w:r>
      <w:r w:rsidRPr="008B2859">
        <w:tab/>
        <w:t>TDG/50/INF.12 –</w:t>
      </w:r>
      <w:r w:rsidR="005D42A5">
        <w:t xml:space="preserve"> GHS/32/INF.9 (Belgium,Japan)</w:t>
      </w:r>
      <w:r w:rsidR="005D42A5">
        <w:br/>
      </w:r>
      <w:r w:rsidRPr="008B2859">
        <w:t>TDG/50/INF.32 – GHS/32/INF.18  (Belgium, Japan)</w:t>
      </w:r>
      <w:r w:rsidRPr="008B2859">
        <w:br/>
        <w:t>TDG/50/INF.15 – GHS/32/INF.11 (Secretariat)</w:t>
      </w:r>
      <w:r w:rsidRPr="008B2859">
        <w:br/>
        <w:t>TDG/50/INF.35 – GHS/32/INF.20 (EIGA)</w:t>
      </w:r>
    </w:p>
    <w:p w:rsidR="000D4FF6" w:rsidRPr="00A54BE6" w:rsidRDefault="000D4FF6" w:rsidP="000D4FF6">
      <w:pPr>
        <w:pStyle w:val="SingleTxtG"/>
        <w:rPr>
          <w:b/>
          <w:i/>
        </w:rPr>
      </w:pPr>
      <w:r w:rsidRPr="00011120">
        <w:rPr>
          <w:b/>
          <w:i/>
          <w:u w:val="single"/>
        </w:rPr>
        <w:t>Conclusion and remarks by the TDG Sub-Committee</w:t>
      </w:r>
    </w:p>
    <w:p w:rsidR="000D4FF6" w:rsidRDefault="000D4FF6" w:rsidP="000D4FF6">
      <w:pPr>
        <w:pStyle w:val="SingleTxtG"/>
        <w:rPr>
          <w:b/>
          <w:sz w:val="24"/>
        </w:rPr>
      </w:pPr>
      <w:r>
        <w:t>“77.</w:t>
      </w:r>
      <w:r>
        <w:tab/>
        <w:t>The Sub-Committee recommended that the GHS Sub-Committee adopt the amendments to the GHS proposed by Belgium and Japan on behalf of the informal working group on classification criteria and hazard communication elements for flammable gases in document -/C.3/2016/58 and informal document INF.32 with the modifications proposed by the Secretariat in INF.15.</w:t>
      </w:r>
    </w:p>
    <w:p w:rsidR="000D4FF6" w:rsidRDefault="000D4FF6" w:rsidP="000D4FF6">
      <w:pPr>
        <w:pStyle w:val="SingleTxtG"/>
      </w:pPr>
      <w:r>
        <w:t>78.</w:t>
      </w:r>
      <w:r>
        <w:tab/>
        <w:t>For the options proposed in INF.32 for an explanatory note b) to table A 1.2, the Sub-Committee felt that no note was necessary since the proposed note related to the Division 2.1 transport pictogram which was required in transport for the pyrophoric gases and chemically unstable gases of the GHS hazard category 1A.</w:t>
      </w:r>
    </w:p>
    <w:p w:rsidR="000D4FF6" w:rsidRDefault="000D4FF6" w:rsidP="000D4FF6">
      <w:pPr>
        <w:pStyle w:val="SingleTxtG"/>
      </w:pPr>
      <w:r>
        <w:lastRenderedPageBreak/>
        <w:t>79.</w:t>
      </w:r>
      <w:r>
        <w:tab/>
        <w:t>For the EIGA proposal in informal document INF.35, the general view was that it would be logical to amend the examples given in 2.2.5 and 2.4.4.2 to take account of the changes to ISO 10156:1996 reflected in ISO 10156:2010, but the Sub-Committee felt that it was up to the GHS Sub-Committee to decide whether the example in 2.2.5 should be updated or both examples in 2.4.4.2 and 2.2.5 should simply be deleted as recommended by EIGA.”</w:t>
      </w:r>
    </w:p>
    <w:p w:rsidR="000D4FF6" w:rsidRDefault="000D4FF6" w:rsidP="000D4FF6">
      <w:pPr>
        <w:pStyle w:val="SingleTxtG"/>
        <w:rPr>
          <w:lang w:eastAsia="ja-JP"/>
        </w:rPr>
      </w:pPr>
      <w:r w:rsidRPr="004506F9">
        <w:rPr>
          <w:i/>
        </w:rPr>
        <w:t xml:space="preserve">(Ref.Doc: </w:t>
      </w:r>
      <w:r>
        <w:rPr>
          <w:i/>
        </w:rPr>
        <w:t>Draft r</w:t>
      </w:r>
      <w:r w:rsidRPr="004506F9">
        <w:rPr>
          <w:i/>
        </w:rPr>
        <w:t>eport of the TDG Sub-Committee</w:t>
      </w:r>
      <w:r>
        <w:rPr>
          <w:i/>
        </w:rPr>
        <w:t xml:space="preserve"> on its 50</w:t>
      </w:r>
      <w:r w:rsidRPr="00772B67">
        <w:rPr>
          <w:i/>
          <w:vertAlign w:val="superscript"/>
        </w:rPr>
        <w:t>th</w:t>
      </w:r>
      <w:r>
        <w:rPr>
          <w:i/>
        </w:rPr>
        <w:t xml:space="preserve"> session, ST/ST/AC.10/C.4/2016/CRP.3/Add.11, paragraphs 77 to 79, as amended during the report reading)</w:t>
      </w:r>
    </w:p>
    <w:p w:rsidR="000D4FF6" w:rsidRDefault="000D4FF6" w:rsidP="000D4FF6">
      <w:pPr>
        <w:pStyle w:val="H23G"/>
        <w:rPr>
          <w:lang w:eastAsia="ja-JP"/>
        </w:rPr>
      </w:pPr>
      <w:r w:rsidRPr="004B14E2">
        <w:t xml:space="preserve">Item </w:t>
      </w:r>
      <w:r>
        <w:t>3</w:t>
      </w:r>
      <w:r w:rsidRPr="004B14E2">
        <w:tab/>
      </w:r>
      <w:r w:rsidRPr="004B14E2">
        <w:tab/>
      </w:r>
      <w:r w:rsidRPr="004B14E2">
        <w:rPr>
          <w:lang w:eastAsia="ja-JP"/>
        </w:rPr>
        <w:t>Classification of flammable liquids (GHS agenda item 2 (b))</w:t>
      </w:r>
    </w:p>
    <w:p w:rsidR="000D4FF6" w:rsidRPr="008B2859" w:rsidRDefault="000D4FF6" w:rsidP="000D4FF6">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7440"/>
        </w:tabs>
      </w:pPr>
      <w:r w:rsidRPr="008B2859">
        <w:rPr>
          <w:i/>
        </w:rPr>
        <w:t>Document:</w:t>
      </w:r>
      <w:r w:rsidRPr="008B2859">
        <w:rPr>
          <w:i/>
        </w:rPr>
        <w:tab/>
      </w:r>
      <w:r w:rsidRPr="008B2859">
        <w:rPr>
          <w:i/>
        </w:rPr>
        <w:tab/>
      </w:r>
      <w:r w:rsidRPr="008B2859">
        <w:t>ST/SG/AC.10/C.3/2016/62</w:t>
      </w:r>
      <w:r w:rsidRPr="008B2859">
        <w:softHyphen/>
        <w:t xml:space="preserve"> - ST/SG/AC.10/C.4/2016/13 (Germany)</w:t>
      </w:r>
    </w:p>
    <w:p w:rsidR="000D4FF6" w:rsidRPr="00A54BE6" w:rsidRDefault="000D4FF6" w:rsidP="000D4FF6">
      <w:pPr>
        <w:pStyle w:val="SingleTxtG"/>
        <w:rPr>
          <w:b/>
          <w:i/>
        </w:rPr>
      </w:pPr>
      <w:r w:rsidRPr="00011120">
        <w:rPr>
          <w:b/>
          <w:i/>
          <w:u w:val="single"/>
        </w:rPr>
        <w:t>Conclusion and remarks by the TDG Sub-Committee</w:t>
      </w:r>
    </w:p>
    <w:p w:rsidR="000D4FF6" w:rsidRDefault="005D42A5" w:rsidP="000D4FF6">
      <w:pPr>
        <w:pStyle w:val="SingleTxtG"/>
        <w:rPr>
          <w:lang w:eastAsia="ja-JP"/>
        </w:rPr>
      </w:pPr>
      <w:r>
        <w:t>“</w:t>
      </w:r>
      <w:r w:rsidR="000D4FF6">
        <w:t>80.</w:t>
      </w:r>
      <w:r w:rsidR="000D4FF6">
        <w:tab/>
        <w:t>Some experts said that they had not had enough time to evaluate the downstream consequences of the corrections proposed by Germany. The Sub-Committee noted that the corrections were not intended to modify the current transport criteria, and if this were the case, had no objection to the corrections proposed if deemed relevant by the GHS Sub-Committee.</w:t>
      </w:r>
      <w:r>
        <w:t>”</w:t>
      </w:r>
    </w:p>
    <w:p w:rsidR="000D4FF6" w:rsidRDefault="000D4FF6" w:rsidP="000D4FF6">
      <w:pPr>
        <w:pStyle w:val="SingleTxtG"/>
        <w:rPr>
          <w:lang w:eastAsia="ja-JP"/>
        </w:rPr>
      </w:pPr>
      <w:r w:rsidRPr="004506F9">
        <w:rPr>
          <w:i/>
        </w:rPr>
        <w:t xml:space="preserve">(Ref.Doc: </w:t>
      </w:r>
      <w:r>
        <w:rPr>
          <w:i/>
        </w:rPr>
        <w:t>Draft r</w:t>
      </w:r>
      <w:r w:rsidRPr="004506F9">
        <w:rPr>
          <w:i/>
        </w:rPr>
        <w:t>eport of the TDG Sub-Committee</w:t>
      </w:r>
      <w:r>
        <w:rPr>
          <w:i/>
        </w:rPr>
        <w:t xml:space="preserve"> on its 50</w:t>
      </w:r>
      <w:r w:rsidRPr="00772B67">
        <w:rPr>
          <w:i/>
          <w:vertAlign w:val="superscript"/>
        </w:rPr>
        <w:t>th</w:t>
      </w:r>
      <w:r>
        <w:rPr>
          <w:i/>
        </w:rPr>
        <w:t xml:space="preserve"> session, ST/ST/AC.10/C.4/2016/CRP.3/Add.11, paragraph 80)</w:t>
      </w:r>
    </w:p>
    <w:p w:rsidR="000D4FF6" w:rsidRDefault="000D4FF6" w:rsidP="000D4FF6">
      <w:pPr>
        <w:pStyle w:val="H23G"/>
        <w:rPr>
          <w:lang w:eastAsia="ja-JP"/>
        </w:rPr>
      </w:pPr>
      <w:r w:rsidRPr="008B2859">
        <w:t>Item 4</w:t>
      </w:r>
      <w:r w:rsidRPr="008B2859">
        <w:tab/>
      </w:r>
      <w:r w:rsidRPr="008B2859">
        <w:tab/>
      </w:r>
      <w:r w:rsidRPr="008B2859">
        <w:rPr>
          <w:lang w:eastAsia="ja-JP"/>
        </w:rPr>
        <w:t>Tests and criteria for oxidizing liquids and oxidizing solids (GHS agenda item 2 (b))</w:t>
      </w:r>
    </w:p>
    <w:p w:rsidR="000D4FF6" w:rsidRPr="008B2859" w:rsidRDefault="000D4FF6" w:rsidP="000D4FF6">
      <w:pPr>
        <w:pStyle w:val="SingleTxtG"/>
      </w:pPr>
      <w:r w:rsidRPr="008B2859">
        <w:rPr>
          <w:i/>
        </w:rPr>
        <w:t>Document</w:t>
      </w:r>
      <w:r w:rsidRPr="008B2859">
        <w:t xml:space="preserve">: </w:t>
      </w:r>
      <w:r w:rsidRPr="008B2859">
        <w:tab/>
      </w:r>
      <w:r w:rsidRPr="008B2859">
        <w:tab/>
        <w:t>ST/SG/AC.10/C.3/2016/73 - ST/SG/AC.10/C.</w:t>
      </w:r>
      <w:r>
        <w:t>4</w:t>
      </w:r>
      <w:r w:rsidRPr="008B2859">
        <w:t>/2016/</w:t>
      </w:r>
      <w:r>
        <w:t>15</w:t>
      </w:r>
      <w:r w:rsidRPr="008B2859">
        <w:t xml:space="preserve"> (France)</w:t>
      </w:r>
    </w:p>
    <w:p w:rsidR="000D4FF6" w:rsidRPr="00A54BE6" w:rsidRDefault="000D4FF6" w:rsidP="000D4FF6">
      <w:pPr>
        <w:pStyle w:val="SingleTxtG"/>
        <w:rPr>
          <w:b/>
          <w:i/>
        </w:rPr>
      </w:pPr>
      <w:r w:rsidRPr="00011120">
        <w:rPr>
          <w:b/>
          <w:i/>
          <w:u w:val="single"/>
        </w:rPr>
        <w:t>Conclusion and remarks by the TDG Sub-Committee</w:t>
      </w:r>
    </w:p>
    <w:p w:rsidR="000D4FF6" w:rsidRDefault="000D4FF6" w:rsidP="000D4FF6">
      <w:pPr>
        <w:pStyle w:val="SingleTxtG"/>
      </w:pPr>
      <w:r>
        <w:t>“83.</w:t>
      </w:r>
      <w:r>
        <w:tab/>
      </w:r>
      <w:r w:rsidRPr="00A347B6">
        <w:t>The Sub-Committee took note of the final results</w:t>
      </w:r>
      <w:r>
        <w:t xml:space="preserve"> of the Round Robin testing programme and adopted proposals 1 to 4. For the cellulose specifications for tests O.1 and O.3, it was noted that the apparent density of 170 kg/m</w:t>
      </w:r>
      <w:r w:rsidRPr="00A347B6">
        <w:rPr>
          <w:vertAlign w:val="superscript"/>
        </w:rPr>
        <w:t>3</w:t>
      </w:r>
      <w:r>
        <w:t xml:space="preserve"> was approximate and the texts was modified accordingly.</w:t>
      </w:r>
    </w:p>
    <w:p w:rsidR="000D4FF6" w:rsidRDefault="000D4FF6" w:rsidP="000D4FF6">
      <w:pPr>
        <w:pStyle w:val="SingleTxtG"/>
      </w:pPr>
      <w:r>
        <w:t>84.</w:t>
      </w:r>
      <w:r>
        <w:tab/>
        <w:t>The Sub-Committee noted that some improvements in test materials and procedures might be needed as a consequence of the replacement of cellulose and therefore adopted proposal 5 to keep this item in the programme of work of the next biennium.</w:t>
      </w:r>
    </w:p>
    <w:p w:rsidR="000D4FF6" w:rsidRDefault="000D4FF6" w:rsidP="000D4FF6">
      <w:pPr>
        <w:pStyle w:val="SingleTxtG"/>
      </w:pPr>
      <w:r>
        <w:t>85.</w:t>
      </w:r>
      <w:r>
        <w:tab/>
        <w:t>The Sub-Committee agreed that the replacement of the cellulose for future tests does not invalidate the test results obtained with the cellulose grade currently referred to in the Manual.</w:t>
      </w:r>
    </w:p>
    <w:p w:rsidR="000D4FF6" w:rsidRDefault="000D4FF6" w:rsidP="000D4FF6">
      <w:pPr>
        <w:pStyle w:val="SingleTxtG"/>
      </w:pPr>
      <w:r>
        <w:t>86.</w:t>
      </w:r>
      <w:r>
        <w:tab/>
        <w:t>The Sub-Committee invited the GHS Sub-Committee to take note of these developments and to concur with the conclusions.”</w:t>
      </w:r>
    </w:p>
    <w:p w:rsidR="000D4FF6" w:rsidRPr="004B14E2" w:rsidRDefault="000D4FF6" w:rsidP="000D4FF6">
      <w:pPr>
        <w:pStyle w:val="SingleTxtG"/>
        <w:rPr>
          <w:lang w:eastAsia="ja-JP"/>
        </w:rPr>
      </w:pPr>
      <w:r w:rsidRPr="004506F9">
        <w:rPr>
          <w:i/>
        </w:rPr>
        <w:t xml:space="preserve">(Ref.Doc: </w:t>
      </w:r>
      <w:r>
        <w:rPr>
          <w:i/>
        </w:rPr>
        <w:t>Draft r</w:t>
      </w:r>
      <w:r w:rsidRPr="004506F9">
        <w:rPr>
          <w:i/>
        </w:rPr>
        <w:t>eport of the TDG Sub-Committee</w:t>
      </w:r>
      <w:r>
        <w:rPr>
          <w:i/>
        </w:rPr>
        <w:t xml:space="preserve"> on its 50</w:t>
      </w:r>
      <w:r w:rsidRPr="00772B67">
        <w:rPr>
          <w:i/>
          <w:vertAlign w:val="superscript"/>
        </w:rPr>
        <w:t>th</w:t>
      </w:r>
      <w:r>
        <w:rPr>
          <w:i/>
        </w:rPr>
        <w:t xml:space="preserve"> session, ST/ST/AC.10/C.4/2016/CRP.3/Add.12, paragraphs 83 to 86 as amended during the report reading)</w:t>
      </w:r>
    </w:p>
    <w:p w:rsidR="000C2C4C" w:rsidRDefault="008B2859" w:rsidP="00011120">
      <w:pPr>
        <w:pStyle w:val="H23G"/>
      </w:pPr>
      <w:r>
        <w:rPr>
          <w:lang w:eastAsia="ja-JP"/>
        </w:rPr>
        <w:lastRenderedPageBreak/>
        <w:tab/>
        <w:t>Item 5</w:t>
      </w:r>
      <w:r w:rsidR="00A713A9">
        <w:rPr>
          <w:lang w:eastAsia="ja-JP"/>
        </w:rPr>
        <w:tab/>
      </w:r>
      <w:r w:rsidR="000C2C4C" w:rsidRPr="00CC693C">
        <w:t>Use of the Manual of Tests and Criteria in the context of the GHS (GHS agenda item 2</w:t>
      </w:r>
      <w:r w:rsidR="00B17513">
        <w:t xml:space="preserve"> (b)</w:t>
      </w:r>
      <w:r w:rsidR="000C2C4C" w:rsidRPr="00CC693C">
        <w:t>)</w:t>
      </w:r>
    </w:p>
    <w:p w:rsidR="004506F9" w:rsidRPr="004506F9" w:rsidRDefault="004506F9" w:rsidP="00011120">
      <w:pPr>
        <w:pStyle w:val="SingleTxtG"/>
        <w:keepNext/>
        <w:keepLines/>
        <w:ind w:left="2410" w:hanging="1276"/>
      </w:pPr>
      <w:r w:rsidRPr="004506F9">
        <w:t>Documents:</w:t>
      </w:r>
      <w:r w:rsidRPr="004506F9">
        <w:tab/>
        <w:t>ST/SG/AC.10/C.3/201</w:t>
      </w:r>
      <w:r w:rsidR="008B2859">
        <w:t>6/83 - ST/SG/AC.10/C.4/2016/16</w:t>
      </w:r>
      <w:r w:rsidRPr="004506F9">
        <w:t xml:space="preserve"> (Chairman of the Working Group on Explosives)</w:t>
      </w:r>
    </w:p>
    <w:p w:rsidR="004506F9" w:rsidRPr="008B2859" w:rsidRDefault="004506F9" w:rsidP="00011120">
      <w:pPr>
        <w:pStyle w:val="SingleTxtG"/>
        <w:keepNext/>
        <w:keepLines/>
        <w:tabs>
          <w:tab w:val="left" w:pos="3119"/>
        </w:tabs>
        <w:ind w:left="3119" w:hanging="1985"/>
        <w:jc w:val="left"/>
      </w:pPr>
      <w:r w:rsidRPr="004506F9">
        <w:t xml:space="preserve">Informal documents: </w:t>
      </w:r>
      <w:r w:rsidRPr="004506F9">
        <w:tab/>
      </w:r>
      <w:r w:rsidR="008B2859">
        <w:t>T</w:t>
      </w:r>
      <w:r w:rsidRPr="004506F9">
        <w:t>DG/50/INF.7- GHS/32/INF.5 and Adds. 1 – 5 (</w:t>
      </w:r>
      <w:r w:rsidR="008B2859">
        <w:t xml:space="preserve">Chairman of the </w:t>
      </w:r>
      <w:r w:rsidRPr="004506F9">
        <w:t xml:space="preserve">Working Group </w:t>
      </w:r>
      <w:r w:rsidR="008B2859" w:rsidRPr="004506F9">
        <w:t>on Explosives</w:t>
      </w:r>
      <w:r w:rsidRPr="004506F9">
        <w:t>)</w:t>
      </w:r>
      <w:r w:rsidR="008B2859">
        <w:br/>
      </w:r>
      <w:r w:rsidRPr="008B2859">
        <w:t>TDG/50/INF.14 - GHS/32/INF.10 (Germany)</w:t>
      </w:r>
      <w:r w:rsidR="008B2859">
        <w:br/>
      </w:r>
      <w:r w:rsidRPr="008B2859">
        <w:t>TDG/50/INF.17 - GHS/32/INF.14 (USA</w:t>
      </w:r>
      <w:r w:rsidR="008B2859">
        <w:t>,</w:t>
      </w:r>
      <w:r w:rsidRPr="008B2859">
        <w:t xml:space="preserve"> Canada)</w:t>
      </w:r>
    </w:p>
    <w:p w:rsidR="00A54BE6" w:rsidRDefault="00A54BE6" w:rsidP="00A54BE6">
      <w:pPr>
        <w:pStyle w:val="H4G"/>
        <w:rPr>
          <w:b/>
          <w:u w:val="single"/>
        </w:rPr>
      </w:pPr>
      <w:r w:rsidRPr="00A54BE6">
        <w:rPr>
          <w:b/>
        </w:rPr>
        <w:tab/>
      </w:r>
      <w:r w:rsidRPr="00A54BE6">
        <w:rPr>
          <w:b/>
        </w:rPr>
        <w:tab/>
      </w:r>
      <w:r>
        <w:rPr>
          <w:b/>
        </w:rPr>
        <w:t xml:space="preserve">Working Group on </w:t>
      </w:r>
      <w:r w:rsidRPr="00A54BE6">
        <w:rPr>
          <w:b/>
        </w:rPr>
        <w:t>Explosives</w:t>
      </w:r>
    </w:p>
    <w:p w:rsidR="004506F9" w:rsidRPr="004506F9" w:rsidRDefault="004506F9" w:rsidP="004506F9">
      <w:pPr>
        <w:pStyle w:val="SingleTxtG"/>
      </w:pPr>
      <w:r w:rsidRPr="00A54BE6">
        <w:rPr>
          <w:u w:val="single"/>
        </w:rPr>
        <w:t>Discussion:</w:t>
      </w:r>
      <w:r w:rsidRPr="004506F9">
        <w:t xml:space="preserve">  Efforts to edit the text in sections 1 and 10 led to a discussion on the relationship between revisions to the Manual and the scope of GHS chapter 2.1 and whether the tests needed to arrive at division level should be amended to accommodate GHS if testing will only be carried out in transport packaging.  After further discussion, it was decided to focus on the remainder of Part I, as well as the appendices.  As suggested by the USA and Canada in INF.17, it was agreed that amendments to the introductory texts and the rest of the Manual should be addressed</w:t>
      </w:r>
      <w:r>
        <w:t xml:space="preserve"> further in the next biennium.</w:t>
      </w:r>
    </w:p>
    <w:p w:rsidR="00E54E89" w:rsidRDefault="004506F9" w:rsidP="00E54E89">
      <w:pPr>
        <w:pStyle w:val="SingleTxtG"/>
      </w:pPr>
      <w:r w:rsidRPr="00A54BE6">
        <w:rPr>
          <w:u w:val="single"/>
        </w:rPr>
        <w:t>Conclusion:</w:t>
      </w:r>
      <w:r w:rsidRPr="004506F9">
        <w:t xml:space="preserve">   Adopt agreed amendments</w:t>
      </w:r>
      <w:r>
        <w:t xml:space="preserve"> to the Manual of Tests and Criteria</w:t>
      </w:r>
      <w:r w:rsidR="00772B67">
        <w:rPr>
          <w:rStyle w:val="FootnoteReference"/>
        </w:rPr>
        <w:footnoteReference w:id="4"/>
      </w:r>
      <w:r w:rsidRPr="004506F9">
        <w:t xml:space="preserve">. </w:t>
      </w:r>
    </w:p>
    <w:p w:rsidR="00E54E89" w:rsidRPr="004506F9" w:rsidRDefault="00E54E89" w:rsidP="00E54E89">
      <w:pPr>
        <w:pStyle w:val="SingleTxtG"/>
      </w:pPr>
      <w:r w:rsidRPr="004506F9">
        <w:rPr>
          <w:i/>
        </w:rPr>
        <w:t xml:space="preserve">(Ref.Doc: Report of the Explosives Working Group to the TDG Sub-Committee, INF.59, 50th </w:t>
      </w:r>
      <w:r w:rsidR="00E03623">
        <w:rPr>
          <w:i/>
        </w:rPr>
        <w:t>session</w:t>
      </w:r>
      <w:r w:rsidRPr="004506F9">
        <w:rPr>
          <w:i/>
        </w:rPr>
        <w:t>, paragraph 11</w:t>
      </w:r>
      <w:r w:rsidR="00E03623">
        <w:rPr>
          <w:i/>
        </w:rPr>
        <w:t>)</w:t>
      </w:r>
    </w:p>
    <w:p w:rsidR="00772B67" w:rsidRPr="00A54BE6" w:rsidRDefault="00474E93" w:rsidP="00772B67">
      <w:pPr>
        <w:pStyle w:val="SingleTxtG"/>
        <w:rPr>
          <w:b/>
          <w:i/>
        </w:rPr>
      </w:pPr>
      <w:r w:rsidRPr="00011120">
        <w:rPr>
          <w:b/>
          <w:i/>
          <w:u w:val="single"/>
        </w:rPr>
        <w:t xml:space="preserve">Conclusion and remarks by the </w:t>
      </w:r>
      <w:r w:rsidR="00772B67" w:rsidRPr="00011120">
        <w:rPr>
          <w:b/>
          <w:i/>
          <w:u w:val="single"/>
        </w:rPr>
        <w:t>TDG Sub-Committee</w:t>
      </w:r>
    </w:p>
    <w:p w:rsidR="00474E93" w:rsidRDefault="00474E93" w:rsidP="00772B67">
      <w:pPr>
        <w:pStyle w:val="SingleTxtG"/>
      </w:pPr>
      <w:r w:rsidRPr="00474E93">
        <w:t xml:space="preserve">The Sub-Committee endorsed the </w:t>
      </w:r>
      <w:r>
        <w:t xml:space="preserve">conclusions </w:t>
      </w:r>
      <w:r w:rsidRPr="00474E93">
        <w:t>of the Working Group</w:t>
      </w:r>
      <w:r>
        <w:t xml:space="preserve">. </w:t>
      </w:r>
    </w:p>
    <w:p w:rsidR="00772B67" w:rsidRDefault="00474E93" w:rsidP="00772B67">
      <w:pPr>
        <w:pStyle w:val="SingleTxtG"/>
      </w:pPr>
      <w:r>
        <w:t xml:space="preserve">It was noted </w:t>
      </w:r>
      <w:r w:rsidR="00772B67">
        <w:t>that the Working Group had agreed only upon a number of amendments to the Manual concerning sections 11, 12, 13, 15, 16, 17 and 18 and appendices 5 and 6, and that this work would have to be pursued during the next biennium</w:t>
      </w:r>
      <w:r>
        <w:t>”</w:t>
      </w:r>
      <w:r w:rsidR="00772B67">
        <w:t>.</w:t>
      </w:r>
    </w:p>
    <w:p w:rsidR="00772B67" w:rsidRDefault="00772B67" w:rsidP="00772B67">
      <w:pPr>
        <w:pStyle w:val="SingleTxtG"/>
        <w:rPr>
          <w:i/>
        </w:rPr>
      </w:pPr>
      <w:r w:rsidRPr="004506F9">
        <w:rPr>
          <w:i/>
        </w:rPr>
        <w:t xml:space="preserve">(Ref.Doc: </w:t>
      </w:r>
      <w:r>
        <w:rPr>
          <w:i/>
        </w:rPr>
        <w:t>Draft r</w:t>
      </w:r>
      <w:r w:rsidRPr="004506F9">
        <w:rPr>
          <w:i/>
        </w:rPr>
        <w:t>eport of the TDG Sub-Committee</w:t>
      </w:r>
      <w:r>
        <w:rPr>
          <w:i/>
        </w:rPr>
        <w:t xml:space="preserve"> on its 50</w:t>
      </w:r>
      <w:r w:rsidRPr="00772B67">
        <w:rPr>
          <w:i/>
          <w:vertAlign w:val="superscript"/>
        </w:rPr>
        <w:t>th</w:t>
      </w:r>
      <w:r>
        <w:rPr>
          <w:i/>
        </w:rPr>
        <w:t xml:space="preserve"> session, ST/ST/AC.10/C.4/2016/CRP.3/Add.</w:t>
      </w:r>
      <w:r w:rsidR="00474E93">
        <w:rPr>
          <w:i/>
        </w:rPr>
        <w:t>10, paragraph 67</w:t>
      </w:r>
      <w:r>
        <w:rPr>
          <w:i/>
        </w:rPr>
        <w:t>)</w:t>
      </w:r>
    </w:p>
    <w:p w:rsidR="00E54E89" w:rsidRDefault="008B2859" w:rsidP="00E54E89">
      <w:pPr>
        <w:pStyle w:val="H23G"/>
        <w:rPr>
          <w:lang w:eastAsia="ja-JP"/>
        </w:rPr>
      </w:pPr>
      <w:r>
        <w:t xml:space="preserve">Item </w:t>
      </w:r>
      <w:r w:rsidR="00744E39">
        <w:t>6</w:t>
      </w:r>
      <w:r w:rsidR="00E54E89">
        <w:tab/>
      </w:r>
      <w:r w:rsidR="00E54E89">
        <w:tab/>
      </w:r>
      <w:r w:rsidR="00E54E89" w:rsidRPr="00CC693C">
        <w:rPr>
          <w:lang w:eastAsia="ja-JP"/>
        </w:rPr>
        <w:t>Revision of Chapter 2.1 of the GHS (GHS agenda item 2)</w:t>
      </w:r>
    </w:p>
    <w:p w:rsidR="00E03623" w:rsidRPr="000D4FF6" w:rsidRDefault="00E03623" w:rsidP="000D4FF6">
      <w:pPr>
        <w:pStyle w:val="SingleTxtG"/>
        <w:ind w:left="2977" w:hanging="1843"/>
        <w:jc w:val="left"/>
      </w:pPr>
      <w:r w:rsidRPr="000D4FF6">
        <w:t xml:space="preserve">Informal documents: </w:t>
      </w:r>
      <w:r w:rsidRPr="000D4FF6">
        <w:tab/>
      </w:r>
      <w:r w:rsidR="00744E39" w:rsidRPr="000D4FF6">
        <w:t>T</w:t>
      </w:r>
      <w:r w:rsidRPr="000D4FF6">
        <w:t>DG/50/INF.11 - GHS/32/INF.8 (Sweden)</w:t>
      </w:r>
      <w:r w:rsidR="000D4FF6" w:rsidRPr="000D4FF6">
        <w:br/>
      </w:r>
      <w:r w:rsidRPr="000D4FF6">
        <w:t>TDG/50/INF.18 - GHS/32/INF.15 (USA)</w:t>
      </w:r>
    </w:p>
    <w:p w:rsidR="00A54BE6" w:rsidRPr="00A54BE6" w:rsidRDefault="00A54BE6" w:rsidP="00A54BE6">
      <w:pPr>
        <w:pStyle w:val="H4G"/>
        <w:rPr>
          <w:b/>
        </w:rPr>
      </w:pPr>
      <w:r w:rsidRPr="00A54BE6">
        <w:rPr>
          <w:b/>
        </w:rPr>
        <w:tab/>
      </w:r>
      <w:r w:rsidRPr="00A54BE6">
        <w:rPr>
          <w:b/>
        </w:rPr>
        <w:tab/>
      </w:r>
      <w:r>
        <w:rPr>
          <w:b/>
        </w:rPr>
        <w:t xml:space="preserve">Working Group on </w:t>
      </w:r>
      <w:r w:rsidRPr="00A54BE6">
        <w:rPr>
          <w:b/>
        </w:rPr>
        <w:t xml:space="preserve">Explosives </w:t>
      </w:r>
    </w:p>
    <w:p w:rsidR="00E03623" w:rsidRPr="00E03623" w:rsidRDefault="00E03623" w:rsidP="00E03623">
      <w:pPr>
        <w:pStyle w:val="SingleTxtG"/>
      </w:pPr>
      <w:r w:rsidRPr="00A54BE6">
        <w:rPr>
          <w:u w:val="single"/>
        </w:rPr>
        <w:t>Discussion</w:t>
      </w:r>
      <w:r w:rsidRPr="00A54BE6">
        <w:t>:</w:t>
      </w:r>
      <w:r w:rsidRPr="00E03623">
        <w:t xml:space="preserve">  This is a continuation of the joint effort with the GHS Sub-Committee to amend Chapter 2.1 of the GHS so that it better reflects issues related to the Globally Harmonized System of Classification and Labelling of Chemicals as related to explosive products. An Intersessional Correspondence Group (ICG) has been active during this biennium working on resolution of issues unique to explosive products, and how they can be merged with aspects related to explosives transport in a safe manner without confusion. There was overall strong support for this effort. EWG members discussed a number of important matters to focus on, particularly defining the scope of the effort and the structure of proposals for the system of GHS categories and how they relate to transport divisions. </w:t>
      </w:r>
      <w:r w:rsidRPr="00E03623">
        <w:lastRenderedPageBreak/>
        <w:t>There was strong awareness of the need to progress cautiously to assure that there are not unintended consequences to any sectors.</w:t>
      </w:r>
    </w:p>
    <w:p w:rsidR="00E03623" w:rsidRDefault="00E03623" w:rsidP="00E03623">
      <w:pPr>
        <w:pStyle w:val="SingleTxtG"/>
      </w:pPr>
      <w:r w:rsidRPr="00A54BE6">
        <w:rPr>
          <w:u w:val="single"/>
        </w:rPr>
        <w:t>Conclusion</w:t>
      </w:r>
      <w:r w:rsidRPr="00A54BE6">
        <w:t>:</w:t>
      </w:r>
      <w:r w:rsidRPr="00E03623">
        <w:t xml:space="preserve">   This effort will continue into the next biennium.</w:t>
      </w:r>
    </w:p>
    <w:p w:rsidR="00E03623" w:rsidRDefault="00E03623" w:rsidP="00E03623">
      <w:pPr>
        <w:pStyle w:val="SingleTxtG"/>
        <w:rPr>
          <w:i/>
        </w:rPr>
      </w:pPr>
      <w:r w:rsidRPr="004506F9">
        <w:rPr>
          <w:i/>
        </w:rPr>
        <w:t xml:space="preserve">(Ref.Doc: Report of the Explosives Working Group to the TDG Sub-Committee, INF.59, 50th </w:t>
      </w:r>
      <w:r>
        <w:rPr>
          <w:i/>
        </w:rPr>
        <w:t>session</w:t>
      </w:r>
      <w:r w:rsidRPr="004506F9">
        <w:rPr>
          <w:i/>
        </w:rPr>
        <w:t>, paragraph 1</w:t>
      </w:r>
      <w:r>
        <w:rPr>
          <w:i/>
        </w:rPr>
        <w:t>2)</w:t>
      </w:r>
    </w:p>
    <w:p w:rsidR="00772B67" w:rsidRPr="00011120" w:rsidRDefault="00474E93" w:rsidP="00772B67">
      <w:pPr>
        <w:pStyle w:val="SingleTxtG"/>
        <w:rPr>
          <w:b/>
          <w:i/>
          <w:u w:val="single"/>
        </w:rPr>
      </w:pPr>
      <w:r w:rsidRPr="00011120">
        <w:rPr>
          <w:b/>
          <w:i/>
          <w:u w:val="single"/>
        </w:rPr>
        <w:t xml:space="preserve">Conclusion and remarks by </w:t>
      </w:r>
      <w:r w:rsidR="00772B67" w:rsidRPr="00011120">
        <w:rPr>
          <w:b/>
          <w:i/>
          <w:u w:val="single"/>
        </w:rPr>
        <w:t>the TDG Sub-Committee</w:t>
      </w:r>
    </w:p>
    <w:p w:rsidR="00474E93" w:rsidRDefault="00474E93" w:rsidP="00474E93">
      <w:pPr>
        <w:pStyle w:val="SingleTxtG"/>
      </w:pPr>
      <w:r>
        <w:t>The Sub-Committee noted also that work on the review of Chapter 2.1 of the GHS would have to be pursued during the next biennium. The Sub-Committee felt that the involvement of experts from sectors other than transport in the work of the Working group on Explosives was highly desirable and expressed the wish that more experts from other sectors would attend its sessions in future.</w:t>
      </w:r>
    </w:p>
    <w:p w:rsidR="00772B67" w:rsidRDefault="00772B67" w:rsidP="00772B67">
      <w:pPr>
        <w:pStyle w:val="SingleTxtG"/>
        <w:rPr>
          <w:i/>
        </w:rPr>
      </w:pPr>
      <w:r w:rsidRPr="004506F9">
        <w:rPr>
          <w:i/>
        </w:rPr>
        <w:t xml:space="preserve">(Ref.Doc: </w:t>
      </w:r>
      <w:r>
        <w:rPr>
          <w:i/>
        </w:rPr>
        <w:t>Draft r</w:t>
      </w:r>
      <w:r w:rsidRPr="004506F9">
        <w:rPr>
          <w:i/>
        </w:rPr>
        <w:t>eport of the TDG Sub-Committee</w:t>
      </w:r>
      <w:r>
        <w:rPr>
          <w:i/>
        </w:rPr>
        <w:t xml:space="preserve"> on its 50</w:t>
      </w:r>
      <w:r w:rsidRPr="00772B67">
        <w:rPr>
          <w:i/>
          <w:vertAlign w:val="superscript"/>
        </w:rPr>
        <w:t>th</w:t>
      </w:r>
      <w:r>
        <w:rPr>
          <w:i/>
        </w:rPr>
        <w:t xml:space="preserve"> session, ST/ST/AC.10/C.4/2016/CRP.3/Add.10, paragraph 68)</w:t>
      </w:r>
    </w:p>
    <w:p w:rsidR="005C2552" w:rsidRDefault="00A3374D" w:rsidP="00AD6A3A">
      <w:pPr>
        <w:pStyle w:val="H1G"/>
        <w:rPr>
          <w:lang w:eastAsia="ja-JP"/>
        </w:rPr>
      </w:pPr>
      <w:r>
        <w:tab/>
      </w:r>
      <w:r w:rsidR="008B6B2F" w:rsidRPr="00CC693C">
        <w:rPr>
          <w:lang w:eastAsia="ja-JP"/>
        </w:rPr>
        <w:tab/>
      </w:r>
      <w:r w:rsidR="00B87288">
        <w:rPr>
          <w:lang w:eastAsia="ja-JP"/>
        </w:rPr>
        <w:t>Other issues of interest to the GHS Sub-Committee</w:t>
      </w:r>
      <w:r w:rsidR="00D31628">
        <w:rPr>
          <w:lang w:eastAsia="ja-JP"/>
        </w:rPr>
        <w:t xml:space="preserve"> considered by the TDG Sub-Committee</w:t>
      </w:r>
    </w:p>
    <w:p w:rsidR="008372ED" w:rsidRDefault="005B4E2B" w:rsidP="008372ED">
      <w:pPr>
        <w:pStyle w:val="H23G"/>
      </w:pPr>
      <w:r>
        <w:rPr>
          <w:lang w:eastAsia="ja-JP"/>
        </w:rPr>
        <w:tab/>
      </w:r>
      <w:r w:rsidR="000D4FF6">
        <w:rPr>
          <w:lang w:eastAsia="ja-JP"/>
        </w:rPr>
        <w:t>Item 7</w:t>
      </w:r>
      <w:r w:rsidR="00A713A9">
        <w:rPr>
          <w:lang w:eastAsia="ja-JP"/>
        </w:rPr>
        <w:tab/>
      </w:r>
      <w:r w:rsidR="001124C8" w:rsidRPr="008372ED">
        <w:rPr>
          <w:lang w:eastAsia="ja-JP"/>
        </w:rPr>
        <w:t>Corrosivity criteria</w:t>
      </w:r>
      <w:r w:rsidR="008372ED" w:rsidRPr="008372ED">
        <w:rPr>
          <w:lang w:eastAsia="ja-JP"/>
        </w:rPr>
        <w:t xml:space="preserve"> (</w:t>
      </w:r>
      <w:r w:rsidR="008372ED" w:rsidRPr="008372ED">
        <w:t>Revision of Chapter 2.8</w:t>
      </w:r>
      <w:r w:rsidR="00011120">
        <w:t xml:space="preserve"> of the United Nations Recommendations on t</w:t>
      </w:r>
      <w:r w:rsidR="00A6363F">
        <w:t>he Transport of Dangerous Goods, Model Regulations)</w:t>
      </w:r>
    </w:p>
    <w:p w:rsidR="00982B2C" w:rsidRPr="00B502E6" w:rsidRDefault="00982B2C" w:rsidP="00982B2C">
      <w:pPr>
        <w:pStyle w:val="SingleTxtG"/>
      </w:pPr>
      <w:r w:rsidRPr="00DD0130">
        <w:rPr>
          <w:i/>
          <w:iCs/>
        </w:rPr>
        <w:t>Document</w:t>
      </w:r>
      <w:r>
        <w:t>:</w:t>
      </w:r>
      <w:r>
        <w:tab/>
      </w:r>
      <w:r w:rsidRPr="00B502E6">
        <w:t>ST/SG/AC.10/C.3/2016/50 (Canada, CEFIC and AISE)</w:t>
      </w:r>
    </w:p>
    <w:p w:rsidR="00982B2C" w:rsidRDefault="00982B2C" w:rsidP="00982B2C">
      <w:pPr>
        <w:pStyle w:val="SingleTxtG"/>
      </w:pPr>
      <w:r w:rsidRPr="00DD0130">
        <w:rPr>
          <w:i/>
          <w:iCs/>
        </w:rPr>
        <w:t>Informal documents</w:t>
      </w:r>
      <w:r>
        <w:t>:</w:t>
      </w:r>
      <w:r>
        <w:tab/>
      </w:r>
      <w:r w:rsidRPr="00B502E6">
        <w:t>INF.5, INF.25 and INF.49 (Canada, CEFIC and AISE)</w:t>
      </w:r>
    </w:p>
    <w:p w:rsidR="00A54BE6" w:rsidRPr="00011120" w:rsidRDefault="00A54BE6" w:rsidP="00982B2C">
      <w:pPr>
        <w:pStyle w:val="SingleTxtG"/>
        <w:rPr>
          <w:u w:val="single"/>
        </w:rPr>
      </w:pPr>
      <w:r w:rsidRPr="00011120">
        <w:rPr>
          <w:b/>
          <w:i/>
          <w:u w:val="single"/>
        </w:rPr>
        <w:t>Conclusion and remarks by the TDG Sub-Committee</w:t>
      </w:r>
    </w:p>
    <w:p w:rsidR="00982B2C" w:rsidRPr="001B383C" w:rsidRDefault="00A713A9" w:rsidP="00982B2C">
      <w:pPr>
        <w:pStyle w:val="SingleTxtG"/>
      </w:pPr>
      <w:r>
        <w:t>“</w:t>
      </w:r>
      <w:r w:rsidR="00982B2C" w:rsidRPr="00B502E6">
        <w:t>35.</w:t>
      </w:r>
      <w:r w:rsidR="00982B2C" w:rsidRPr="00B502E6">
        <w:tab/>
        <w:t xml:space="preserve">Further to some editorial comments on the proposals of Canada, CEFIC and AISE, the Sub-committee adopted the revised text of Chapter 2.8 presented in informal document </w:t>
      </w:r>
      <w:r w:rsidR="00982B2C" w:rsidRPr="001B383C">
        <w:t>INF.49, with the remaining square brackets deleted.</w:t>
      </w:r>
    </w:p>
    <w:p w:rsidR="00982B2C" w:rsidRPr="00B502E6" w:rsidRDefault="00982B2C" w:rsidP="00982B2C">
      <w:pPr>
        <w:pStyle w:val="SingleTxtG"/>
      </w:pPr>
      <w:r w:rsidRPr="001B383C">
        <w:t>36.</w:t>
      </w:r>
      <w:r w:rsidRPr="001B383C">
        <w:tab/>
        <w:t xml:space="preserve">As for the mention of 2015 for the OECD guidelines referenced in footnotes 1-4, the Subcommittee was of the view that, in practice, for classifications done before the entry into force of those new provisions, the principles established by OECD should be upheld. According to those principles, test results obtained from a deleted guideline or </w:t>
      </w:r>
      <w:r w:rsidR="001B383C">
        <w:t xml:space="preserve">from a former </w:t>
      </w:r>
      <w:r w:rsidRPr="001B383C">
        <w:t>version of a</w:t>
      </w:r>
      <w:r w:rsidR="001B383C">
        <w:t>n updated</w:t>
      </w:r>
      <w:r w:rsidRPr="001B383C">
        <w:t xml:space="preserve"> guideline remained acceptable if the test had begun before the effective date of </w:t>
      </w:r>
      <w:r w:rsidR="001B383C">
        <w:t>deletion of a guideline or a former edition of an updated guideline</w:t>
      </w:r>
      <w:r w:rsidRPr="001B383C">
        <w:t>. The date of deletion became effective 18 months after the OECD Council took a decision on the deletion.</w:t>
      </w:r>
    </w:p>
    <w:p w:rsidR="00982B2C" w:rsidRDefault="00982B2C" w:rsidP="00982B2C">
      <w:pPr>
        <w:pStyle w:val="SingleTxtG"/>
      </w:pPr>
      <w:r w:rsidRPr="00B502E6">
        <w:t>37.</w:t>
      </w:r>
      <w:r w:rsidRPr="00B502E6">
        <w:tab/>
        <w:t xml:space="preserve">It was emphasized that </w:t>
      </w:r>
      <w:r w:rsidR="00583FE8">
        <w:t xml:space="preserve">that </w:t>
      </w:r>
      <w:r w:rsidRPr="00B502E6">
        <w:t xml:space="preserve">revised version of Chapter 2.8 reflected the effort to harmonize it with the provisions of GHS in the transport sector even if </w:t>
      </w:r>
      <w:r w:rsidR="001D01F2">
        <w:t>some differences remain</w:t>
      </w:r>
      <w:r w:rsidRPr="00B502E6">
        <w:t>. The Chair would explain to the GHS Sub-Committee the outstanding differences and the reasons for those differences.</w:t>
      </w:r>
      <w:r w:rsidR="00A713A9">
        <w:t>”</w:t>
      </w:r>
    </w:p>
    <w:p w:rsidR="00A713A9" w:rsidRPr="00A713A9" w:rsidRDefault="00A713A9" w:rsidP="00982B2C">
      <w:pPr>
        <w:pStyle w:val="SingleTxtG"/>
        <w:rPr>
          <w:i/>
        </w:rPr>
      </w:pPr>
      <w:r w:rsidRPr="00A713A9">
        <w:rPr>
          <w:i/>
        </w:rPr>
        <w:t xml:space="preserve">(Ref.Doc: </w:t>
      </w:r>
      <w:r>
        <w:rPr>
          <w:i/>
        </w:rPr>
        <w:t xml:space="preserve">Draft report of the TGD Sub-Committee on its </w:t>
      </w:r>
      <w:r w:rsidRPr="00A713A9">
        <w:rPr>
          <w:i/>
        </w:rPr>
        <w:t>50th</w:t>
      </w:r>
      <w:r>
        <w:rPr>
          <w:i/>
        </w:rPr>
        <w:t xml:space="preserve"> session, </w:t>
      </w:r>
      <w:r w:rsidRPr="00A713A9">
        <w:rPr>
          <w:i/>
        </w:rPr>
        <w:t>ST/SG/AC.10/C.3/2016/CRP.3/Add.6 paras. 35-37</w:t>
      </w:r>
      <w:r w:rsidR="001D01F2">
        <w:rPr>
          <w:i/>
        </w:rPr>
        <w:t>, as amended during the report reading</w:t>
      </w:r>
      <w:r w:rsidRPr="00A713A9">
        <w:rPr>
          <w:i/>
        </w:rPr>
        <w:t>)</w:t>
      </w:r>
    </w:p>
    <w:p w:rsidR="000D4FF6" w:rsidRPr="00A713A9" w:rsidRDefault="000D4FF6" w:rsidP="00011120">
      <w:pPr>
        <w:pStyle w:val="H23G"/>
        <w:rPr>
          <w:lang w:eastAsia="ja-JP"/>
        </w:rPr>
      </w:pPr>
      <w:r>
        <w:rPr>
          <w:lang w:eastAsia="ja-JP"/>
        </w:rPr>
        <w:lastRenderedPageBreak/>
        <w:tab/>
      </w:r>
      <w:r w:rsidRPr="00A713A9">
        <w:rPr>
          <w:lang w:eastAsia="ja-JP"/>
        </w:rPr>
        <w:t xml:space="preserve">Item </w:t>
      </w:r>
      <w:r>
        <w:rPr>
          <w:lang w:eastAsia="ja-JP"/>
        </w:rPr>
        <w:t>8</w:t>
      </w:r>
      <w:r w:rsidRPr="00A713A9">
        <w:rPr>
          <w:lang w:eastAsia="ja-JP"/>
        </w:rPr>
        <w:tab/>
      </w:r>
      <w:bookmarkStart w:id="0" w:name="_GoBack"/>
      <w:r w:rsidRPr="00A713A9">
        <w:rPr>
          <w:lang w:eastAsia="ja-JP"/>
        </w:rPr>
        <w:t xml:space="preserve">Test method for readily combustible solids (Test N.1) </w:t>
      </w:r>
    </w:p>
    <w:bookmarkEnd w:id="0"/>
    <w:p w:rsidR="000D4FF6" w:rsidRDefault="000D4FF6" w:rsidP="00011120">
      <w:pPr>
        <w:pStyle w:val="SingleTxtG"/>
        <w:keepNext/>
        <w:keepLines/>
        <w:tabs>
          <w:tab w:val="left" w:pos="1134"/>
          <w:tab w:val="left" w:pos="3402"/>
        </w:tabs>
        <w:spacing w:after="240" w:line="240" w:lineRule="auto"/>
        <w:ind w:right="40"/>
        <w:jc w:val="left"/>
        <w:rPr>
          <w:iCs/>
        </w:rPr>
      </w:pPr>
      <w:r w:rsidRPr="00982B2C">
        <w:rPr>
          <w:i/>
        </w:rPr>
        <w:t xml:space="preserve">Document: </w:t>
      </w:r>
      <w:r w:rsidRPr="00982B2C">
        <w:rPr>
          <w:i/>
        </w:rPr>
        <w:tab/>
      </w:r>
      <w:r w:rsidRPr="00744E39">
        <w:rPr>
          <w:iCs/>
        </w:rPr>
        <w:t>ST/SG/AC.10/C.3/2016/55 (Secretariat)</w:t>
      </w:r>
    </w:p>
    <w:p w:rsidR="000D4FF6" w:rsidRDefault="000D4FF6" w:rsidP="00011120">
      <w:pPr>
        <w:pStyle w:val="SingleTxtG"/>
        <w:keepNext/>
        <w:keepLines/>
        <w:tabs>
          <w:tab w:val="left" w:pos="1134"/>
          <w:tab w:val="left" w:pos="3402"/>
        </w:tabs>
        <w:spacing w:after="240" w:line="240" w:lineRule="auto"/>
        <w:ind w:right="40"/>
        <w:jc w:val="left"/>
        <w:rPr>
          <w:i/>
          <w:iCs/>
        </w:rPr>
      </w:pPr>
      <w:r w:rsidRPr="00982B2C">
        <w:rPr>
          <w:i/>
          <w:iCs/>
        </w:rPr>
        <w:t xml:space="preserve">Informal document: </w:t>
      </w:r>
      <w:r w:rsidRPr="00982B2C">
        <w:rPr>
          <w:i/>
          <w:iCs/>
        </w:rPr>
        <w:tab/>
      </w:r>
      <w:r w:rsidRPr="00744E39">
        <w:rPr>
          <w:iCs/>
        </w:rPr>
        <w:t>TDG/50/INF.27 (Germany)</w:t>
      </w:r>
      <w:r w:rsidRPr="00982B2C">
        <w:rPr>
          <w:i/>
          <w:iCs/>
        </w:rPr>
        <w:t xml:space="preserve"> </w:t>
      </w:r>
    </w:p>
    <w:p w:rsidR="00A54BE6" w:rsidRPr="00011120" w:rsidRDefault="00A54BE6" w:rsidP="00011120">
      <w:pPr>
        <w:pStyle w:val="SingleTxtG"/>
        <w:keepNext/>
        <w:keepLines/>
        <w:rPr>
          <w:i/>
          <w:iCs/>
          <w:u w:val="single"/>
        </w:rPr>
      </w:pPr>
      <w:r w:rsidRPr="00011120">
        <w:rPr>
          <w:b/>
          <w:i/>
          <w:u w:val="single"/>
        </w:rPr>
        <w:t>Conclusion and remarks by the TDG Sub-Committee</w:t>
      </w:r>
    </w:p>
    <w:p w:rsidR="000D4FF6" w:rsidRPr="00982B2C" w:rsidRDefault="000D4FF6" w:rsidP="000D4FF6">
      <w:pPr>
        <w:pStyle w:val="SingleTxtG"/>
        <w:rPr>
          <w:lang w:val="en-US"/>
        </w:rPr>
      </w:pPr>
      <w:r w:rsidRPr="00982B2C">
        <w:rPr>
          <w:lang w:val="en-US"/>
        </w:rPr>
        <w:t>At its 49</w:t>
      </w:r>
      <w:r w:rsidRPr="00982B2C">
        <w:rPr>
          <w:vertAlign w:val="superscript"/>
          <w:lang w:val="en-US"/>
        </w:rPr>
        <w:t>th</w:t>
      </w:r>
      <w:r w:rsidRPr="00982B2C">
        <w:rPr>
          <w:lang w:val="en-US"/>
        </w:rPr>
        <w:t xml:space="preserve"> session, the TDG Sub-Committee adopted the amendments proposed for paragraphs 33.2.1.4.4.1, 33.2.1.4.4.2 and 33.2.1.4.4.3 of the Manual of Tests and Criteria, but with the replacement of “(250 mm)” with “(100 mm)”. Those amendments were placed in square brackets for confirmation at the 50th session (see the report of the TDG Sub-Committee on its 49th session ST/SG/AC.10/C.3/98, paragraph 41).</w:t>
      </w:r>
    </w:p>
    <w:p w:rsidR="000D4FF6" w:rsidRDefault="000D4FF6" w:rsidP="000D4FF6">
      <w:pPr>
        <w:pStyle w:val="SingleTxtG"/>
      </w:pPr>
      <w:r w:rsidRPr="00982B2C">
        <w:t>The TDG Sub-Committee decided at its 50</w:t>
      </w:r>
      <w:r w:rsidRPr="00982B2C">
        <w:rPr>
          <w:vertAlign w:val="superscript"/>
        </w:rPr>
        <w:t>th</w:t>
      </w:r>
      <w:r w:rsidRPr="00982B2C">
        <w:t xml:space="preserve"> session, that</w:t>
      </w:r>
      <w:r>
        <w:t>:</w:t>
      </w:r>
    </w:p>
    <w:p w:rsidR="000D4FF6" w:rsidRPr="00982B2C" w:rsidRDefault="000D4FF6" w:rsidP="000D4FF6">
      <w:pPr>
        <w:pStyle w:val="SingleTxtG"/>
      </w:pPr>
      <w:r w:rsidRPr="00982B2C">
        <w:t xml:space="preserve"> “</w:t>
      </w:r>
      <w:r>
        <w:t>…</w:t>
      </w:r>
      <w:r w:rsidRPr="00982B2C">
        <w:t>the square brackets around the paragraphs concerned in document ST/SG/AC.10/C.3/2016/55 should be deleted. The proposals made in informal document INF.27 required further consideration and should therefore be discussed at the next biennium.”</w:t>
      </w:r>
    </w:p>
    <w:p w:rsidR="000D4FF6" w:rsidRDefault="000D4FF6" w:rsidP="000D4FF6">
      <w:pPr>
        <w:pStyle w:val="SingleTxtG"/>
        <w:rPr>
          <w:i/>
        </w:rPr>
      </w:pPr>
      <w:r w:rsidRPr="00982B2C">
        <w:rPr>
          <w:i/>
        </w:rPr>
        <w:t>(Ref.Doc: Draft report of the TDG Sub-Committee on its 50th session, ST/SG/AC.10/C.3/2016/CRP.3/Add.7 paragraph 46)</w:t>
      </w:r>
    </w:p>
    <w:p w:rsidR="00560BCA" w:rsidRPr="00560BCA" w:rsidRDefault="00560BCA" w:rsidP="000D4FF6">
      <w:pPr>
        <w:pStyle w:val="SingleTxtG"/>
        <w:rPr>
          <w:b/>
          <w:i/>
          <w:u w:val="single"/>
        </w:rPr>
      </w:pPr>
      <w:r w:rsidRPr="00560BCA">
        <w:rPr>
          <w:b/>
          <w:i/>
          <w:u w:val="single"/>
        </w:rPr>
        <w:t>Note by the secretariat</w:t>
      </w:r>
    </w:p>
    <w:p w:rsidR="000D4FF6" w:rsidRDefault="000D4FF6" w:rsidP="000D4FF6">
      <w:pPr>
        <w:pStyle w:val="SingleTxtG"/>
        <w:rPr>
          <w:b/>
        </w:rPr>
      </w:pPr>
      <w:r w:rsidRPr="00982B2C">
        <w:t>Although not addressed in the documents discussed by the TDG Sub-Committee, the secretariat already noted at the 49</w:t>
      </w:r>
      <w:r w:rsidRPr="00982B2C">
        <w:rPr>
          <w:vertAlign w:val="superscript"/>
        </w:rPr>
        <w:t>th</w:t>
      </w:r>
      <w:r w:rsidRPr="00982B2C">
        <w:t xml:space="preserve"> session that in case the proposed amendment to 33.2.1.4.4.1 was accepted, </w:t>
      </w:r>
      <w:r w:rsidRPr="00E03623">
        <w:rPr>
          <w:b/>
        </w:rPr>
        <w:t xml:space="preserve">a consequential amendment to paragraph 2.7.2.2 of the GHS might be necessary, as indicated in </w:t>
      </w:r>
      <w:r>
        <w:rPr>
          <w:b/>
        </w:rPr>
        <w:t>a</w:t>
      </w:r>
      <w:r w:rsidRPr="00E03623">
        <w:rPr>
          <w:b/>
        </w:rPr>
        <w:t xml:space="preserve">nnex </w:t>
      </w:r>
      <w:r>
        <w:rPr>
          <w:b/>
        </w:rPr>
        <w:t xml:space="preserve">I </w:t>
      </w:r>
      <w:r w:rsidRPr="00E03623">
        <w:rPr>
          <w:b/>
        </w:rPr>
        <w:t xml:space="preserve">to this document. </w:t>
      </w:r>
    </w:p>
    <w:p w:rsidR="00A713A9" w:rsidRDefault="000D4FF6" w:rsidP="000D4FF6">
      <w:pPr>
        <w:pStyle w:val="SingleTxtG"/>
        <w:rPr>
          <w:b/>
          <w:sz w:val="28"/>
        </w:rPr>
      </w:pPr>
      <w:r>
        <w:rPr>
          <w:b/>
        </w:rPr>
        <w:t xml:space="preserve">The GHS Sub-Committee is </w:t>
      </w:r>
      <w:r w:rsidRPr="00E03623">
        <w:rPr>
          <w:b/>
        </w:rPr>
        <w:t xml:space="preserve">invited to consider whether the consequential amendment to the GHS is needed. </w:t>
      </w:r>
      <w:r w:rsidR="00A713A9">
        <w:br w:type="page"/>
      </w:r>
    </w:p>
    <w:p w:rsidR="00A417CA" w:rsidRPr="004913F3" w:rsidRDefault="00B1471F" w:rsidP="00B1471F">
      <w:pPr>
        <w:pStyle w:val="HChG"/>
      </w:pPr>
      <w:r>
        <w:lastRenderedPageBreak/>
        <w:tab/>
      </w:r>
      <w:r>
        <w:tab/>
      </w:r>
      <w:r w:rsidR="00812B16" w:rsidRPr="004913F3">
        <w:t>Annex</w:t>
      </w:r>
      <w:r w:rsidR="00E54E89">
        <w:t xml:space="preserve"> I</w:t>
      </w:r>
    </w:p>
    <w:p w:rsidR="00812B16" w:rsidRDefault="00812B16" w:rsidP="00B1471F">
      <w:pPr>
        <w:pStyle w:val="HChG"/>
      </w:pPr>
      <w:r>
        <w:tab/>
      </w:r>
      <w:r w:rsidR="00B1471F">
        <w:tab/>
      </w:r>
      <w:r w:rsidR="00767CB5">
        <w:t xml:space="preserve">Proposed </w:t>
      </w:r>
      <w:r>
        <w:t>amendments to the GHS</w:t>
      </w:r>
    </w:p>
    <w:p w:rsidR="00E537A6" w:rsidRDefault="00767CB5" w:rsidP="00767CB5">
      <w:pPr>
        <w:pStyle w:val="H1G"/>
        <w:rPr>
          <w:rFonts w:eastAsia="MS Mincho"/>
          <w:lang w:val="en-US" w:eastAsia="ja-JP"/>
        </w:rPr>
      </w:pPr>
      <w:r>
        <w:rPr>
          <w:rFonts w:eastAsia="MS Mincho"/>
          <w:lang w:eastAsia="ja-JP"/>
        </w:rPr>
        <w:tab/>
      </w:r>
      <w:r>
        <w:rPr>
          <w:rFonts w:eastAsia="MS Mincho"/>
          <w:lang w:val="en-US" w:eastAsia="ja-JP"/>
        </w:rPr>
        <w:t>A.</w:t>
      </w:r>
      <w:r>
        <w:rPr>
          <w:rFonts w:eastAsia="MS Mincho"/>
          <w:lang w:val="en-US" w:eastAsia="ja-JP"/>
        </w:rPr>
        <w:tab/>
      </w:r>
      <w:r w:rsidR="00E537A6" w:rsidRPr="00AF5B84">
        <w:rPr>
          <w:rFonts w:eastAsia="MS Mincho"/>
          <w:lang w:val="en-US" w:eastAsia="ja-JP"/>
        </w:rPr>
        <w:t xml:space="preserve">Working Group on Explosives </w:t>
      </w:r>
      <w:r w:rsidR="00E537A6" w:rsidRPr="00092CF5">
        <w:rPr>
          <w:rFonts w:eastAsia="MS Mincho"/>
          <w:lang w:val="en-US" w:eastAsia="ja-JP"/>
        </w:rPr>
        <w:t>(</w:t>
      </w:r>
      <w:r w:rsidR="00E537A6">
        <w:rPr>
          <w:rFonts w:eastAsia="MS Mincho"/>
          <w:lang w:val="en-US" w:eastAsia="ja-JP"/>
        </w:rPr>
        <w:t>28 November - 2 December 2016</w:t>
      </w:r>
      <w:r w:rsidR="00E537A6" w:rsidRPr="00092CF5">
        <w:rPr>
          <w:rFonts w:eastAsia="MS Mincho"/>
          <w:lang w:val="en-US" w:eastAsia="ja-JP"/>
        </w:rPr>
        <w:t>)</w:t>
      </w:r>
      <w:r w:rsidR="00E537A6" w:rsidRPr="00AF5B84">
        <w:rPr>
          <w:rFonts w:eastAsia="MS Mincho"/>
          <w:lang w:val="en-US" w:eastAsia="ja-JP"/>
        </w:rPr>
        <w:br/>
      </w:r>
      <w:r w:rsidR="00744E39">
        <w:rPr>
          <w:rFonts w:eastAsia="MS Mincho"/>
          <w:lang w:val="en-US" w:eastAsia="ja-JP"/>
        </w:rPr>
        <w:t>Recommended c</w:t>
      </w:r>
      <w:r w:rsidR="00E537A6">
        <w:rPr>
          <w:rFonts w:eastAsia="MS Mincho"/>
          <w:lang w:val="en-US" w:eastAsia="ja-JP"/>
        </w:rPr>
        <w:t>ha</w:t>
      </w:r>
      <w:r w:rsidR="00744E39">
        <w:rPr>
          <w:rFonts w:eastAsia="MS Mincho"/>
          <w:lang w:val="en-US" w:eastAsia="ja-JP"/>
        </w:rPr>
        <w:t>nges for the GHS (6th revised e</w:t>
      </w:r>
      <w:r w:rsidR="00E537A6">
        <w:rPr>
          <w:rFonts w:eastAsia="MS Mincho"/>
          <w:lang w:val="en-US" w:eastAsia="ja-JP"/>
        </w:rPr>
        <w:t>dition)</w:t>
      </w:r>
    </w:p>
    <w:p w:rsidR="00E537A6" w:rsidRDefault="00E537A6" w:rsidP="00767CB5">
      <w:pPr>
        <w:pStyle w:val="H1G"/>
        <w:ind w:firstLine="0"/>
        <w:rPr>
          <w:rFonts w:eastAsia="MS Mincho"/>
          <w:lang w:val="en-US" w:eastAsia="ja-JP"/>
        </w:rPr>
      </w:pPr>
      <w:r>
        <w:rPr>
          <w:rFonts w:eastAsia="MS Mincho"/>
          <w:lang w:val="en-US" w:eastAsia="ja-JP"/>
        </w:rPr>
        <w:t>Chapter 2.1</w:t>
      </w:r>
    </w:p>
    <w:p w:rsidR="00E537A6" w:rsidRPr="002B3B17" w:rsidRDefault="00E537A6" w:rsidP="00767CB5">
      <w:pPr>
        <w:tabs>
          <w:tab w:val="left" w:pos="720"/>
        </w:tabs>
        <w:spacing w:line="240" w:lineRule="auto"/>
        <w:ind w:left="1134" w:right="43"/>
        <w:rPr>
          <w:b/>
        </w:rPr>
      </w:pPr>
      <w:r w:rsidRPr="002B3B17">
        <w:rPr>
          <w:rFonts w:eastAsia="MS Mincho"/>
          <w:lang w:eastAsia="ja-JP"/>
        </w:rPr>
        <w:t xml:space="preserve">Notes:  Source of proposed change is indicated by </w:t>
      </w:r>
      <w:r w:rsidRPr="002B3B17">
        <w:rPr>
          <w:rFonts w:eastAsia="MS Mincho"/>
          <w:i/>
          <w:lang w:eastAsia="ja-JP"/>
        </w:rPr>
        <w:t>italici</w:t>
      </w:r>
      <w:r w:rsidRPr="00A9276D">
        <w:rPr>
          <w:rFonts w:eastAsia="MS Mincho"/>
          <w:i/>
          <w:lang w:eastAsia="ja-JP"/>
        </w:rPr>
        <w:t>zed</w:t>
      </w:r>
      <w:r w:rsidRPr="002B3B17">
        <w:rPr>
          <w:rFonts w:eastAsia="MS Mincho"/>
          <w:i/>
          <w:lang w:eastAsia="ja-JP"/>
        </w:rPr>
        <w:t xml:space="preserve"> text </w:t>
      </w:r>
    </w:p>
    <w:p w:rsidR="00E537A6" w:rsidRPr="00195E9D" w:rsidRDefault="00E537A6" w:rsidP="00767CB5">
      <w:pPr>
        <w:tabs>
          <w:tab w:val="left" w:pos="630"/>
          <w:tab w:val="left" w:pos="720"/>
        </w:tabs>
        <w:spacing w:line="240" w:lineRule="auto"/>
        <w:ind w:left="1134" w:right="43"/>
      </w:pPr>
      <w:r w:rsidRPr="002B3B17">
        <w:rPr>
          <w:color w:val="FF0000"/>
        </w:rPr>
        <w:tab/>
      </w:r>
      <w:r w:rsidRPr="002B3B17">
        <w:rPr>
          <w:strike/>
          <w:color w:val="FF0000"/>
        </w:rPr>
        <w:t>Red</w:t>
      </w:r>
      <w:r w:rsidRPr="00195E9D">
        <w:t xml:space="preserve"> indicates deleted text</w:t>
      </w:r>
    </w:p>
    <w:p w:rsidR="00E537A6" w:rsidRPr="00195E9D" w:rsidRDefault="00E537A6" w:rsidP="00767CB5">
      <w:pPr>
        <w:tabs>
          <w:tab w:val="left" w:pos="630"/>
          <w:tab w:val="left" w:pos="720"/>
        </w:tabs>
        <w:spacing w:after="120" w:line="240" w:lineRule="auto"/>
        <w:ind w:left="1134" w:right="43"/>
      </w:pPr>
      <w:r w:rsidRPr="002B3B17">
        <w:rPr>
          <w:color w:val="0070C0"/>
        </w:rPr>
        <w:tab/>
      </w:r>
      <w:r w:rsidRPr="002B3B17">
        <w:rPr>
          <w:color w:val="0070C0"/>
          <w:u w:val="single"/>
        </w:rPr>
        <w:t>Blue</w:t>
      </w:r>
      <w:r w:rsidRPr="002B3B17">
        <w:rPr>
          <w:color w:val="0070C0"/>
        </w:rPr>
        <w:t xml:space="preserve"> </w:t>
      </w:r>
      <w:r w:rsidRPr="00195E9D">
        <w:t>indicates inserted text</w:t>
      </w:r>
    </w:p>
    <w:p w:rsidR="00E537A6" w:rsidRPr="00555E68" w:rsidRDefault="00E537A6" w:rsidP="004F2B97">
      <w:pPr>
        <w:pStyle w:val="SingleTxtG"/>
        <w:keepNext/>
        <w:numPr>
          <w:ilvl w:val="0"/>
          <w:numId w:val="19"/>
        </w:numPr>
        <w:pBdr>
          <w:top w:val="single" w:sz="4" w:space="1" w:color="auto"/>
        </w:pBdr>
        <w:tabs>
          <w:tab w:val="left" w:pos="8505"/>
        </w:tabs>
        <w:ind w:left="1134" w:firstLine="0"/>
        <w:rPr>
          <w:b/>
        </w:rPr>
      </w:pPr>
    </w:p>
    <w:p w:rsidR="00E537A6" w:rsidRDefault="00E537A6" w:rsidP="004F2B97">
      <w:pPr>
        <w:pStyle w:val="SingleTxtG"/>
        <w:tabs>
          <w:tab w:val="left" w:pos="8505"/>
        </w:tabs>
      </w:pPr>
      <w:r>
        <w:rPr>
          <w:b/>
          <w:u w:val="single"/>
        </w:rPr>
        <w:t>Section 2.1.1.2(c)</w:t>
      </w:r>
      <w:r>
        <w:t xml:space="preserve"> – amend 2.1.1.2(c) to remove comma as shown below:</w:t>
      </w:r>
    </w:p>
    <w:p w:rsidR="00E537A6" w:rsidRDefault="00E537A6" w:rsidP="004F2B97">
      <w:pPr>
        <w:pStyle w:val="SingleTxtG"/>
        <w:keepNext/>
        <w:keepLines/>
        <w:tabs>
          <w:tab w:val="left" w:pos="8505"/>
        </w:tabs>
        <w:spacing w:line="240" w:lineRule="auto"/>
      </w:pPr>
      <w:r w:rsidRPr="00251D0E">
        <w:rPr>
          <w:lang w:val="en-US"/>
        </w:rPr>
        <w:t xml:space="preserve">Substances, mixtures and articles not mentioned under (a) and (b) above which are manufactured with the view to producing a </w:t>
      </w:r>
      <w:r w:rsidRPr="00990EAC">
        <w:t>practical</w:t>
      </w:r>
      <w:r w:rsidRPr="00990EAC">
        <w:rPr>
          <w:strike/>
          <w:color w:val="FF0000"/>
        </w:rPr>
        <w:t>,</w:t>
      </w:r>
      <w:r w:rsidRPr="00990EAC">
        <w:t xml:space="preserve"> e</w:t>
      </w:r>
      <w:r>
        <w:t>xplosive</w:t>
      </w:r>
      <w:r w:rsidRPr="00251D0E">
        <w:rPr>
          <w:lang w:val="en-US"/>
        </w:rPr>
        <w:t xml:space="preserve"> or pyrotechnic effect</w:t>
      </w:r>
      <w:r>
        <w:rPr>
          <w:lang w:val="en-US"/>
        </w:rPr>
        <w:t>.</w:t>
      </w:r>
    </w:p>
    <w:p w:rsidR="00E537A6" w:rsidRPr="003569B5" w:rsidRDefault="00E537A6" w:rsidP="004F2B97">
      <w:pPr>
        <w:pStyle w:val="SingleTxtG"/>
        <w:tabs>
          <w:tab w:val="left" w:pos="8505"/>
        </w:tabs>
      </w:pPr>
      <w:r w:rsidRPr="00195E9D">
        <w:rPr>
          <w:i/>
        </w:rPr>
        <w:t>Source:  ST/SG/AC.10/C.3</w:t>
      </w:r>
      <w:r>
        <w:rPr>
          <w:i/>
        </w:rPr>
        <w:t>/2016/53</w:t>
      </w:r>
      <w:r w:rsidRPr="00195E9D">
        <w:rPr>
          <w:i/>
        </w:rPr>
        <w:t xml:space="preserve">, Para. </w:t>
      </w:r>
      <w:r>
        <w:rPr>
          <w:i/>
        </w:rPr>
        <w:t>8</w:t>
      </w:r>
      <w:r w:rsidRPr="00195E9D">
        <w:rPr>
          <w:i/>
        </w:rPr>
        <w:t xml:space="preserve"> and Para. </w:t>
      </w:r>
      <w:r>
        <w:rPr>
          <w:i/>
        </w:rPr>
        <w:t>5</w:t>
      </w:r>
      <w:r w:rsidRPr="00195E9D">
        <w:rPr>
          <w:i/>
        </w:rPr>
        <w:t xml:space="preserve"> of this report</w:t>
      </w:r>
      <w:r>
        <w:rPr>
          <w:i/>
        </w:rPr>
        <w:t>.</w:t>
      </w:r>
    </w:p>
    <w:p w:rsidR="00E537A6" w:rsidRPr="00555E68" w:rsidRDefault="00E537A6" w:rsidP="004F2B97">
      <w:pPr>
        <w:pStyle w:val="SingleTxtG"/>
        <w:keepNext/>
        <w:numPr>
          <w:ilvl w:val="0"/>
          <w:numId w:val="19"/>
        </w:numPr>
        <w:pBdr>
          <w:top w:val="single" w:sz="4" w:space="1" w:color="auto"/>
        </w:pBdr>
        <w:tabs>
          <w:tab w:val="left" w:pos="8505"/>
        </w:tabs>
        <w:ind w:left="1134" w:firstLine="0"/>
        <w:rPr>
          <w:b/>
        </w:rPr>
      </w:pPr>
    </w:p>
    <w:p w:rsidR="00E537A6" w:rsidRDefault="00E537A6" w:rsidP="004F2B97">
      <w:pPr>
        <w:pStyle w:val="SingleTxtG"/>
        <w:tabs>
          <w:tab w:val="left" w:pos="8505"/>
        </w:tabs>
      </w:pPr>
      <w:r>
        <w:rPr>
          <w:b/>
          <w:u w:val="single"/>
        </w:rPr>
        <w:t>Note b to Table 2.1.1</w:t>
      </w:r>
      <w:r>
        <w:t xml:space="preserve"> – amend Note b to Table 2.1.1 to remove comma as shown below:</w:t>
      </w:r>
    </w:p>
    <w:p w:rsidR="00E537A6" w:rsidRDefault="00E537A6" w:rsidP="004F2B97">
      <w:pPr>
        <w:pStyle w:val="SingleTxtG"/>
        <w:keepNext/>
        <w:keepLines/>
        <w:tabs>
          <w:tab w:val="left" w:pos="8505"/>
        </w:tabs>
        <w:spacing w:line="240" w:lineRule="auto"/>
        <w:rPr>
          <w:iCs/>
          <w:lang w:val="en-US"/>
        </w:rPr>
      </w:pPr>
      <w:r w:rsidRPr="00251D0E">
        <w:rPr>
          <w:bCs/>
          <w:lang w:val="en-US"/>
        </w:rPr>
        <w:t>b</w:t>
      </w:r>
      <w:r w:rsidRPr="00251D0E">
        <w:rPr>
          <w:b/>
          <w:bCs/>
          <w:lang w:val="en-US"/>
        </w:rPr>
        <w:t xml:space="preserve"> </w:t>
      </w:r>
      <w:r w:rsidRPr="00251D0E">
        <w:rPr>
          <w:iCs/>
          <w:lang w:val="en-US"/>
        </w:rPr>
        <w:t xml:space="preserve">This comprises substances, mixtures and articles which are manufactured with a view to producing a </w:t>
      </w:r>
      <w:r w:rsidRPr="00990EAC">
        <w:t>practical</w:t>
      </w:r>
      <w:r w:rsidRPr="00990EAC">
        <w:rPr>
          <w:strike/>
          <w:color w:val="FF0000"/>
        </w:rPr>
        <w:t>,</w:t>
      </w:r>
      <w:r w:rsidRPr="00990EAC">
        <w:t xml:space="preserve"> e</w:t>
      </w:r>
      <w:r>
        <w:t>xplosive</w:t>
      </w:r>
      <w:r w:rsidRPr="00251D0E">
        <w:rPr>
          <w:lang w:val="en-US"/>
        </w:rPr>
        <w:t xml:space="preserve"> </w:t>
      </w:r>
      <w:r w:rsidRPr="00251D0E">
        <w:rPr>
          <w:iCs/>
          <w:lang w:val="en-US"/>
        </w:rPr>
        <w:t>or pyrotechnic effect.</w:t>
      </w:r>
    </w:p>
    <w:p w:rsidR="00812B16" w:rsidRDefault="00E537A6" w:rsidP="004F2B97">
      <w:pPr>
        <w:pStyle w:val="SingleTxtG"/>
        <w:keepNext/>
        <w:keepLines/>
        <w:tabs>
          <w:tab w:val="left" w:pos="8505"/>
        </w:tabs>
        <w:spacing w:line="240" w:lineRule="auto"/>
        <w:rPr>
          <w:i/>
        </w:rPr>
      </w:pPr>
      <w:r w:rsidRPr="00E537A6">
        <w:rPr>
          <w:i/>
          <w:lang w:val="en-AU"/>
        </w:rPr>
        <w:t>(</w:t>
      </w:r>
      <w:r w:rsidR="00812B16" w:rsidRPr="00E537A6">
        <w:rPr>
          <w:i/>
        </w:rPr>
        <w:t>Ref.Doc:</w:t>
      </w:r>
      <w:r w:rsidRPr="00E537A6">
        <w:rPr>
          <w:i/>
        </w:rPr>
        <w:t xml:space="preserve"> Report </w:t>
      </w:r>
      <w:r w:rsidR="00812B16" w:rsidRPr="00E537A6">
        <w:rPr>
          <w:i/>
        </w:rPr>
        <w:t>of the Explosives Working Group (TGD/INF.</w:t>
      </w:r>
      <w:r w:rsidRPr="00E537A6">
        <w:rPr>
          <w:i/>
        </w:rPr>
        <w:t>59</w:t>
      </w:r>
      <w:r w:rsidR="00812B16" w:rsidRPr="00E537A6">
        <w:rPr>
          <w:i/>
        </w:rPr>
        <w:t>)</w:t>
      </w:r>
      <w:r w:rsidR="004F2B97">
        <w:rPr>
          <w:i/>
        </w:rPr>
        <w:t>, paragraph 5 and Annex </w:t>
      </w:r>
      <w:r w:rsidRPr="00E537A6">
        <w:rPr>
          <w:i/>
        </w:rPr>
        <w:t>4)</w:t>
      </w:r>
    </w:p>
    <w:p w:rsidR="00A713A9" w:rsidRPr="00A713A9" w:rsidRDefault="00FB57BB" w:rsidP="00767CB5">
      <w:pPr>
        <w:pStyle w:val="H1G"/>
      </w:pPr>
      <w:r>
        <w:tab/>
      </w:r>
      <w:r w:rsidR="00767CB5">
        <w:t>B.</w:t>
      </w:r>
      <w:r w:rsidR="00767CB5">
        <w:tab/>
        <w:t xml:space="preserve">Consequential amendment to </w:t>
      </w:r>
      <w:r w:rsidR="00A713A9" w:rsidRPr="00A713A9">
        <w:t>Chapter 2.7</w:t>
      </w:r>
      <w:r w:rsidR="00767CB5">
        <w:t xml:space="preserve"> of the GHS resulting from the adoption of amendments to the t</w:t>
      </w:r>
      <w:r w:rsidR="00767CB5" w:rsidRPr="00A713A9">
        <w:rPr>
          <w:lang w:eastAsia="ja-JP"/>
        </w:rPr>
        <w:t>est method for readily combustible solids (Test N.1)</w:t>
      </w:r>
      <w:r w:rsidR="00767CB5">
        <w:rPr>
          <w:lang w:eastAsia="ja-JP"/>
        </w:rPr>
        <w:t xml:space="preserve"> in the Manual of Tests and Criteria</w:t>
      </w:r>
    </w:p>
    <w:p w:rsidR="00A713A9" w:rsidRDefault="00A713A9" w:rsidP="004F2B97">
      <w:pPr>
        <w:pStyle w:val="SingleTxtG"/>
        <w:ind w:right="567"/>
      </w:pPr>
      <w:r>
        <w:t xml:space="preserve">Amend paragraph 2.7.2.2 as shown below (new text is </w:t>
      </w:r>
      <w:r w:rsidRPr="004F2B97">
        <w:rPr>
          <w:u w:val="single"/>
        </w:rPr>
        <w:t>underlined</w:t>
      </w:r>
      <w:r>
        <w:t>):</w:t>
      </w:r>
    </w:p>
    <w:p w:rsidR="00A713A9" w:rsidRDefault="00A713A9" w:rsidP="004F2B97">
      <w:pPr>
        <w:pStyle w:val="SingleTxtG"/>
        <w:ind w:right="567"/>
      </w:pPr>
      <w:r w:rsidRPr="00982B2C">
        <w:t>“2.7.2.2</w:t>
      </w:r>
      <w:r w:rsidRPr="00982B2C">
        <w:tab/>
        <w:t xml:space="preserve">Powders of metals or metal alloys shall be classified as flammable solids when they can be ignited and the reaction spreads over the whole length of the sample </w:t>
      </w:r>
      <w:r w:rsidRPr="004506F9">
        <w:rPr>
          <w:u w:val="single"/>
        </w:rPr>
        <w:t>(100 mm)</w:t>
      </w:r>
      <w:r w:rsidRPr="004506F9">
        <w:t xml:space="preserve"> </w:t>
      </w:r>
      <w:r w:rsidRPr="00982B2C">
        <w:t>in 10 min or less”.</w:t>
      </w:r>
    </w:p>
    <w:p w:rsidR="00A713A9" w:rsidRPr="00A713A9" w:rsidRDefault="00E537A6" w:rsidP="00767CB5">
      <w:pPr>
        <w:pStyle w:val="SingleTxtG"/>
        <w:ind w:right="0"/>
        <w:rPr>
          <w:i/>
        </w:rPr>
      </w:pPr>
      <w:r w:rsidRPr="00011120">
        <w:rPr>
          <w:i/>
          <w:lang w:val="en-AU"/>
        </w:rPr>
        <w:t>(</w:t>
      </w:r>
      <w:r w:rsidR="004F2B97" w:rsidRPr="00011120">
        <w:rPr>
          <w:i/>
        </w:rPr>
        <w:t xml:space="preserve">Reference: item </w:t>
      </w:r>
      <w:r w:rsidR="00011120" w:rsidRPr="00011120">
        <w:rPr>
          <w:i/>
        </w:rPr>
        <w:t xml:space="preserve">8 </w:t>
      </w:r>
      <w:r w:rsidR="004F2B97" w:rsidRPr="00011120">
        <w:rPr>
          <w:i/>
        </w:rPr>
        <w:t>in this document)</w:t>
      </w:r>
    </w:p>
    <w:p w:rsidR="00E54E89" w:rsidRDefault="00E54E89">
      <w:pPr>
        <w:suppressAutoHyphens w:val="0"/>
        <w:spacing w:line="240" w:lineRule="auto"/>
      </w:pPr>
      <w:r>
        <w:br w:type="page"/>
      </w:r>
    </w:p>
    <w:p w:rsidR="00E54E89" w:rsidRPr="004913F3" w:rsidRDefault="00E54E89" w:rsidP="00B1471F">
      <w:pPr>
        <w:pStyle w:val="HChG"/>
      </w:pPr>
      <w:r w:rsidRPr="004913F3">
        <w:lastRenderedPageBreak/>
        <w:t>Annex</w:t>
      </w:r>
      <w:r>
        <w:t xml:space="preserve"> II</w:t>
      </w:r>
    </w:p>
    <w:p w:rsidR="00E54E89" w:rsidRDefault="00E54E89" w:rsidP="00B1471F">
      <w:pPr>
        <w:pStyle w:val="HChG"/>
      </w:pPr>
      <w:r>
        <w:tab/>
        <w:t>Use of the Manual of Test and Criteria in the context of the GHS</w:t>
      </w:r>
    </w:p>
    <w:p w:rsidR="00E54E89" w:rsidRPr="00800BE4" w:rsidRDefault="00E54E89" w:rsidP="00E54E89">
      <w:pPr>
        <w:pStyle w:val="H1G"/>
        <w:tabs>
          <w:tab w:val="clear" w:pos="851"/>
        </w:tabs>
        <w:ind w:left="0" w:right="0" w:firstLine="0"/>
      </w:pPr>
      <w:r w:rsidRPr="00800BE4">
        <w:t>Amendments to document ST/SG/AC.10/C.3/2016/83</w:t>
      </w:r>
      <w:r>
        <w:t xml:space="preserve"> </w:t>
      </w:r>
      <w:r w:rsidRPr="00800BE4">
        <w:t xml:space="preserve">- ST/SG/AC.10/C.4/2016/16 </w:t>
      </w:r>
      <w:r w:rsidR="00E03623" w:rsidRPr="00011120">
        <w:t xml:space="preserve">recommended </w:t>
      </w:r>
      <w:r w:rsidRPr="00011120">
        <w:t xml:space="preserve">by the Explosives Working Group </w:t>
      </w:r>
      <w:r w:rsidR="00E03623" w:rsidRPr="00011120">
        <w:t>and agreed by the TDG Sub-Committee</w:t>
      </w:r>
    </w:p>
    <w:p w:rsidR="00E54E89" w:rsidRDefault="00E54E89" w:rsidP="00E54E89">
      <w:pPr>
        <w:pStyle w:val="SingleTxtG"/>
        <w:spacing w:line="240" w:lineRule="auto"/>
        <w:ind w:left="562" w:right="43"/>
        <w:rPr>
          <w:sz w:val="22"/>
          <w:szCs w:val="22"/>
        </w:rPr>
      </w:pPr>
      <w:r>
        <w:rPr>
          <w:sz w:val="22"/>
          <w:szCs w:val="22"/>
        </w:rPr>
        <w:t>Ignore the changes to Sections 1 and 10 (except those listed in Amendment 5), as well as those to Part II and III.</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Section 11</w:t>
      </w:r>
      <w:r w:rsidRPr="00D944A7">
        <w:rPr>
          <w:sz w:val="22"/>
          <w:szCs w:val="22"/>
        </w:rPr>
        <w:tab/>
        <w:t>Amendments agreed with the following modifications:</w:t>
      </w:r>
    </w:p>
    <w:p w:rsidR="00E54E89" w:rsidRPr="00D944A7" w:rsidRDefault="00E54E89" w:rsidP="00E54E89">
      <w:pPr>
        <w:tabs>
          <w:tab w:val="left" w:pos="1701"/>
          <w:tab w:val="left" w:pos="1985"/>
        </w:tabs>
        <w:spacing w:after="120" w:line="240" w:lineRule="auto"/>
        <w:ind w:left="1985" w:right="43" w:hanging="1423"/>
        <w:jc w:val="both"/>
        <w:rPr>
          <w:sz w:val="22"/>
          <w:szCs w:val="22"/>
        </w:rPr>
      </w:pPr>
      <w:r w:rsidRPr="00D944A7">
        <w:rPr>
          <w:sz w:val="22"/>
          <w:szCs w:val="22"/>
        </w:rPr>
        <w:t>11.4.1.2.1</w:t>
      </w:r>
      <w:r w:rsidRPr="00D944A7">
        <w:rPr>
          <w:sz w:val="22"/>
          <w:szCs w:val="22"/>
        </w:rPr>
        <w:tab/>
      </w:r>
      <w:r w:rsidRPr="00D944A7">
        <w:rPr>
          <w:sz w:val="22"/>
          <w:szCs w:val="22"/>
        </w:rPr>
        <w:tab/>
        <w:t>Remove this amendment from the list of amendments and include it in a corrigendum to the 6th revised edition.</w:t>
      </w:r>
    </w:p>
    <w:p w:rsidR="00E54E89" w:rsidRPr="00D944A7" w:rsidRDefault="00E54E89" w:rsidP="00E54E89">
      <w:pPr>
        <w:tabs>
          <w:tab w:val="left" w:pos="1701"/>
          <w:tab w:val="left" w:pos="1985"/>
        </w:tabs>
        <w:spacing w:after="120" w:line="240" w:lineRule="auto"/>
        <w:ind w:left="1985" w:right="43" w:hanging="1423"/>
        <w:jc w:val="both"/>
        <w:rPr>
          <w:sz w:val="22"/>
          <w:szCs w:val="22"/>
        </w:rPr>
      </w:pPr>
      <w:r w:rsidRPr="00D944A7">
        <w:rPr>
          <w:sz w:val="22"/>
          <w:szCs w:val="22"/>
        </w:rPr>
        <w:t>11.5.1.3.1</w:t>
      </w:r>
      <w:r w:rsidRPr="00D944A7">
        <w:rPr>
          <w:sz w:val="22"/>
          <w:szCs w:val="22"/>
        </w:rPr>
        <w:tab/>
      </w:r>
      <w:r w:rsidRPr="00D944A7">
        <w:rPr>
          <w:sz w:val="22"/>
          <w:szCs w:val="22"/>
        </w:rPr>
        <w:tab/>
        <w:t>Amend to read as follows:</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“In footnote 1, replace “transport conditions” with “operating conditions”</w:t>
      </w:r>
    </w:p>
    <w:p w:rsidR="00E54E89" w:rsidRPr="00D944A7" w:rsidRDefault="00E54E89" w:rsidP="00E54E89">
      <w:pPr>
        <w:tabs>
          <w:tab w:val="left" w:pos="1985"/>
        </w:tabs>
        <w:spacing w:after="120" w:line="240" w:lineRule="auto"/>
        <w:ind w:left="562" w:right="43"/>
        <w:jc w:val="both"/>
        <w:rPr>
          <w:sz w:val="22"/>
          <w:szCs w:val="22"/>
        </w:rPr>
      </w:pPr>
      <w:r w:rsidRPr="00D944A7">
        <w:rPr>
          <w:b/>
          <w:sz w:val="22"/>
          <w:szCs w:val="22"/>
        </w:rPr>
        <w:t>Section 12</w:t>
      </w:r>
      <w:r w:rsidRPr="00D944A7">
        <w:rPr>
          <w:sz w:val="22"/>
          <w:szCs w:val="22"/>
        </w:rPr>
        <w:tab/>
        <w:t>Amendments agreed with the following modifications:</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12.5.1.3.1</w:t>
      </w:r>
      <w:r w:rsidRPr="00D944A7">
        <w:rPr>
          <w:sz w:val="22"/>
          <w:szCs w:val="22"/>
        </w:rPr>
        <w:tab/>
        <w:t>Amend to read as follows:</w:t>
      </w:r>
    </w:p>
    <w:p w:rsidR="00E54E89" w:rsidRPr="00D944A7" w:rsidRDefault="00E54E89" w:rsidP="00E54E89">
      <w:pPr>
        <w:tabs>
          <w:tab w:val="left" w:pos="1701"/>
          <w:tab w:val="left" w:pos="1985"/>
        </w:tabs>
        <w:spacing w:after="120" w:line="240" w:lineRule="auto"/>
        <w:ind w:left="1985" w:right="43" w:hanging="1423"/>
        <w:jc w:val="both"/>
        <w:rPr>
          <w:sz w:val="22"/>
          <w:szCs w:val="22"/>
        </w:rPr>
      </w:pPr>
      <w:r w:rsidRPr="00D944A7">
        <w:rPr>
          <w:sz w:val="22"/>
          <w:szCs w:val="22"/>
        </w:rPr>
        <w:tab/>
      </w:r>
      <w:r w:rsidRPr="00D944A7">
        <w:rPr>
          <w:sz w:val="22"/>
          <w:szCs w:val="22"/>
        </w:rPr>
        <w:tab/>
        <w:t>“In footnote 1, replace “transport conditions” with “operating conditions”</w:t>
      </w:r>
    </w:p>
    <w:p w:rsidR="00E54E89" w:rsidRPr="00D944A7" w:rsidRDefault="00E54E89" w:rsidP="00E54E89">
      <w:pPr>
        <w:spacing w:after="120" w:line="240" w:lineRule="auto"/>
        <w:ind w:left="1985" w:right="43" w:hanging="1423"/>
        <w:jc w:val="both"/>
        <w:rPr>
          <w:sz w:val="22"/>
          <w:szCs w:val="22"/>
        </w:rPr>
      </w:pPr>
      <w:r w:rsidRPr="00D944A7">
        <w:rPr>
          <w:b/>
          <w:sz w:val="22"/>
          <w:szCs w:val="22"/>
        </w:rPr>
        <w:t>Section 13</w:t>
      </w:r>
      <w:r w:rsidRPr="00D944A7">
        <w:rPr>
          <w:sz w:val="22"/>
          <w:szCs w:val="22"/>
        </w:rPr>
        <w:tab/>
        <w:t>Amendments agreed with the following modifications:</w:t>
      </w:r>
    </w:p>
    <w:p w:rsidR="00E54E89" w:rsidRPr="00D944A7" w:rsidRDefault="00E54E89" w:rsidP="00E54E89">
      <w:pPr>
        <w:spacing w:after="120" w:line="240" w:lineRule="auto"/>
        <w:ind w:left="1985" w:right="43" w:hanging="1423"/>
        <w:jc w:val="both"/>
        <w:rPr>
          <w:sz w:val="22"/>
          <w:szCs w:val="22"/>
        </w:rPr>
      </w:pPr>
      <w:r w:rsidRPr="00D944A7">
        <w:rPr>
          <w:sz w:val="22"/>
          <w:szCs w:val="22"/>
        </w:rPr>
        <w:t>13.1</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“Amend to read as follows:</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shall be categorised as an unstable explosive; consequentially the substance is not permitted for transport. The question in box 11 is answered "yes" if a "+" is obtained in any of the test types 3(a), 3(b) or 3(d). If a "+" is obtained, the substance shall be categorised as an unstable explosive in the form in which it was tested but may be encapsulated or otherwise desensitized or packaged to reduce its sensitiveness to external stimuli.</w:t>
      </w:r>
    </w:p>
    <w:p w:rsidR="00E54E89" w:rsidRPr="00D944A7" w:rsidRDefault="00E54E89" w:rsidP="00E54E89">
      <w:pPr>
        <w:tabs>
          <w:tab w:val="left" w:pos="1985"/>
        </w:tabs>
        <w:spacing w:after="120" w:line="240" w:lineRule="auto"/>
        <w:ind w:left="1985" w:right="43" w:hanging="1423"/>
        <w:jc w:val="both"/>
        <w:rPr>
          <w:i/>
          <w:sz w:val="22"/>
          <w:szCs w:val="22"/>
        </w:rPr>
      </w:pPr>
      <w:r w:rsidRPr="00D944A7">
        <w:rPr>
          <w:b/>
          <w:i/>
          <w:sz w:val="22"/>
          <w:szCs w:val="22"/>
        </w:rPr>
        <w:tab/>
        <w:t>NOTE</w:t>
      </w:r>
      <w:r w:rsidRPr="00D944A7">
        <w:rPr>
          <w:i/>
          <w:sz w:val="22"/>
          <w:szCs w:val="22"/>
        </w:rPr>
        <w:t xml:space="preserve">: </w:t>
      </w:r>
      <w:r w:rsidRPr="00D944A7">
        <w:rPr>
          <w:i/>
          <w:sz w:val="22"/>
          <w:szCs w:val="22"/>
        </w:rPr>
        <w:tab/>
        <w:t>Although explosives categorised as unstable explosives are forbidden for transport they are not prohibited in other sectors where special precautions may be applied.”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13.3.2</w:t>
      </w:r>
      <w:r w:rsidRPr="00D944A7">
        <w:rPr>
          <w:sz w:val="22"/>
          <w:szCs w:val="22"/>
        </w:rPr>
        <w:tab/>
        <w:t>Amend to read as follows:</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“Replace “wetting agent provided for transport” with “wetting agent specified”.”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13.4</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“Throughout the whole sub-section replace “too dangerous to transport” and “too dangerous for transport” with “an unstable explosive”.</w:t>
      </w:r>
    </w:p>
    <w:p w:rsidR="00E54E89" w:rsidRPr="00D944A7" w:rsidRDefault="00E54E89" w:rsidP="00E54E89">
      <w:pPr>
        <w:tabs>
          <w:tab w:val="left" w:pos="1985"/>
        </w:tabs>
        <w:spacing w:after="120" w:line="240" w:lineRule="auto"/>
        <w:ind w:left="1985" w:right="43" w:hanging="1423"/>
        <w:jc w:val="both"/>
        <w:rPr>
          <w:i/>
          <w:sz w:val="22"/>
          <w:szCs w:val="22"/>
        </w:rPr>
      </w:pPr>
      <w:r w:rsidRPr="00D944A7">
        <w:rPr>
          <w:i/>
          <w:sz w:val="22"/>
          <w:szCs w:val="22"/>
        </w:rPr>
        <w:tab/>
        <w:t>(Applies to the following paragraphs: 13.4.1.1; 13.4.1.4.1; 13.4.1.4.2; 13.4.2.1; 13.4.2.4; 13.4.3.1; 13.4.3.4.1 (twice); 13.4.3.4.2 (twice); 13.4.4.1; 13.4.4.4; 13.4.5.1; 13.4.5.4.2; 13.4.5.4.3; 13.4.6.1; 13.4.6.4.1; 13.4.6.4.2; 13.4.7.1; 13.4.7.5.1 and 13.4.7.5.2)</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lastRenderedPageBreak/>
        <w:t>13.4.2.3.1 (c)</w:t>
      </w:r>
      <w:r w:rsidRPr="00D944A7">
        <w:rPr>
          <w:sz w:val="22"/>
          <w:szCs w:val="22"/>
        </w:rPr>
        <w:tab/>
        <w:t>Replace with the following:</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tab/>
        <w:t>“Replace “are transported” with “are manufactured”.”</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t>13.4.6.3.1.1</w:t>
      </w:r>
      <w:r w:rsidRPr="00D944A7">
        <w:rPr>
          <w:sz w:val="22"/>
          <w:szCs w:val="22"/>
        </w:rPr>
        <w:tab/>
        <w:t>Replace with the following:</w:t>
      </w:r>
    </w:p>
    <w:p w:rsidR="00E54E89" w:rsidRPr="00D944A7" w:rsidRDefault="00E54E89" w:rsidP="00E54E89">
      <w:pPr>
        <w:spacing w:after="120" w:line="240" w:lineRule="auto"/>
        <w:ind w:left="1985" w:right="43" w:hanging="1418"/>
        <w:jc w:val="both"/>
        <w:rPr>
          <w:sz w:val="22"/>
          <w:szCs w:val="22"/>
        </w:rPr>
      </w:pPr>
      <w:r w:rsidRPr="00D944A7">
        <w:rPr>
          <w:sz w:val="22"/>
          <w:szCs w:val="22"/>
        </w:rPr>
        <w:tab/>
        <w:t>“At the end of the second sentence replace “wetting agent required for transport” with “wetting agent specified”.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13.4.7.3.1</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“At the end of the second sentence replace “wetting agent required for transport” with “wetting agent specified”.</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t>13.5</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“Throughout the whole sub-section replace “too dangerous to transport” and “too dangerous for transport” with “an unstable explosive”.</w:t>
      </w:r>
    </w:p>
    <w:p w:rsidR="00E54E89" w:rsidRPr="00D944A7" w:rsidRDefault="00E54E89" w:rsidP="00E54E89">
      <w:pPr>
        <w:tabs>
          <w:tab w:val="left" w:pos="1985"/>
        </w:tabs>
        <w:spacing w:after="120" w:line="240" w:lineRule="auto"/>
        <w:ind w:left="1985" w:right="43" w:hanging="1423"/>
        <w:jc w:val="both"/>
        <w:rPr>
          <w:i/>
          <w:sz w:val="22"/>
          <w:szCs w:val="22"/>
        </w:rPr>
      </w:pPr>
      <w:r w:rsidRPr="00D944A7">
        <w:rPr>
          <w:sz w:val="22"/>
          <w:szCs w:val="22"/>
        </w:rPr>
        <w:tab/>
      </w:r>
      <w:r w:rsidRPr="00D944A7">
        <w:rPr>
          <w:i/>
          <w:sz w:val="22"/>
          <w:szCs w:val="22"/>
        </w:rPr>
        <w:t>(Applies to the following paragraphs: 13.5.1.1; 13.5.1.3.4; 13.5.2.1; 13.5.2.4 (twice); 13.5.3.1; 13.5.3.4; 13.5.4.1 and 13.5.4.5)</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t>13.5.1.3.1</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“At the end of the second sentence replace “wetting agent provided for transport” with “wetting agent specified” and in sub-paragraph (c) replace “are transported” with “are manufactured”.</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t>13.5.3.3.1</w:t>
      </w:r>
      <w:r w:rsidRPr="00D944A7">
        <w:rPr>
          <w:sz w:val="22"/>
          <w:szCs w:val="22"/>
        </w:rPr>
        <w:tab/>
        <w:t>Replace with the following:</w:t>
      </w:r>
    </w:p>
    <w:p w:rsidR="00E54E89" w:rsidRPr="00D944A7" w:rsidRDefault="00E54E89" w:rsidP="00E54E89">
      <w:pPr>
        <w:tabs>
          <w:tab w:val="left" w:pos="1985"/>
        </w:tabs>
        <w:spacing w:after="120" w:line="240" w:lineRule="auto"/>
        <w:ind w:left="562" w:right="43"/>
        <w:jc w:val="both"/>
        <w:rPr>
          <w:sz w:val="22"/>
          <w:szCs w:val="22"/>
        </w:rPr>
      </w:pPr>
      <w:r w:rsidRPr="00D944A7">
        <w:rPr>
          <w:sz w:val="22"/>
          <w:szCs w:val="22"/>
        </w:rPr>
        <w:tab/>
        <w:t>“Replace “wetting agent provided for transport” with “wetting agent specified”.”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13.5.4.3.1</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“Replace “wetting agent provided for transport” with “wetting agent specified”.”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13.6.1.3.1</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“Amend the last sentence to read as follows: “If explosion or ignit</w:t>
      </w:r>
      <w:r>
        <w:rPr>
          <w:sz w:val="22"/>
          <w:szCs w:val="22"/>
        </w:rPr>
        <w:t>ion occurs then the substance is</w:t>
      </w:r>
      <w:r w:rsidRPr="00D944A7">
        <w:rPr>
          <w:sz w:val="22"/>
          <w:szCs w:val="22"/>
        </w:rPr>
        <w:t xml:space="preserve"> too thermally unstable for transport and shall be categorized as an unstable explosive”.”</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13.6.1.3.2</w:t>
      </w:r>
      <w:r w:rsidRPr="00D944A7">
        <w:rPr>
          <w:sz w:val="22"/>
          <w:szCs w:val="22"/>
        </w:rPr>
        <w:tab/>
        <w:t>Remove this amendment from the list of amendments and include it in a corrigendum to the 6th revised edition.</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13.6.1.4.2</w:t>
      </w:r>
      <w:r w:rsidRPr="00D944A7">
        <w:rPr>
          <w:sz w:val="22"/>
          <w:szCs w:val="22"/>
        </w:rPr>
        <w:tab/>
        <w:t>In the proposed amendment, replace “shall be classified” with “shall be categorised”.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13.6.2.4.2</w:t>
      </w:r>
      <w:r w:rsidRPr="00D944A7">
        <w:rPr>
          <w:sz w:val="22"/>
          <w:szCs w:val="22"/>
        </w:rPr>
        <w:tab/>
        <w:t>In the proposed amendment, replace “shall be classified” with “shall be categorised”.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13.7.1.3</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“In the last paragraph, replace “too dangerous for transport” with “an unstable explosive”.</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Section 14</w:t>
      </w:r>
      <w:r w:rsidRPr="00D944A7">
        <w:rPr>
          <w:sz w:val="22"/>
          <w:szCs w:val="22"/>
        </w:rPr>
        <w:tab/>
        <w:t>Delete all the proposed amendments to this section.</w:t>
      </w:r>
      <w:r w:rsidRPr="00D944A7">
        <w:rPr>
          <w:sz w:val="22"/>
          <w:szCs w:val="22"/>
        </w:rPr>
        <w:tab/>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Section 15</w:t>
      </w:r>
      <w:r w:rsidRPr="00D944A7">
        <w:rPr>
          <w:sz w:val="22"/>
          <w:szCs w:val="22"/>
        </w:rPr>
        <w:tab/>
        <w:t>Amendments agreed with the following modifications:</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15.4.1.3</w:t>
      </w:r>
      <w:r w:rsidRPr="00D944A7">
        <w:rPr>
          <w:sz w:val="22"/>
          <w:szCs w:val="22"/>
        </w:rPr>
        <w:tab/>
        <w:t>In the amendment to the fourth last but one sentence, replace “which can be subjected” with “which could be subjected”.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15.6.1.1</w:t>
      </w:r>
      <w:r w:rsidRPr="00D944A7">
        <w:rPr>
          <w:sz w:val="22"/>
          <w:szCs w:val="22"/>
        </w:rPr>
        <w:tab/>
        <w:t>Replace with the following:</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“Replace “packaged as for transport” with “as packaged for transport”.”</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lastRenderedPageBreak/>
        <w:t>15.6.1.3.1</w:t>
      </w:r>
      <w:r w:rsidRPr="00D944A7">
        <w:rPr>
          <w:sz w:val="22"/>
          <w:szCs w:val="22"/>
        </w:rPr>
        <w:tab/>
        <w:t>Delete the proposed amendment.</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Section 16</w:t>
      </w:r>
      <w:r w:rsidRPr="00D944A7">
        <w:rPr>
          <w:sz w:val="22"/>
          <w:szCs w:val="22"/>
        </w:rPr>
        <w:tab/>
        <w:t>Amendments agreed with the following modifications:</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16.3.1</w:t>
      </w:r>
      <w:r w:rsidRPr="00D944A7">
        <w:rPr>
          <w:sz w:val="22"/>
          <w:szCs w:val="22"/>
        </w:rPr>
        <w:tab/>
        <w:t>Delete the amendment to the first sentence.</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ab/>
        <w:t>Replace the amendment to the second sentence with the following: “In the second sentence replace “most disadvantageous” with “most severe”.</w:t>
      </w:r>
    </w:p>
    <w:p w:rsidR="00E54E89" w:rsidRPr="00D944A7" w:rsidRDefault="00E54E89" w:rsidP="00E54E89">
      <w:pPr>
        <w:tabs>
          <w:tab w:val="left" w:pos="1985"/>
        </w:tabs>
        <w:spacing w:after="120" w:line="240" w:lineRule="auto"/>
        <w:ind w:left="1985" w:right="43" w:hanging="1423"/>
        <w:jc w:val="both"/>
        <w:rPr>
          <w:i/>
          <w:sz w:val="22"/>
          <w:szCs w:val="22"/>
        </w:rPr>
      </w:pPr>
      <w:r w:rsidRPr="00D944A7">
        <w:rPr>
          <w:sz w:val="22"/>
          <w:szCs w:val="22"/>
        </w:rPr>
        <w:tab/>
      </w:r>
      <w:r w:rsidRPr="00D944A7">
        <w:rPr>
          <w:i/>
          <w:sz w:val="22"/>
          <w:szCs w:val="22"/>
        </w:rPr>
        <w:t>(The amendment to the third sentence remains unchanged)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16.4.1.3.1</w:t>
      </w:r>
      <w:r w:rsidRPr="00D944A7">
        <w:rPr>
          <w:sz w:val="22"/>
          <w:szCs w:val="22"/>
        </w:rPr>
        <w:tab/>
        <w:t>Delete the amendment to the first sentence.</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16.5.1.3</w:t>
      </w:r>
      <w:r w:rsidRPr="00D944A7">
        <w:rPr>
          <w:sz w:val="22"/>
          <w:szCs w:val="22"/>
        </w:rPr>
        <w:tab/>
        <w:t>Delete the amendment to the first sentence.</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16.6.1.3.1</w:t>
      </w:r>
      <w:r w:rsidRPr="00D944A7">
        <w:rPr>
          <w:sz w:val="22"/>
          <w:szCs w:val="22"/>
        </w:rPr>
        <w:tab/>
        <w:t>Delete the proposed amendment.</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16.7.1.3.1</w:t>
      </w:r>
      <w:r w:rsidRPr="00D944A7">
        <w:rPr>
          <w:sz w:val="22"/>
          <w:szCs w:val="22"/>
        </w:rPr>
        <w:tab/>
        <w:t>Replace the amendment with the following: “In the second sentence replace “are to be carried” with “are classified”.”</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Section 17</w:t>
      </w:r>
      <w:r w:rsidRPr="00D944A7">
        <w:rPr>
          <w:sz w:val="22"/>
          <w:szCs w:val="22"/>
        </w:rPr>
        <w:tab/>
        <w:t>Delete all amendments except the one addressing paragraph 17.11.1.2.1.</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Section 18</w:t>
      </w:r>
      <w:r w:rsidRPr="00D944A7">
        <w:rPr>
          <w:sz w:val="22"/>
          <w:szCs w:val="22"/>
        </w:rPr>
        <w:tab/>
        <w:t xml:space="preserve">Amendments agreed without modifications. </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Appendix 5</w:t>
      </w:r>
      <w:r w:rsidRPr="00D944A7">
        <w:rPr>
          <w:sz w:val="22"/>
          <w:szCs w:val="22"/>
        </w:rPr>
        <w:tab/>
        <w:t>Amendments agreed with the following modification:</w:t>
      </w:r>
    </w:p>
    <w:p w:rsidR="00E54E89" w:rsidRPr="00D944A7" w:rsidRDefault="00E54E89" w:rsidP="00E54E89">
      <w:pPr>
        <w:tabs>
          <w:tab w:val="left" w:pos="1985"/>
        </w:tabs>
        <w:spacing w:after="120" w:line="240" w:lineRule="auto"/>
        <w:ind w:left="1985" w:right="43" w:hanging="1423"/>
        <w:jc w:val="both"/>
        <w:rPr>
          <w:sz w:val="22"/>
          <w:szCs w:val="22"/>
        </w:rPr>
      </w:pPr>
      <w:r w:rsidRPr="00D944A7">
        <w:rPr>
          <w:sz w:val="22"/>
          <w:szCs w:val="22"/>
        </w:rPr>
        <w:t>Section 2</w:t>
      </w:r>
      <w:r w:rsidRPr="00D944A7">
        <w:rPr>
          <w:sz w:val="22"/>
          <w:szCs w:val="22"/>
        </w:rPr>
        <w:tab/>
        <w:t>At the end of the 7th sentence (“Usually, the bursting pressure...”) do not delete the word “transport” but replace it by “operating” .</w:t>
      </w:r>
    </w:p>
    <w:p w:rsidR="00E54E89" w:rsidRPr="00D944A7" w:rsidRDefault="00E54E89" w:rsidP="00E54E89">
      <w:pPr>
        <w:tabs>
          <w:tab w:val="left" w:pos="1985"/>
        </w:tabs>
        <w:spacing w:after="120" w:line="240" w:lineRule="auto"/>
        <w:ind w:left="1985" w:right="43" w:hanging="1423"/>
        <w:jc w:val="both"/>
        <w:rPr>
          <w:sz w:val="22"/>
          <w:szCs w:val="22"/>
        </w:rPr>
      </w:pPr>
      <w:r w:rsidRPr="00D944A7">
        <w:rPr>
          <w:b/>
          <w:sz w:val="22"/>
          <w:szCs w:val="22"/>
        </w:rPr>
        <w:t>Appendix 6</w:t>
      </w:r>
      <w:r w:rsidRPr="00D944A7">
        <w:rPr>
          <w:sz w:val="22"/>
          <w:szCs w:val="22"/>
        </w:rPr>
        <w:t xml:space="preserve"> </w:t>
      </w:r>
      <w:r w:rsidRPr="00D944A7">
        <w:rPr>
          <w:sz w:val="22"/>
          <w:szCs w:val="22"/>
        </w:rPr>
        <w:tab/>
        <w:t>Amendments agreed with the following modification:</w:t>
      </w:r>
    </w:p>
    <w:p w:rsidR="00E54E89" w:rsidRDefault="00E54E89" w:rsidP="00E54E89">
      <w:pPr>
        <w:tabs>
          <w:tab w:val="left" w:pos="1985"/>
        </w:tabs>
        <w:spacing w:after="120" w:line="240" w:lineRule="auto"/>
        <w:ind w:left="1985" w:right="43" w:hanging="1423"/>
        <w:jc w:val="both"/>
        <w:rPr>
          <w:sz w:val="22"/>
          <w:szCs w:val="22"/>
        </w:rPr>
      </w:pPr>
      <w:r w:rsidRPr="00D944A7">
        <w:rPr>
          <w:sz w:val="22"/>
          <w:szCs w:val="22"/>
        </w:rPr>
        <w:t>2.2</w:t>
      </w:r>
      <w:r w:rsidRPr="00D944A7">
        <w:rPr>
          <w:sz w:val="22"/>
          <w:szCs w:val="22"/>
        </w:rPr>
        <w:tab/>
        <w:t xml:space="preserve">In the amendment relating to the new sentence to be added at the end, replace “during normal operation of transport, storage or use’ with “during </w:t>
      </w:r>
      <w:r>
        <w:rPr>
          <w:sz w:val="22"/>
          <w:szCs w:val="22"/>
        </w:rPr>
        <w:t xml:space="preserve">normal </w:t>
      </w:r>
      <w:r w:rsidRPr="00D944A7">
        <w:rPr>
          <w:sz w:val="22"/>
          <w:szCs w:val="22"/>
        </w:rPr>
        <w:t xml:space="preserve">operating conditions’’ </w:t>
      </w:r>
    </w:p>
    <w:p w:rsidR="00E54E89" w:rsidRDefault="00E54E89" w:rsidP="00E54E89">
      <w:pPr>
        <w:pStyle w:val="SingleTxtG"/>
        <w:spacing w:line="240" w:lineRule="auto"/>
        <w:ind w:left="0" w:right="39"/>
        <w:rPr>
          <w:i/>
        </w:rPr>
      </w:pPr>
      <w:r w:rsidRPr="00195E9D">
        <w:rPr>
          <w:i/>
        </w:rPr>
        <w:t xml:space="preserve">Source:  </w:t>
      </w:r>
      <w:r>
        <w:rPr>
          <w:i/>
        </w:rPr>
        <w:t>ST/SG/AC.10/C.3/2016/83 (as amended by the working group) and item</w:t>
      </w:r>
      <w:r w:rsidRPr="00195E9D">
        <w:rPr>
          <w:i/>
        </w:rPr>
        <w:t xml:space="preserve"> </w:t>
      </w:r>
      <w:r>
        <w:rPr>
          <w:i/>
        </w:rPr>
        <w:t>2 in this document)</w:t>
      </w:r>
    </w:p>
    <w:p w:rsidR="00B1471F" w:rsidRPr="00195E9D" w:rsidRDefault="00B1471F" w:rsidP="00B1471F">
      <w:pPr>
        <w:pStyle w:val="SingleTxtG"/>
        <w:spacing w:line="240" w:lineRule="auto"/>
        <w:ind w:left="0" w:right="39"/>
        <w:jc w:val="center"/>
        <w:rPr>
          <w:i/>
        </w:rPr>
      </w:pPr>
      <w:r>
        <w:rPr>
          <w:i/>
        </w:rPr>
        <w:t>______________</w:t>
      </w:r>
    </w:p>
    <w:p w:rsidR="00E54E89" w:rsidRPr="00E54E89" w:rsidRDefault="00E54E89" w:rsidP="00E54E89"/>
    <w:p w:rsidR="00812B16" w:rsidRDefault="00812B16" w:rsidP="00812B16"/>
    <w:p w:rsidR="00812B16" w:rsidRPr="00812B16" w:rsidRDefault="00812B16" w:rsidP="00812B16"/>
    <w:p w:rsidR="005D2CA8" w:rsidRPr="00CC693C" w:rsidRDefault="00310BAE" w:rsidP="009A7A91">
      <w:pPr>
        <w:pStyle w:val="SingleTxtG"/>
      </w:pPr>
      <w:r>
        <w:rPr>
          <w:noProof/>
          <w:lang w:eastAsia="zh-CN"/>
        </w:rPr>
        <mc:AlternateContent>
          <mc:Choice Requires="wps">
            <w:drawing>
              <wp:anchor distT="4294967295" distB="4294967295" distL="114300" distR="114300" simplePos="0" relativeHeight="251661312"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9EEF15"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AHM7zDDAQAAeAMAAA4AAAAAAAAAAAAA&#10;AAAALgIAAGRycy9lMm9Eb2MueG1sUEsBAi0AFAAGAAgAAAAhAIWgeILfAAAACQEAAA8AAAAAAAAA&#10;AAAAAAAAHQQAAGRycy9kb3ducmV2LnhtbFBLBQYAAAAABAAEAPMAAAApBQAAAAA=&#10;" strokecolor="#010000" strokeweight=".25pt">
                <o:lock v:ext="edit" shapetype="f"/>
              </v:line>
            </w:pict>
          </mc:Fallback>
        </mc:AlternateContent>
      </w:r>
    </w:p>
    <w:sectPr w:rsidR="005D2CA8" w:rsidRPr="00CC693C"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3A" w:rsidRDefault="0017763A"/>
  </w:endnote>
  <w:endnote w:type="continuationSeparator" w:id="0">
    <w:p w:rsidR="0017763A" w:rsidRDefault="0017763A"/>
  </w:endnote>
  <w:endnote w:type="continuationNotice" w:id="1">
    <w:p w:rsidR="0017763A" w:rsidRDefault="0017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987370">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87370">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310BAE">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3A" w:rsidRPr="000B175B" w:rsidRDefault="0017763A" w:rsidP="000B175B">
      <w:pPr>
        <w:tabs>
          <w:tab w:val="right" w:pos="2155"/>
        </w:tabs>
        <w:spacing w:after="80"/>
        <w:ind w:left="680"/>
        <w:rPr>
          <w:u w:val="single"/>
        </w:rPr>
      </w:pPr>
      <w:r>
        <w:rPr>
          <w:u w:val="single"/>
        </w:rPr>
        <w:tab/>
      </w:r>
    </w:p>
  </w:footnote>
  <w:footnote w:type="continuationSeparator" w:id="0">
    <w:p w:rsidR="0017763A" w:rsidRPr="00FC68B7" w:rsidRDefault="0017763A" w:rsidP="00FC68B7">
      <w:pPr>
        <w:tabs>
          <w:tab w:val="left" w:pos="2155"/>
        </w:tabs>
        <w:spacing w:after="80"/>
        <w:ind w:left="680"/>
        <w:rPr>
          <w:u w:val="single"/>
        </w:rPr>
      </w:pPr>
      <w:r>
        <w:rPr>
          <w:u w:val="single"/>
        </w:rPr>
        <w:tab/>
      </w:r>
    </w:p>
  </w:footnote>
  <w:footnote w:type="continuationNotice" w:id="1">
    <w:p w:rsidR="0017763A" w:rsidRDefault="0017763A"/>
  </w:footnote>
  <w:footnote w:id="2">
    <w:p w:rsidR="003E6725" w:rsidRPr="00B81A5C" w:rsidRDefault="003E6725">
      <w:pPr>
        <w:pStyle w:val="FootnoteText"/>
        <w:rPr>
          <w:lang w:val="en-US"/>
        </w:rPr>
      </w:pPr>
      <w:r>
        <w:tab/>
      </w:r>
      <w:r>
        <w:rPr>
          <w:rStyle w:val="FootnoteReference"/>
        </w:rPr>
        <w:footnoteRef/>
      </w:r>
      <w:r>
        <w:t xml:space="preserve"> </w:t>
      </w:r>
      <w:r>
        <w:tab/>
      </w:r>
      <w:r>
        <w:rPr>
          <w:i/>
        </w:rPr>
        <w:t>A</w:t>
      </w:r>
      <w:r w:rsidRPr="00F36BA7">
        <w:rPr>
          <w:i/>
        </w:rPr>
        <w:t xml:space="preserve">vailable at: </w:t>
      </w:r>
      <w:r w:rsidR="009602EE" w:rsidRPr="009602EE">
        <w:rPr>
          <w:i/>
        </w:rPr>
        <w:t>http://www.unece.org/trans/main/dgdb/dgsubc3/c3inf50.html</w:t>
      </w:r>
    </w:p>
  </w:footnote>
  <w:footnote w:id="3">
    <w:p w:rsidR="00DD5E7B" w:rsidRPr="00462AB2" w:rsidRDefault="00DD5E7B" w:rsidP="00DD5E7B">
      <w:pPr>
        <w:pStyle w:val="FootnoteText"/>
      </w:pPr>
      <w:r>
        <w:tab/>
      </w:r>
      <w:r>
        <w:rPr>
          <w:rStyle w:val="FootnoteReference"/>
        </w:rPr>
        <w:footnoteRef/>
      </w:r>
      <w:r>
        <w:t xml:space="preserve"> </w:t>
      </w:r>
      <w:r>
        <w:tab/>
      </w:r>
      <w:r w:rsidRPr="00C76311">
        <w:t>http://www.unece.org/trans/main/dgdb/dgsubc3/c3rep.html</w:t>
      </w:r>
    </w:p>
  </w:footnote>
  <w:footnote w:id="4">
    <w:p w:rsidR="00772B67" w:rsidRPr="00772B67" w:rsidRDefault="00772B67">
      <w:pPr>
        <w:pStyle w:val="FootnoteText"/>
      </w:pPr>
      <w:r>
        <w:tab/>
      </w:r>
      <w:r>
        <w:rPr>
          <w:rStyle w:val="FootnoteReference"/>
        </w:rPr>
        <w:footnoteRef/>
      </w:r>
      <w:r>
        <w:t xml:space="preserve"> </w:t>
      </w:r>
      <w:r>
        <w:tab/>
        <w:t xml:space="preserve">The amendments to the Manual of Test and Criteria recommended by the Explosives Working Group are reproduced in Annex </w:t>
      </w:r>
      <w:r w:rsidR="00011120">
        <w:t>II</w:t>
      </w:r>
      <w:r>
        <w:t xml:space="preserve"> to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DD5E7B">
      <w:t>UN/SCEGHS/</w:t>
    </w:r>
    <w:r w:rsidR="005D2CA8" w:rsidRPr="00DD5E7B">
      <w:t>3</w:t>
    </w:r>
    <w:r w:rsidR="009602EE" w:rsidRPr="00DD5E7B">
      <w:t>2</w:t>
    </w:r>
    <w:r w:rsidRPr="00DD5E7B">
      <w:t>/INF.</w:t>
    </w:r>
    <w:r w:rsidR="00DD5E7B" w:rsidRPr="00DD5E7B">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rsidRPr="00560BCA">
      <w:t>UN/SCEGHS/</w:t>
    </w:r>
    <w:r w:rsidR="00A713A9" w:rsidRPr="00560BCA">
      <w:t>32</w:t>
    </w:r>
    <w:r w:rsidRPr="00560BCA">
      <w:t>/INF.</w:t>
    </w:r>
    <w:r w:rsidR="00560BCA" w:rsidRPr="00560BCA">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027750"/>
    <w:multiLevelType w:val="hybridMultilevel"/>
    <w:tmpl w:val="30CA23B0"/>
    <w:lvl w:ilvl="0" w:tplc="F314C598">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2F5C"/>
    <w:multiLevelType w:val="hybridMultilevel"/>
    <w:tmpl w:val="080E5AFE"/>
    <w:lvl w:ilvl="0" w:tplc="9B92BE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5">
    <w:nsid w:val="210A36B9"/>
    <w:multiLevelType w:val="hybridMultilevel"/>
    <w:tmpl w:val="01CC55AA"/>
    <w:lvl w:ilvl="0" w:tplc="F3C80A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5D47F9B"/>
    <w:multiLevelType w:val="hybridMultilevel"/>
    <w:tmpl w:val="75B4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D14EE"/>
    <w:multiLevelType w:val="hybridMultilevel"/>
    <w:tmpl w:val="519AD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4187200F"/>
    <w:multiLevelType w:val="hybridMultilevel"/>
    <w:tmpl w:val="341A26C4"/>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cs="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cs="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cs="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1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3074735"/>
    <w:multiLevelType w:val="hybridMultilevel"/>
    <w:tmpl w:val="2A845CEA"/>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2">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093B50"/>
    <w:multiLevelType w:val="hybridMultilevel"/>
    <w:tmpl w:val="E3C233E0"/>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35603BD"/>
    <w:multiLevelType w:val="hybridMultilevel"/>
    <w:tmpl w:val="4AE8F3B0"/>
    <w:lvl w:ilvl="0" w:tplc="C9602386">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74F8237D"/>
    <w:multiLevelType w:val="hybridMultilevel"/>
    <w:tmpl w:val="DA9AEAB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875BBD"/>
    <w:multiLevelType w:val="hybridMultilevel"/>
    <w:tmpl w:val="4EF6CD9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17"/>
  </w:num>
  <w:num w:numId="4">
    <w:abstractNumId w:val="8"/>
  </w:num>
  <w:num w:numId="5">
    <w:abstractNumId w:val="0"/>
  </w:num>
  <w:num w:numId="6">
    <w:abstractNumId w:val="7"/>
  </w:num>
  <w:num w:numId="7">
    <w:abstractNumId w:val="9"/>
  </w:num>
  <w:num w:numId="8">
    <w:abstractNumId w:val="1"/>
  </w:num>
  <w:num w:numId="9">
    <w:abstractNumId w:val="1"/>
  </w:num>
  <w:num w:numId="10">
    <w:abstractNumId w:val="11"/>
  </w:num>
  <w:num w:numId="11">
    <w:abstractNumId w:val="10"/>
  </w:num>
  <w:num w:numId="12">
    <w:abstractNumId w:val="12"/>
  </w:num>
  <w:num w:numId="13">
    <w:abstractNumId w:val="15"/>
  </w:num>
  <w:num w:numId="14">
    <w:abstractNumId w:val="4"/>
  </w:num>
  <w:num w:numId="15">
    <w:abstractNumId w:val="3"/>
  </w:num>
  <w:num w:numId="16">
    <w:abstractNumId w:val="5"/>
  </w:num>
  <w:num w:numId="17">
    <w:abstractNumId w:val="6"/>
  </w:num>
  <w:num w:numId="18">
    <w:abstractNumId w:val="2"/>
  </w:num>
  <w:num w:numId="19">
    <w:abstractNumId w:val="16"/>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14A3"/>
    <w:rsid w:val="00002EFA"/>
    <w:rsid w:val="00011120"/>
    <w:rsid w:val="00013F61"/>
    <w:rsid w:val="00014A15"/>
    <w:rsid w:val="00014BF8"/>
    <w:rsid w:val="0001507A"/>
    <w:rsid w:val="000153C7"/>
    <w:rsid w:val="0002284D"/>
    <w:rsid w:val="00031B07"/>
    <w:rsid w:val="00033B3D"/>
    <w:rsid w:val="000448F6"/>
    <w:rsid w:val="00044DF4"/>
    <w:rsid w:val="00050295"/>
    <w:rsid w:val="00050F6B"/>
    <w:rsid w:val="00052FF5"/>
    <w:rsid w:val="0006041B"/>
    <w:rsid w:val="00070CB0"/>
    <w:rsid w:val="00072C8C"/>
    <w:rsid w:val="0007368D"/>
    <w:rsid w:val="00074212"/>
    <w:rsid w:val="000753FF"/>
    <w:rsid w:val="00081647"/>
    <w:rsid w:val="000931C0"/>
    <w:rsid w:val="00095795"/>
    <w:rsid w:val="000A2DE3"/>
    <w:rsid w:val="000A524A"/>
    <w:rsid w:val="000A7F3D"/>
    <w:rsid w:val="000B08FD"/>
    <w:rsid w:val="000B175B"/>
    <w:rsid w:val="000B3A0F"/>
    <w:rsid w:val="000C2C4C"/>
    <w:rsid w:val="000C6544"/>
    <w:rsid w:val="000D32F1"/>
    <w:rsid w:val="000D4FF6"/>
    <w:rsid w:val="000D7054"/>
    <w:rsid w:val="000E0415"/>
    <w:rsid w:val="000E5C93"/>
    <w:rsid w:val="0010412F"/>
    <w:rsid w:val="00111EBF"/>
    <w:rsid w:val="001124C8"/>
    <w:rsid w:val="00121BBE"/>
    <w:rsid w:val="001220B8"/>
    <w:rsid w:val="00131DAE"/>
    <w:rsid w:val="0013419B"/>
    <w:rsid w:val="0013767B"/>
    <w:rsid w:val="001441E6"/>
    <w:rsid w:val="00156F3C"/>
    <w:rsid w:val="00162BF7"/>
    <w:rsid w:val="00171159"/>
    <w:rsid w:val="0017372F"/>
    <w:rsid w:val="0017763A"/>
    <w:rsid w:val="00182176"/>
    <w:rsid w:val="00182D31"/>
    <w:rsid w:val="00187463"/>
    <w:rsid w:val="00190AEA"/>
    <w:rsid w:val="001A0D30"/>
    <w:rsid w:val="001A103A"/>
    <w:rsid w:val="001A12CF"/>
    <w:rsid w:val="001A4C88"/>
    <w:rsid w:val="001A6D55"/>
    <w:rsid w:val="001A6D7E"/>
    <w:rsid w:val="001B383C"/>
    <w:rsid w:val="001B4B04"/>
    <w:rsid w:val="001C6663"/>
    <w:rsid w:val="001C7895"/>
    <w:rsid w:val="001D01F2"/>
    <w:rsid w:val="001D16B9"/>
    <w:rsid w:val="001D26DF"/>
    <w:rsid w:val="001E13B0"/>
    <w:rsid w:val="001E47FD"/>
    <w:rsid w:val="001F6EAB"/>
    <w:rsid w:val="00211E0B"/>
    <w:rsid w:val="00216750"/>
    <w:rsid w:val="00221F26"/>
    <w:rsid w:val="00234560"/>
    <w:rsid w:val="002405A7"/>
    <w:rsid w:val="002461A5"/>
    <w:rsid w:val="00252D78"/>
    <w:rsid w:val="00257E45"/>
    <w:rsid w:val="00261FDB"/>
    <w:rsid w:val="00262488"/>
    <w:rsid w:val="002846C7"/>
    <w:rsid w:val="002A4E55"/>
    <w:rsid w:val="002A53AD"/>
    <w:rsid w:val="002A55D2"/>
    <w:rsid w:val="002A677D"/>
    <w:rsid w:val="002C3EF8"/>
    <w:rsid w:val="002D008F"/>
    <w:rsid w:val="002D59D3"/>
    <w:rsid w:val="002D76F1"/>
    <w:rsid w:val="002E5C9C"/>
    <w:rsid w:val="002E68DC"/>
    <w:rsid w:val="00302544"/>
    <w:rsid w:val="00302D8D"/>
    <w:rsid w:val="003107FA"/>
    <w:rsid w:val="00310BAE"/>
    <w:rsid w:val="00310F89"/>
    <w:rsid w:val="003127A2"/>
    <w:rsid w:val="003229D8"/>
    <w:rsid w:val="0033197D"/>
    <w:rsid w:val="0033745A"/>
    <w:rsid w:val="003409A2"/>
    <w:rsid w:val="00346026"/>
    <w:rsid w:val="00353ECF"/>
    <w:rsid w:val="00366CA7"/>
    <w:rsid w:val="00367DFB"/>
    <w:rsid w:val="003745CE"/>
    <w:rsid w:val="00374A45"/>
    <w:rsid w:val="003832B0"/>
    <w:rsid w:val="00384279"/>
    <w:rsid w:val="00390983"/>
    <w:rsid w:val="0039277A"/>
    <w:rsid w:val="003972E0"/>
    <w:rsid w:val="003B4B88"/>
    <w:rsid w:val="003B5FEC"/>
    <w:rsid w:val="003C1584"/>
    <w:rsid w:val="003C2CC4"/>
    <w:rsid w:val="003C390B"/>
    <w:rsid w:val="003C3936"/>
    <w:rsid w:val="003C7834"/>
    <w:rsid w:val="003D0AEF"/>
    <w:rsid w:val="003D37FD"/>
    <w:rsid w:val="003D4B23"/>
    <w:rsid w:val="003E54CF"/>
    <w:rsid w:val="003E6725"/>
    <w:rsid w:val="003E73D4"/>
    <w:rsid w:val="003E75D3"/>
    <w:rsid w:val="003F16CF"/>
    <w:rsid w:val="003F1ED3"/>
    <w:rsid w:val="003F7FC3"/>
    <w:rsid w:val="00405682"/>
    <w:rsid w:val="004325CB"/>
    <w:rsid w:val="00440CF8"/>
    <w:rsid w:val="00440FF5"/>
    <w:rsid w:val="00442813"/>
    <w:rsid w:val="0044410F"/>
    <w:rsid w:val="00446DE4"/>
    <w:rsid w:val="004506F9"/>
    <w:rsid w:val="00460DD9"/>
    <w:rsid w:val="0046262E"/>
    <w:rsid w:val="00462AB2"/>
    <w:rsid w:val="004741A6"/>
    <w:rsid w:val="00474E93"/>
    <w:rsid w:val="00475D8E"/>
    <w:rsid w:val="004833DA"/>
    <w:rsid w:val="004868EC"/>
    <w:rsid w:val="00491122"/>
    <w:rsid w:val="004913F3"/>
    <w:rsid w:val="00496AEB"/>
    <w:rsid w:val="004A41CA"/>
    <w:rsid w:val="004A58A6"/>
    <w:rsid w:val="004B0D85"/>
    <w:rsid w:val="004B14E2"/>
    <w:rsid w:val="004B6511"/>
    <w:rsid w:val="004C4236"/>
    <w:rsid w:val="004C43B4"/>
    <w:rsid w:val="004C617D"/>
    <w:rsid w:val="004C6813"/>
    <w:rsid w:val="004D6EC0"/>
    <w:rsid w:val="004E289F"/>
    <w:rsid w:val="004F2B97"/>
    <w:rsid w:val="00503228"/>
    <w:rsid w:val="00505384"/>
    <w:rsid w:val="0050617E"/>
    <w:rsid w:val="0051346F"/>
    <w:rsid w:val="0051543F"/>
    <w:rsid w:val="00521A87"/>
    <w:rsid w:val="00530C72"/>
    <w:rsid w:val="00531CBD"/>
    <w:rsid w:val="00532EF8"/>
    <w:rsid w:val="005420F2"/>
    <w:rsid w:val="0055236B"/>
    <w:rsid w:val="00553848"/>
    <w:rsid w:val="00560BCA"/>
    <w:rsid w:val="00576739"/>
    <w:rsid w:val="00583FE8"/>
    <w:rsid w:val="005903F3"/>
    <w:rsid w:val="00593735"/>
    <w:rsid w:val="005A0383"/>
    <w:rsid w:val="005A1FCE"/>
    <w:rsid w:val="005A25A2"/>
    <w:rsid w:val="005A32D9"/>
    <w:rsid w:val="005A3DD0"/>
    <w:rsid w:val="005B2C89"/>
    <w:rsid w:val="005B3DB3"/>
    <w:rsid w:val="005B4E2B"/>
    <w:rsid w:val="005B54DA"/>
    <w:rsid w:val="005C2552"/>
    <w:rsid w:val="005D2CA8"/>
    <w:rsid w:val="005D42A5"/>
    <w:rsid w:val="005F04B4"/>
    <w:rsid w:val="00604551"/>
    <w:rsid w:val="00610090"/>
    <w:rsid w:val="00610B54"/>
    <w:rsid w:val="00611FC4"/>
    <w:rsid w:val="006174F3"/>
    <w:rsid w:val="006176FB"/>
    <w:rsid w:val="00624DD9"/>
    <w:rsid w:val="00627ED0"/>
    <w:rsid w:val="00634009"/>
    <w:rsid w:val="00640B26"/>
    <w:rsid w:val="00643D6B"/>
    <w:rsid w:val="00647349"/>
    <w:rsid w:val="00652396"/>
    <w:rsid w:val="00653F4E"/>
    <w:rsid w:val="00654D09"/>
    <w:rsid w:val="00655316"/>
    <w:rsid w:val="00656E24"/>
    <w:rsid w:val="00657095"/>
    <w:rsid w:val="00661706"/>
    <w:rsid w:val="006632E1"/>
    <w:rsid w:val="00665595"/>
    <w:rsid w:val="00677A43"/>
    <w:rsid w:val="006847C7"/>
    <w:rsid w:val="006864FE"/>
    <w:rsid w:val="00691F20"/>
    <w:rsid w:val="00693543"/>
    <w:rsid w:val="006942D2"/>
    <w:rsid w:val="006945BE"/>
    <w:rsid w:val="006A6DFB"/>
    <w:rsid w:val="006A7392"/>
    <w:rsid w:val="006A7757"/>
    <w:rsid w:val="006B4871"/>
    <w:rsid w:val="006C3817"/>
    <w:rsid w:val="006C6C31"/>
    <w:rsid w:val="006C7C47"/>
    <w:rsid w:val="006E564B"/>
    <w:rsid w:val="006F315E"/>
    <w:rsid w:val="0071349F"/>
    <w:rsid w:val="00714588"/>
    <w:rsid w:val="00720DEB"/>
    <w:rsid w:val="0072632A"/>
    <w:rsid w:val="00733AAE"/>
    <w:rsid w:val="00735960"/>
    <w:rsid w:val="00735E12"/>
    <w:rsid w:val="0074002D"/>
    <w:rsid w:val="00743BED"/>
    <w:rsid w:val="00744E39"/>
    <w:rsid w:val="00747B37"/>
    <w:rsid w:val="007562CC"/>
    <w:rsid w:val="00767CB5"/>
    <w:rsid w:val="00772B67"/>
    <w:rsid w:val="00780209"/>
    <w:rsid w:val="00780645"/>
    <w:rsid w:val="00781A60"/>
    <w:rsid w:val="007942BC"/>
    <w:rsid w:val="00796908"/>
    <w:rsid w:val="007A78FE"/>
    <w:rsid w:val="007B6BA5"/>
    <w:rsid w:val="007C01A9"/>
    <w:rsid w:val="007C3390"/>
    <w:rsid w:val="007C4F4B"/>
    <w:rsid w:val="007C5016"/>
    <w:rsid w:val="007D0263"/>
    <w:rsid w:val="007D5D79"/>
    <w:rsid w:val="007E0654"/>
    <w:rsid w:val="007E0B5E"/>
    <w:rsid w:val="007E120B"/>
    <w:rsid w:val="007E1B2C"/>
    <w:rsid w:val="007E33DC"/>
    <w:rsid w:val="007F0B83"/>
    <w:rsid w:val="007F1501"/>
    <w:rsid w:val="007F278F"/>
    <w:rsid w:val="007F48EF"/>
    <w:rsid w:val="007F4A6B"/>
    <w:rsid w:val="007F4FCD"/>
    <w:rsid w:val="007F61C7"/>
    <w:rsid w:val="007F6611"/>
    <w:rsid w:val="008059C3"/>
    <w:rsid w:val="00812B16"/>
    <w:rsid w:val="00816218"/>
    <w:rsid w:val="0081732C"/>
    <w:rsid w:val="008175E9"/>
    <w:rsid w:val="008204FB"/>
    <w:rsid w:val="008242D7"/>
    <w:rsid w:val="008260BC"/>
    <w:rsid w:val="00827E05"/>
    <w:rsid w:val="008311A3"/>
    <w:rsid w:val="00836AF7"/>
    <w:rsid w:val="008372ED"/>
    <w:rsid w:val="0084257E"/>
    <w:rsid w:val="00846EFC"/>
    <w:rsid w:val="00871FD5"/>
    <w:rsid w:val="00875AFC"/>
    <w:rsid w:val="00875BC1"/>
    <w:rsid w:val="008927AF"/>
    <w:rsid w:val="00894E78"/>
    <w:rsid w:val="00896CC9"/>
    <w:rsid w:val="008979B1"/>
    <w:rsid w:val="008A0D84"/>
    <w:rsid w:val="008A3E55"/>
    <w:rsid w:val="008A4803"/>
    <w:rsid w:val="008A6B25"/>
    <w:rsid w:val="008A6C4F"/>
    <w:rsid w:val="008A7924"/>
    <w:rsid w:val="008B2859"/>
    <w:rsid w:val="008B6B2F"/>
    <w:rsid w:val="008B6E26"/>
    <w:rsid w:val="008D768A"/>
    <w:rsid w:val="008E0E46"/>
    <w:rsid w:val="008E234A"/>
    <w:rsid w:val="008E4C4C"/>
    <w:rsid w:val="008E6C62"/>
    <w:rsid w:val="008E6D9D"/>
    <w:rsid w:val="008E73AB"/>
    <w:rsid w:val="008F6DBE"/>
    <w:rsid w:val="00907AD2"/>
    <w:rsid w:val="00911047"/>
    <w:rsid w:val="00931AE4"/>
    <w:rsid w:val="00932087"/>
    <w:rsid w:val="00951E84"/>
    <w:rsid w:val="009602EE"/>
    <w:rsid w:val="00963CBA"/>
    <w:rsid w:val="00974A8D"/>
    <w:rsid w:val="0097706A"/>
    <w:rsid w:val="00982B2C"/>
    <w:rsid w:val="00984FEA"/>
    <w:rsid w:val="00987370"/>
    <w:rsid w:val="0099001C"/>
    <w:rsid w:val="00991261"/>
    <w:rsid w:val="009A4D97"/>
    <w:rsid w:val="009A7A91"/>
    <w:rsid w:val="009B2DC5"/>
    <w:rsid w:val="009E1C7C"/>
    <w:rsid w:val="009E786A"/>
    <w:rsid w:val="009F3A17"/>
    <w:rsid w:val="00A13D07"/>
    <w:rsid w:val="00A1427D"/>
    <w:rsid w:val="00A15948"/>
    <w:rsid w:val="00A3111E"/>
    <w:rsid w:val="00A31521"/>
    <w:rsid w:val="00A3374D"/>
    <w:rsid w:val="00A40CEA"/>
    <w:rsid w:val="00A4157B"/>
    <w:rsid w:val="00A417CA"/>
    <w:rsid w:val="00A44D11"/>
    <w:rsid w:val="00A5118B"/>
    <w:rsid w:val="00A54133"/>
    <w:rsid w:val="00A54BE6"/>
    <w:rsid w:val="00A55FB2"/>
    <w:rsid w:val="00A565AC"/>
    <w:rsid w:val="00A63461"/>
    <w:rsid w:val="00A6363F"/>
    <w:rsid w:val="00A713A9"/>
    <w:rsid w:val="00A7214B"/>
    <w:rsid w:val="00A72F22"/>
    <w:rsid w:val="00A748A6"/>
    <w:rsid w:val="00A805EB"/>
    <w:rsid w:val="00A86C7B"/>
    <w:rsid w:val="00A879A4"/>
    <w:rsid w:val="00A9276D"/>
    <w:rsid w:val="00AA04AA"/>
    <w:rsid w:val="00AA496B"/>
    <w:rsid w:val="00AB2521"/>
    <w:rsid w:val="00AB4272"/>
    <w:rsid w:val="00AB5DEA"/>
    <w:rsid w:val="00AC58B3"/>
    <w:rsid w:val="00AD33DF"/>
    <w:rsid w:val="00AD6A3A"/>
    <w:rsid w:val="00AE1AFC"/>
    <w:rsid w:val="00AE2A89"/>
    <w:rsid w:val="00AE4F62"/>
    <w:rsid w:val="00B0002D"/>
    <w:rsid w:val="00B03AC7"/>
    <w:rsid w:val="00B1471F"/>
    <w:rsid w:val="00B15180"/>
    <w:rsid w:val="00B16DA2"/>
    <w:rsid w:val="00B17513"/>
    <w:rsid w:val="00B24A8D"/>
    <w:rsid w:val="00B26C38"/>
    <w:rsid w:val="00B30179"/>
    <w:rsid w:val="00B30E8F"/>
    <w:rsid w:val="00B33EC0"/>
    <w:rsid w:val="00B378CA"/>
    <w:rsid w:val="00B57EE2"/>
    <w:rsid w:val="00B76D51"/>
    <w:rsid w:val="00B81A5C"/>
    <w:rsid w:val="00B81E12"/>
    <w:rsid w:val="00B85232"/>
    <w:rsid w:val="00B8725B"/>
    <w:rsid w:val="00B87288"/>
    <w:rsid w:val="00B92F5C"/>
    <w:rsid w:val="00BB1FF0"/>
    <w:rsid w:val="00BC067C"/>
    <w:rsid w:val="00BC74E9"/>
    <w:rsid w:val="00BD2146"/>
    <w:rsid w:val="00BE2966"/>
    <w:rsid w:val="00BE4F74"/>
    <w:rsid w:val="00BE5B7E"/>
    <w:rsid w:val="00BE618E"/>
    <w:rsid w:val="00BF6D95"/>
    <w:rsid w:val="00C03EBE"/>
    <w:rsid w:val="00C1376C"/>
    <w:rsid w:val="00C17699"/>
    <w:rsid w:val="00C1778D"/>
    <w:rsid w:val="00C41A28"/>
    <w:rsid w:val="00C4569F"/>
    <w:rsid w:val="00C463DD"/>
    <w:rsid w:val="00C5080C"/>
    <w:rsid w:val="00C51403"/>
    <w:rsid w:val="00C54546"/>
    <w:rsid w:val="00C54586"/>
    <w:rsid w:val="00C61A46"/>
    <w:rsid w:val="00C745C3"/>
    <w:rsid w:val="00C76311"/>
    <w:rsid w:val="00C9106A"/>
    <w:rsid w:val="00C95005"/>
    <w:rsid w:val="00CA1642"/>
    <w:rsid w:val="00CA1B74"/>
    <w:rsid w:val="00CA602F"/>
    <w:rsid w:val="00CB1828"/>
    <w:rsid w:val="00CB5FDC"/>
    <w:rsid w:val="00CB669B"/>
    <w:rsid w:val="00CC693C"/>
    <w:rsid w:val="00CD07B9"/>
    <w:rsid w:val="00CE0361"/>
    <w:rsid w:val="00CE1152"/>
    <w:rsid w:val="00CE4A8F"/>
    <w:rsid w:val="00CF577E"/>
    <w:rsid w:val="00CF5AAB"/>
    <w:rsid w:val="00D03F4D"/>
    <w:rsid w:val="00D055EB"/>
    <w:rsid w:val="00D07709"/>
    <w:rsid w:val="00D1765B"/>
    <w:rsid w:val="00D2031B"/>
    <w:rsid w:val="00D22008"/>
    <w:rsid w:val="00D25FE2"/>
    <w:rsid w:val="00D308A8"/>
    <w:rsid w:val="00D31628"/>
    <w:rsid w:val="00D317BB"/>
    <w:rsid w:val="00D35D8F"/>
    <w:rsid w:val="00D37295"/>
    <w:rsid w:val="00D43252"/>
    <w:rsid w:val="00D66C72"/>
    <w:rsid w:val="00D82C1A"/>
    <w:rsid w:val="00D87CE5"/>
    <w:rsid w:val="00D92872"/>
    <w:rsid w:val="00D9414B"/>
    <w:rsid w:val="00D978C6"/>
    <w:rsid w:val="00DA5538"/>
    <w:rsid w:val="00DA67AD"/>
    <w:rsid w:val="00DA67E0"/>
    <w:rsid w:val="00DB536A"/>
    <w:rsid w:val="00DB5D0F"/>
    <w:rsid w:val="00DC09B1"/>
    <w:rsid w:val="00DC3242"/>
    <w:rsid w:val="00DC3BE4"/>
    <w:rsid w:val="00DD0288"/>
    <w:rsid w:val="00DD2320"/>
    <w:rsid w:val="00DD2673"/>
    <w:rsid w:val="00DD55A0"/>
    <w:rsid w:val="00DD5E7B"/>
    <w:rsid w:val="00DE0C3E"/>
    <w:rsid w:val="00DE6AB7"/>
    <w:rsid w:val="00DF12F7"/>
    <w:rsid w:val="00DF144A"/>
    <w:rsid w:val="00DF2C64"/>
    <w:rsid w:val="00DF3066"/>
    <w:rsid w:val="00DF3E6E"/>
    <w:rsid w:val="00DF6EF4"/>
    <w:rsid w:val="00E02C81"/>
    <w:rsid w:val="00E03273"/>
    <w:rsid w:val="00E03623"/>
    <w:rsid w:val="00E03F0A"/>
    <w:rsid w:val="00E06EAB"/>
    <w:rsid w:val="00E130AB"/>
    <w:rsid w:val="00E14E75"/>
    <w:rsid w:val="00E31C87"/>
    <w:rsid w:val="00E357E6"/>
    <w:rsid w:val="00E45944"/>
    <w:rsid w:val="00E47EEF"/>
    <w:rsid w:val="00E537A6"/>
    <w:rsid w:val="00E54D7D"/>
    <w:rsid w:val="00E54E89"/>
    <w:rsid w:val="00E60002"/>
    <w:rsid w:val="00E61205"/>
    <w:rsid w:val="00E653E9"/>
    <w:rsid w:val="00E70DF5"/>
    <w:rsid w:val="00E7260F"/>
    <w:rsid w:val="00E77F98"/>
    <w:rsid w:val="00E80F5F"/>
    <w:rsid w:val="00E82381"/>
    <w:rsid w:val="00E863D3"/>
    <w:rsid w:val="00E8645F"/>
    <w:rsid w:val="00E867B6"/>
    <w:rsid w:val="00E87921"/>
    <w:rsid w:val="00E95FDB"/>
    <w:rsid w:val="00E96630"/>
    <w:rsid w:val="00EA0E56"/>
    <w:rsid w:val="00EA264E"/>
    <w:rsid w:val="00EA3A41"/>
    <w:rsid w:val="00EA79A4"/>
    <w:rsid w:val="00EB4C53"/>
    <w:rsid w:val="00EC5D06"/>
    <w:rsid w:val="00ED012A"/>
    <w:rsid w:val="00ED049D"/>
    <w:rsid w:val="00ED362C"/>
    <w:rsid w:val="00ED46E1"/>
    <w:rsid w:val="00ED7A2A"/>
    <w:rsid w:val="00EF1D7F"/>
    <w:rsid w:val="00F11270"/>
    <w:rsid w:val="00F2626D"/>
    <w:rsid w:val="00F274B0"/>
    <w:rsid w:val="00F30CCA"/>
    <w:rsid w:val="00F33B1E"/>
    <w:rsid w:val="00F34A31"/>
    <w:rsid w:val="00F36BA7"/>
    <w:rsid w:val="00F37720"/>
    <w:rsid w:val="00F538B7"/>
    <w:rsid w:val="00F53EDA"/>
    <w:rsid w:val="00F55DD5"/>
    <w:rsid w:val="00F56AE9"/>
    <w:rsid w:val="00F73746"/>
    <w:rsid w:val="00F7753D"/>
    <w:rsid w:val="00F85F34"/>
    <w:rsid w:val="00F87C59"/>
    <w:rsid w:val="00F90843"/>
    <w:rsid w:val="00F954D7"/>
    <w:rsid w:val="00FA06F7"/>
    <w:rsid w:val="00FA1D1C"/>
    <w:rsid w:val="00FB171A"/>
    <w:rsid w:val="00FB40F4"/>
    <w:rsid w:val="00FB57BB"/>
    <w:rsid w:val="00FC0515"/>
    <w:rsid w:val="00FC51A6"/>
    <w:rsid w:val="00FC68B7"/>
    <w:rsid w:val="00FD324E"/>
    <w:rsid w:val="00FD4F7E"/>
    <w:rsid w:val="00FD7BF6"/>
    <w:rsid w:val="00FE0BE4"/>
    <w:rsid w:val="00FF1987"/>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customStyle="1" w:styleId="SingleTxt">
    <w:name w:val="__Single Txt"/>
    <w:basedOn w:val="Normal"/>
    <w:rsid w:val="004626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5D2CA8"/>
    <w:pPr>
      <w:spacing w:line="240" w:lineRule="exact"/>
      <w:outlineLvl w:val="1"/>
    </w:pPr>
    <w:rPr>
      <w:rFonts w:eastAsia="SimSun"/>
      <w:spacing w:val="2"/>
      <w:sz w:val="20"/>
      <w:lang w:eastAsia="zh-CN"/>
    </w:rPr>
  </w:style>
  <w:style w:type="paragraph" w:styleId="ListParagraph">
    <w:name w:val="List Paragraph"/>
    <w:basedOn w:val="Normal"/>
    <w:uiPriority w:val="34"/>
    <w:qFormat/>
    <w:rsid w:val="00747B37"/>
    <w:pPr>
      <w:suppressAutoHyphens w:val="0"/>
      <w:spacing w:after="200" w:line="276" w:lineRule="auto"/>
      <w:ind w:left="720"/>
      <w:contextualSpacing/>
    </w:pPr>
    <w:rPr>
      <w:rFonts w:ascii="Calibri" w:eastAsia="Calibri" w:hAnsi="Calibri"/>
      <w:sz w:val="22"/>
      <w:szCs w:val="22"/>
      <w:lang w:val="en-US"/>
    </w:rPr>
  </w:style>
  <w:style w:type="paragraph" w:customStyle="1" w:styleId="bodytext">
    <w:name w:val="bodytext"/>
    <w:basedOn w:val="Normal"/>
    <w:rsid w:val="00B0002D"/>
    <w:pPr>
      <w:suppressAutoHyphens w:val="0"/>
      <w:spacing w:before="100" w:beforeAutospacing="1" w:after="100" w:afterAutospacing="1"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customStyle="1" w:styleId="SingleTxt">
    <w:name w:val="__Single Txt"/>
    <w:basedOn w:val="Normal"/>
    <w:rsid w:val="004626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5D2CA8"/>
    <w:pPr>
      <w:spacing w:line="240" w:lineRule="exact"/>
      <w:outlineLvl w:val="1"/>
    </w:pPr>
    <w:rPr>
      <w:rFonts w:eastAsia="SimSun"/>
      <w:spacing w:val="2"/>
      <w:sz w:val="20"/>
      <w:lang w:eastAsia="zh-CN"/>
    </w:rPr>
  </w:style>
  <w:style w:type="paragraph" w:styleId="ListParagraph">
    <w:name w:val="List Paragraph"/>
    <w:basedOn w:val="Normal"/>
    <w:uiPriority w:val="34"/>
    <w:qFormat/>
    <w:rsid w:val="00747B37"/>
    <w:pPr>
      <w:suppressAutoHyphens w:val="0"/>
      <w:spacing w:after="200" w:line="276" w:lineRule="auto"/>
      <w:ind w:left="720"/>
      <w:contextualSpacing/>
    </w:pPr>
    <w:rPr>
      <w:rFonts w:ascii="Calibri" w:eastAsia="Calibri" w:hAnsi="Calibri"/>
      <w:sz w:val="22"/>
      <w:szCs w:val="22"/>
      <w:lang w:val="en-US"/>
    </w:rPr>
  </w:style>
  <w:style w:type="paragraph" w:customStyle="1" w:styleId="bodytext">
    <w:name w:val="bodytext"/>
    <w:basedOn w:val="Normal"/>
    <w:rsid w:val="00B0002D"/>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821">
      <w:bodyDiv w:val="1"/>
      <w:marLeft w:val="0"/>
      <w:marRight w:val="0"/>
      <w:marTop w:val="0"/>
      <w:marBottom w:val="0"/>
      <w:divBdr>
        <w:top w:val="none" w:sz="0" w:space="0" w:color="auto"/>
        <w:left w:val="none" w:sz="0" w:space="0" w:color="auto"/>
        <w:bottom w:val="none" w:sz="0" w:space="0" w:color="auto"/>
        <w:right w:val="none" w:sz="0" w:space="0" w:color="auto"/>
      </w:divBdr>
      <w:divsChild>
        <w:div w:id="28996063">
          <w:marLeft w:val="0"/>
          <w:marRight w:val="0"/>
          <w:marTop w:val="0"/>
          <w:marBottom w:val="0"/>
          <w:divBdr>
            <w:top w:val="none" w:sz="0" w:space="0" w:color="auto"/>
            <w:left w:val="none" w:sz="0" w:space="0" w:color="auto"/>
            <w:bottom w:val="none" w:sz="0" w:space="0" w:color="auto"/>
            <w:right w:val="none" w:sz="0" w:space="0" w:color="auto"/>
          </w:divBdr>
        </w:div>
        <w:div w:id="205339223">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509755539">
          <w:marLeft w:val="0"/>
          <w:marRight w:val="0"/>
          <w:marTop w:val="0"/>
          <w:marBottom w:val="0"/>
          <w:divBdr>
            <w:top w:val="none" w:sz="0" w:space="0" w:color="auto"/>
            <w:left w:val="none" w:sz="0" w:space="0" w:color="auto"/>
            <w:bottom w:val="none" w:sz="0" w:space="0" w:color="auto"/>
            <w:right w:val="none" w:sz="0" w:space="0" w:color="auto"/>
          </w:divBdr>
        </w:div>
        <w:div w:id="642078157">
          <w:marLeft w:val="0"/>
          <w:marRight w:val="0"/>
          <w:marTop w:val="0"/>
          <w:marBottom w:val="0"/>
          <w:divBdr>
            <w:top w:val="none" w:sz="0" w:space="0" w:color="auto"/>
            <w:left w:val="none" w:sz="0" w:space="0" w:color="auto"/>
            <w:bottom w:val="none" w:sz="0" w:space="0" w:color="auto"/>
            <w:right w:val="none" w:sz="0" w:space="0" w:color="auto"/>
          </w:divBdr>
        </w:div>
        <w:div w:id="712771521">
          <w:marLeft w:val="0"/>
          <w:marRight w:val="0"/>
          <w:marTop w:val="0"/>
          <w:marBottom w:val="0"/>
          <w:divBdr>
            <w:top w:val="none" w:sz="0" w:space="0" w:color="auto"/>
            <w:left w:val="none" w:sz="0" w:space="0" w:color="auto"/>
            <w:bottom w:val="none" w:sz="0" w:space="0" w:color="auto"/>
            <w:right w:val="none" w:sz="0" w:space="0" w:color="auto"/>
          </w:divBdr>
        </w:div>
        <w:div w:id="911355845">
          <w:marLeft w:val="0"/>
          <w:marRight w:val="0"/>
          <w:marTop w:val="0"/>
          <w:marBottom w:val="0"/>
          <w:divBdr>
            <w:top w:val="none" w:sz="0" w:space="0" w:color="auto"/>
            <w:left w:val="none" w:sz="0" w:space="0" w:color="auto"/>
            <w:bottom w:val="none" w:sz="0" w:space="0" w:color="auto"/>
            <w:right w:val="none" w:sz="0" w:space="0" w:color="auto"/>
          </w:divBdr>
        </w:div>
        <w:div w:id="1357656957">
          <w:marLeft w:val="0"/>
          <w:marRight w:val="0"/>
          <w:marTop w:val="0"/>
          <w:marBottom w:val="0"/>
          <w:divBdr>
            <w:top w:val="none" w:sz="0" w:space="0" w:color="auto"/>
            <w:left w:val="none" w:sz="0" w:space="0" w:color="auto"/>
            <w:bottom w:val="none" w:sz="0" w:space="0" w:color="auto"/>
            <w:right w:val="none" w:sz="0" w:space="0" w:color="auto"/>
          </w:divBdr>
        </w:div>
        <w:div w:id="1444035594">
          <w:marLeft w:val="0"/>
          <w:marRight w:val="0"/>
          <w:marTop w:val="0"/>
          <w:marBottom w:val="0"/>
          <w:divBdr>
            <w:top w:val="none" w:sz="0" w:space="0" w:color="auto"/>
            <w:left w:val="none" w:sz="0" w:space="0" w:color="auto"/>
            <w:bottom w:val="none" w:sz="0" w:space="0" w:color="auto"/>
            <w:right w:val="none" w:sz="0" w:space="0" w:color="auto"/>
          </w:divBdr>
        </w:div>
        <w:div w:id="1538161196">
          <w:marLeft w:val="0"/>
          <w:marRight w:val="0"/>
          <w:marTop w:val="0"/>
          <w:marBottom w:val="0"/>
          <w:divBdr>
            <w:top w:val="none" w:sz="0" w:space="0" w:color="auto"/>
            <w:left w:val="none" w:sz="0" w:space="0" w:color="auto"/>
            <w:bottom w:val="none" w:sz="0" w:space="0" w:color="auto"/>
            <w:right w:val="none" w:sz="0" w:space="0" w:color="auto"/>
          </w:divBdr>
        </w:div>
        <w:div w:id="1610818689">
          <w:marLeft w:val="0"/>
          <w:marRight w:val="0"/>
          <w:marTop w:val="0"/>
          <w:marBottom w:val="0"/>
          <w:divBdr>
            <w:top w:val="none" w:sz="0" w:space="0" w:color="auto"/>
            <w:left w:val="none" w:sz="0" w:space="0" w:color="auto"/>
            <w:bottom w:val="none" w:sz="0" w:space="0" w:color="auto"/>
            <w:right w:val="none" w:sz="0" w:space="0" w:color="auto"/>
          </w:divBdr>
        </w:div>
      </w:divsChild>
    </w:div>
    <w:div w:id="281543898">
      <w:bodyDiv w:val="1"/>
      <w:marLeft w:val="0"/>
      <w:marRight w:val="0"/>
      <w:marTop w:val="0"/>
      <w:marBottom w:val="0"/>
      <w:divBdr>
        <w:top w:val="none" w:sz="0" w:space="0" w:color="auto"/>
        <w:left w:val="none" w:sz="0" w:space="0" w:color="auto"/>
        <w:bottom w:val="none" w:sz="0" w:space="0" w:color="auto"/>
        <w:right w:val="none" w:sz="0" w:space="0" w:color="auto"/>
      </w:divBdr>
      <w:divsChild>
        <w:div w:id="545214364">
          <w:marLeft w:val="0"/>
          <w:marRight w:val="0"/>
          <w:marTop w:val="0"/>
          <w:marBottom w:val="0"/>
          <w:divBdr>
            <w:top w:val="none" w:sz="0" w:space="0" w:color="auto"/>
            <w:left w:val="none" w:sz="0" w:space="0" w:color="auto"/>
            <w:bottom w:val="none" w:sz="0" w:space="0" w:color="auto"/>
            <w:right w:val="none" w:sz="0" w:space="0" w:color="auto"/>
          </w:divBdr>
        </w:div>
        <w:div w:id="1082877208">
          <w:marLeft w:val="0"/>
          <w:marRight w:val="0"/>
          <w:marTop w:val="0"/>
          <w:marBottom w:val="0"/>
          <w:divBdr>
            <w:top w:val="none" w:sz="0" w:space="0" w:color="auto"/>
            <w:left w:val="none" w:sz="0" w:space="0" w:color="auto"/>
            <w:bottom w:val="none" w:sz="0" w:space="0" w:color="auto"/>
            <w:right w:val="none" w:sz="0" w:space="0" w:color="auto"/>
          </w:divBdr>
        </w:div>
        <w:div w:id="1747265713">
          <w:marLeft w:val="0"/>
          <w:marRight w:val="0"/>
          <w:marTop w:val="0"/>
          <w:marBottom w:val="0"/>
          <w:divBdr>
            <w:top w:val="none" w:sz="0" w:space="0" w:color="auto"/>
            <w:left w:val="none" w:sz="0" w:space="0" w:color="auto"/>
            <w:bottom w:val="none" w:sz="0" w:space="0" w:color="auto"/>
            <w:right w:val="none" w:sz="0" w:space="0" w:color="auto"/>
          </w:divBdr>
        </w:div>
      </w:divsChild>
    </w:div>
    <w:div w:id="2132432566">
      <w:bodyDiv w:val="1"/>
      <w:marLeft w:val="0"/>
      <w:marRight w:val="0"/>
      <w:marTop w:val="0"/>
      <w:marBottom w:val="0"/>
      <w:divBdr>
        <w:top w:val="none" w:sz="0" w:space="0" w:color="auto"/>
        <w:left w:val="none" w:sz="0" w:space="0" w:color="auto"/>
        <w:bottom w:val="none" w:sz="0" w:space="0" w:color="auto"/>
        <w:right w:val="none" w:sz="0" w:space="0" w:color="auto"/>
      </w:divBdr>
      <w:divsChild>
        <w:div w:id="84542039">
          <w:marLeft w:val="0"/>
          <w:marRight w:val="0"/>
          <w:marTop w:val="0"/>
          <w:marBottom w:val="0"/>
          <w:divBdr>
            <w:top w:val="none" w:sz="0" w:space="0" w:color="auto"/>
            <w:left w:val="none" w:sz="0" w:space="0" w:color="auto"/>
            <w:bottom w:val="none" w:sz="0" w:space="0" w:color="auto"/>
            <w:right w:val="none" w:sz="0" w:space="0" w:color="auto"/>
          </w:divBdr>
        </w:div>
        <w:div w:id="233705549">
          <w:marLeft w:val="0"/>
          <w:marRight w:val="0"/>
          <w:marTop w:val="0"/>
          <w:marBottom w:val="0"/>
          <w:divBdr>
            <w:top w:val="none" w:sz="0" w:space="0" w:color="auto"/>
            <w:left w:val="none" w:sz="0" w:space="0" w:color="auto"/>
            <w:bottom w:val="none" w:sz="0" w:space="0" w:color="auto"/>
            <w:right w:val="none" w:sz="0" w:space="0" w:color="auto"/>
          </w:divBdr>
        </w:div>
        <w:div w:id="438305115">
          <w:marLeft w:val="0"/>
          <w:marRight w:val="0"/>
          <w:marTop w:val="0"/>
          <w:marBottom w:val="0"/>
          <w:divBdr>
            <w:top w:val="none" w:sz="0" w:space="0" w:color="auto"/>
            <w:left w:val="none" w:sz="0" w:space="0" w:color="auto"/>
            <w:bottom w:val="none" w:sz="0" w:space="0" w:color="auto"/>
            <w:right w:val="none" w:sz="0" w:space="0" w:color="auto"/>
          </w:divBdr>
        </w:div>
        <w:div w:id="1045987006">
          <w:marLeft w:val="0"/>
          <w:marRight w:val="0"/>
          <w:marTop w:val="0"/>
          <w:marBottom w:val="0"/>
          <w:divBdr>
            <w:top w:val="none" w:sz="0" w:space="0" w:color="auto"/>
            <w:left w:val="none" w:sz="0" w:space="0" w:color="auto"/>
            <w:bottom w:val="none" w:sz="0" w:space="0" w:color="auto"/>
            <w:right w:val="none" w:sz="0" w:space="0" w:color="auto"/>
          </w:divBdr>
        </w:div>
        <w:div w:id="1325546230">
          <w:marLeft w:val="0"/>
          <w:marRight w:val="0"/>
          <w:marTop w:val="0"/>
          <w:marBottom w:val="0"/>
          <w:divBdr>
            <w:top w:val="none" w:sz="0" w:space="0" w:color="auto"/>
            <w:left w:val="none" w:sz="0" w:space="0" w:color="auto"/>
            <w:bottom w:val="none" w:sz="0" w:space="0" w:color="auto"/>
            <w:right w:val="none" w:sz="0" w:space="0" w:color="auto"/>
          </w:divBdr>
        </w:div>
        <w:div w:id="1420180513">
          <w:marLeft w:val="0"/>
          <w:marRight w:val="0"/>
          <w:marTop w:val="0"/>
          <w:marBottom w:val="0"/>
          <w:divBdr>
            <w:top w:val="none" w:sz="0" w:space="0" w:color="auto"/>
            <w:left w:val="none" w:sz="0" w:space="0" w:color="auto"/>
            <w:bottom w:val="none" w:sz="0" w:space="0" w:color="auto"/>
            <w:right w:val="none" w:sz="0" w:space="0" w:color="auto"/>
          </w:divBdr>
        </w:div>
        <w:div w:id="1478910164">
          <w:marLeft w:val="0"/>
          <w:marRight w:val="0"/>
          <w:marTop w:val="0"/>
          <w:marBottom w:val="0"/>
          <w:divBdr>
            <w:top w:val="none" w:sz="0" w:space="0" w:color="auto"/>
            <w:left w:val="none" w:sz="0" w:space="0" w:color="auto"/>
            <w:bottom w:val="none" w:sz="0" w:space="0" w:color="auto"/>
            <w:right w:val="none" w:sz="0" w:space="0" w:color="auto"/>
          </w:divBdr>
        </w:div>
        <w:div w:id="1483694018">
          <w:marLeft w:val="0"/>
          <w:marRight w:val="0"/>
          <w:marTop w:val="0"/>
          <w:marBottom w:val="0"/>
          <w:divBdr>
            <w:top w:val="none" w:sz="0" w:space="0" w:color="auto"/>
            <w:left w:val="none" w:sz="0" w:space="0" w:color="auto"/>
            <w:bottom w:val="none" w:sz="0" w:space="0" w:color="auto"/>
            <w:right w:val="none" w:sz="0" w:space="0" w:color="auto"/>
          </w:divBdr>
        </w:div>
        <w:div w:id="1745368467">
          <w:marLeft w:val="0"/>
          <w:marRight w:val="0"/>
          <w:marTop w:val="0"/>
          <w:marBottom w:val="0"/>
          <w:divBdr>
            <w:top w:val="none" w:sz="0" w:space="0" w:color="auto"/>
            <w:left w:val="none" w:sz="0" w:space="0" w:color="auto"/>
            <w:bottom w:val="none" w:sz="0" w:space="0" w:color="auto"/>
            <w:right w:val="none" w:sz="0" w:space="0" w:color="auto"/>
          </w:divBdr>
        </w:div>
        <w:div w:id="1753508712">
          <w:marLeft w:val="0"/>
          <w:marRight w:val="0"/>
          <w:marTop w:val="0"/>
          <w:marBottom w:val="0"/>
          <w:divBdr>
            <w:top w:val="none" w:sz="0" w:space="0" w:color="auto"/>
            <w:left w:val="none" w:sz="0" w:space="0" w:color="auto"/>
            <w:bottom w:val="none" w:sz="0" w:space="0" w:color="auto"/>
            <w:right w:val="none" w:sz="0" w:space="0" w:color="auto"/>
          </w:divBdr>
        </w:div>
        <w:div w:id="1887797114">
          <w:marLeft w:val="0"/>
          <w:marRight w:val="0"/>
          <w:marTop w:val="0"/>
          <w:marBottom w:val="0"/>
          <w:divBdr>
            <w:top w:val="none" w:sz="0" w:space="0" w:color="auto"/>
            <w:left w:val="none" w:sz="0" w:space="0" w:color="auto"/>
            <w:bottom w:val="none" w:sz="0" w:space="0" w:color="auto"/>
            <w:right w:val="none" w:sz="0" w:space="0" w:color="auto"/>
          </w:divBdr>
        </w:div>
        <w:div w:id="20068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6BF3-D52D-4CCC-AA71-077F5245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10</Pages>
  <Words>3241</Words>
  <Characters>18475</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2</cp:revision>
  <cp:lastPrinted>2016-12-06T16:42:00Z</cp:lastPrinted>
  <dcterms:created xsi:type="dcterms:W3CDTF">2016-12-06T17:11:00Z</dcterms:created>
  <dcterms:modified xsi:type="dcterms:W3CDTF">2016-12-06T17:11:00Z</dcterms:modified>
</cp:coreProperties>
</file>