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815BB8">
            <w:pPr>
              <w:jc w:val="right"/>
              <w:rPr>
                <w:b/>
                <w:sz w:val="40"/>
                <w:szCs w:val="40"/>
              </w:rPr>
            </w:pPr>
            <w:r w:rsidRPr="0099001C">
              <w:rPr>
                <w:b/>
                <w:sz w:val="40"/>
                <w:szCs w:val="40"/>
              </w:rPr>
              <w:t>UN/SCEGHS/</w:t>
            </w:r>
            <w:r w:rsidR="00A8760B">
              <w:rPr>
                <w:b/>
                <w:sz w:val="40"/>
                <w:szCs w:val="40"/>
              </w:rPr>
              <w:t>3</w:t>
            </w:r>
            <w:r w:rsidR="00C6210B">
              <w:rPr>
                <w:b/>
                <w:sz w:val="40"/>
                <w:szCs w:val="40"/>
              </w:rPr>
              <w:t>2</w:t>
            </w:r>
            <w:r w:rsidRPr="0099001C">
              <w:rPr>
                <w:b/>
                <w:sz w:val="40"/>
                <w:szCs w:val="40"/>
              </w:rPr>
              <w:t>/INF.</w:t>
            </w:r>
            <w:r w:rsidR="00815BB8">
              <w:rPr>
                <w:b/>
                <w:sz w:val="40"/>
                <w:szCs w:val="40"/>
              </w:rPr>
              <w:t>17</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9869AD">
              <w:rPr>
                <w:b/>
                <w:lang w:val="en-US"/>
              </w:rPr>
              <w:t>22</w:t>
            </w:r>
            <w:bookmarkStart w:id="0" w:name="_GoBack"/>
            <w:bookmarkEnd w:id="0"/>
            <w:r w:rsidRPr="001B03EA">
              <w:rPr>
                <w:b/>
                <w:lang w:val="en-US"/>
              </w:rPr>
              <w:t xml:space="preserve"> </w:t>
            </w:r>
            <w:r>
              <w:rPr>
                <w:b/>
                <w:lang w:val="en-US"/>
              </w:rPr>
              <w:t>November</w:t>
            </w:r>
            <w:r w:rsidRPr="001B03EA">
              <w:rPr>
                <w:b/>
                <w:lang w:val="en-US"/>
              </w:rPr>
              <w:t xml:space="preserve"> 2016</w:t>
            </w:r>
          </w:p>
          <w:p w:rsidR="00965932" w:rsidRPr="001B03EA" w:rsidRDefault="00965932" w:rsidP="00965932">
            <w:pPr>
              <w:jc w:val="both"/>
              <w:rPr>
                <w:b/>
              </w:rPr>
            </w:pPr>
          </w:p>
          <w:p w:rsidR="00815BB8" w:rsidRDefault="00815BB8" w:rsidP="00815BB8">
            <w:pPr>
              <w:jc w:val="both"/>
            </w:pPr>
            <w:r>
              <w:rPr>
                <w:b/>
              </w:rPr>
              <w:t>Thirty-second</w:t>
            </w:r>
            <w:r w:rsidRPr="000B4919">
              <w:rPr>
                <w:b/>
              </w:rPr>
              <w:t xml:space="preserve"> session</w:t>
            </w:r>
            <w:r w:rsidRPr="00283442">
              <w:t xml:space="preserve"> </w:t>
            </w:r>
          </w:p>
          <w:p w:rsidR="00815BB8" w:rsidRPr="000B4919" w:rsidRDefault="00815BB8" w:rsidP="00815BB8">
            <w:pPr>
              <w:jc w:val="both"/>
            </w:pPr>
            <w:r w:rsidRPr="00283442">
              <w:t xml:space="preserve">Geneva, </w:t>
            </w:r>
            <w:r>
              <w:t>7</w:t>
            </w:r>
            <w:r w:rsidRPr="00283442">
              <w:t>–</w:t>
            </w:r>
            <w:r>
              <w:t xml:space="preserve"> 9 December </w:t>
            </w:r>
            <w:r w:rsidRPr="00283442">
              <w:t xml:space="preserve"> </w:t>
            </w:r>
            <w:r>
              <w:t>2016</w:t>
            </w:r>
          </w:p>
          <w:p w:rsidR="00815BB8" w:rsidRDefault="00815BB8" w:rsidP="00815BB8">
            <w:pPr>
              <w:rPr>
                <w:b/>
              </w:rPr>
            </w:pPr>
            <w:r>
              <w:t>Item 3 (c) of the provisional agenda</w:t>
            </w:r>
          </w:p>
          <w:p w:rsidR="0099001C" w:rsidRDefault="00815BB8" w:rsidP="00815BB8">
            <w:pPr>
              <w:spacing w:line="240" w:lineRule="exact"/>
            </w:pPr>
            <w:r w:rsidRPr="00D2762C">
              <w:rPr>
                <w:b/>
              </w:rPr>
              <w:t>Hazard communication issues: miscellaneous</w:t>
            </w:r>
          </w:p>
        </w:tc>
      </w:tr>
    </w:tbl>
    <w:p w:rsidR="00815BB8" w:rsidRDefault="00965932" w:rsidP="00815BB8">
      <w:pPr>
        <w:pStyle w:val="HChG"/>
        <w:rPr>
          <w:rFonts w:eastAsia="MS Mincho"/>
          <w:lang w:val="en-US" w:eastAsia="ja-JP"/>
        </w:rPr>
      </w:pPr>
      <w:r w:rsidRPr="009E7ABD">
        <w:rPr>
          <w:rFonts w:eastAsia="MS Mincho"/>
          <w:lang w:val="en-US" w:eastAsia="ja-JP"/>
        </w:rPr>
        <w:tab/>
      </w:r>
      <w:r>
        <w:rPr>
          <w:rFonts w:eastAsia="MS Mincho"/>
          <w:lang w:val="en-US" w:eastAsia="ja-JP"/>
        </w:rPr>
        <w:tab/>
      </w:r>
      <w:r w:rsidR="00815BB8">
        <w:rPr>
          <w:rFonts w:eastAsia="MS Mincho"/>
          <w:lang w:val="en-US" w:eastAsia="ja-JP"/>
        </w:rPr>
        <w:t>Proposal to amend Annex 4 (sub-section A4.3.3.2.3) of the GHS on guidance on the preparation of safety data sheets</w:t>
      </w:r>
    </w:p>
    <w:p w:rsidR="00815BB8" w:rsidRDefault="00815BB8" w:rsidP="00815BB8">
      <w:pPr>
        <w:pStyle w:val="H1G"/>
      </w:pPr>
      <w:r>
        <w:tab/>
      </w:r>
      <w:r>
        <w:tab/>
        <w:t xml:space="preserve">Transmitted by </w:t>
      </w:r>
      <w:r w:rsidRPr="00350D06">
        <w:rPr>
          <w:rFonts w:eastAsia="MS Mincho"/>
        </w:rPr>
        <w:t>the Eur</w:t>
      </w:r>
      <w:r>
        <w:rPr>
          <w:rFonts w:eastAsia="MS Mincho"/>
        </w:rPr>
        <w:t xml:space="preserve">opean Chemical Industry Council </w:t>
      </w:r>
      <w:r w:rsidRPr="00350D06">
        <w:rPr>
          <w:rFonts w:eastAsia="MS Mincho"/>
        </w:rPr>
        <w:t>(CEFIC)</w:t>
      </w:r>
    </w:p>
    <w:p w:rsidR="00815BB8" w:rsidRPr="00392A3A" w:rsidRDefault="00815BB8" w:rsidP="00815BB8">
      <w:pPr>
        <w:pStyle w:val="HChG"/>
        <w:rPr>
          <w:rFonts w:eastAsia="MS Mincho"/>
        </w:rPr>
      </w:pPr>
      <w:r>
        <w:rPr>
          <w:rFonts w:eastAsia="MS Mincho"/>
        </w:rPr>
        <w:tab/>
      </w:r>
      <w:r>
        <w:rPr>
          <w:rFonts w:eastAsia="MS Mincho"/>
        </w:rPr>
        <w:tab/>
      </w:r>
      <w:r w:rsidRPr="00392A3A">
        <w:rPr>
          <w:rFonts w:eastAsia="MS Mincho"/>
        </w:rPr>
        <w:t>Background</w:t>
      </w:r>
    </w:p>
    <w:p w:rsidR="00815BB8" w:rsidRDefault="00815BB8" w:rsidP="00815BB8">
      <w:pPr>
        <w:pStyle w:val="SingleTxtG"/>
        <w:rPr>
          <w:rFonts w:cs="Calibri"/>
        </w:rPr>
      </w:pPr>
      <w:r w:rsidRPr="00CC693F">
        <w:rPr>
          <w:rFonts w:eastAsia="MS Mincho"/>
        </w:rPr>
        <w:t>1.</w:t>
      </w:r>
      <w:r w:rsidRPr="00CC693F">
        <w:rPr>
          <w:rFonts w:eastAsia="MS Mincho"/>
        </w:rPr>
        <w:tab/>
      </w:r>
      <w:r w:rsidRPr="004C64A6">
        <w:rPr>
          <w:rFonts w:cs="Calibri"/>
        </w:rPr>
        <w:t xml:space="preserve">According to </w:t>
      </w:r>
      <w:r>
        <w:rPr>
          <w:rFonts w:cs="Calibri"/>
        </w:rPr>
        <w:t xml:space="preserve">sub-section A4.3.3.2.2 of </w:t>
      </w:r>
      <w:r w:rsidRPr="00CF6A80">
        <w:rPr>
          <w:rFonts w:cs="Calibri"/>
        </w:rPr>
        <w:t>Annex 4 of the GHS</w:t>
      </w:r>
      <w:r w:rsidRPr="004C64A6">
        <w:rPr>
          <w:rFonts w:cs="Calibri"/>
        </w:rPr>
        <w:t xml:space="preserve">, the concentrations of the </w:t>
      </w:r>
      <w:r>
        <w:rPr>
          <w:rFonts w:cs="Calibri"/>
        </w:rPr>
        <w:t>ingredients of</w:t>
      </w:r>
      <w:r w:rsidRPr="004C64A6">
        <w:rPr>
          <w:rFonts w:cs="Calibri"/>
        </w:rPr>
        <w:t xml:space="preserve"> a mixture </w:t>
      </w:r>
      <w:r>
        <w:rPr>
          <w:rFonts w:cs="Calibri"/>
        </w:rPr>
        <w:t>should</w:t>
      </w:r>
      <w:r w:rsidRPr="004C64A6">
        <w:rPr>
          <w:rFonts w:cs="Calibri"/>
        </w:rPr>
        <w:t xml:space="preserve"> be described in section 3 of the </w:t>
      </w:r>
      <w:r w:rsidR="00CB1850">
        <w:rPr>
          <w:rFonts w:cs="Calibri"/>
        </w:rPr>
        <w:t>safety data sheet</w:t>
      </w:r>
      <w:r w:rsidRPr="004C64A6">
        <w:rPr>
          <w:rFonts w:cs="Calibri"/>
        </w:rPr>
        <w:t xml:space="preserve"> either as exact percentages or as ranges of percentages.  Percentage ranges are commonly used by industry since these help to protect confidential business information (exact composition details), as well as allowing for inherent natural/manufacturing variability and/or uncertainty due to a lack of exact concentration data for raw materials which are themselves mixtures.</w:t>
      </w:r>
    </w:p>
    <w:p w:rsidR="00815BB8" w:rsidRDefault="00815BB8" w:rsidP="00815BB8">
      <w:pPr>
        <w:pStyle w:val="SingleTxtG"/>
      </w:pPr>
      <w:r>
        <w:t>2.</w:t>
      </w:r>
      <w:r>
        <w:tab/>
        <w:t>Sub-section A4.3.3.2.3 of Annex 4 then states:</w:t>
      </w:r>
    </w:p>
    <w:p w:rsidR="00815BB8" w:rsidRDefault="00815BB8" w:rsidP="00815BB8">
      <w:pPr>
        <w:pStyle w:val="SingleTxtG"/>
        <w:ind w:left="1701"/>
      </w:pPr>
      <w:r>
        <w:t>“When using a proportion range, the health and environmental hazard effects should describe the effects of the highest concentration of each ingredient, provided that the effects of the mixture as a whole are not available.</w:t>
      </w:r>
    </w:p>
    <w:p w:rsidR="00815BB8" w:rsidRDefault="00815BB8" w:rsidP="00815BB8">
      <w:pPr>
        <w:pStyle w:val="SingleTxtG"/>
        <w:ind w:left="1701"/>
      </w:pPr>
      <w:r>
        <w:rPr>
          <w:b/>
          <w:i/>
        </w:rPr>
        <w:t>NOTE:</w:t>
      </w:r>
      <w:r>
        <w:rPr>
          <w:b/>
          <w:i/>
        </w:rPr>
        <w:tab/>
      </w:r>
      <w:r>
        <w:rPr>
          <w:i/>
        </w:rPr>
        <w:t>The “proportion range” refers to the concentration or percentage range of the ingredient in the mixture.</w:t>
      </w:r>
      <w:r w:rsidRPr="00CF6A80">
        <w:t>”</w:t>
      </w:r>
    </w:p>
    <w:p w:rsidR="00815BB8" w:rsidRDefault="00815BB8" w:rsidP="00815BB8">
      <w:pPr>
        <w:pStyle w:val="SingleTxtG"/>
        <w:rPr>
          <w:rFonts w:eastAsia="MS Mincho"/>
        </w:rPr>
      </w:pPr>
      <w:r w:rsidRPr="000E093B">
        <w:rPr>
          <w:rFonts w:eastAsia="MS Mincho"/>
        </w:rPr>
        <w:t>3.</w:t>
      </w:r>
      <w:r w:rsidRPr="000E093B">
        <w:rPr>
          <w:rFonts w:eastAsia="MS Mincho"/>
        </w:rPr>
        <w:tab/>
        <w:t>The concentration ranges to be used in section 3 are typically pre-defined in the company’s IT system and reflect the classification boundaries for the relevant hazard classes.  The true exact concentration of each substance will lie somewhere within the quoted range, not necessarily at the maximum of the range.</w:t>
      </w:r>
    </w:p>
    <w:p w:rsidR="00815BB8" w:rsidRDefault="00815BB8" w:rsidP="00815BB8">
      <w:pPr>
        <w:pStyle w:val="SingleTxtG"/>
        <w:rPr>
          <w:rFonts w:cs="Calibri"/>
        </w:rPr>
      </w:pPr>
      <w:r>
        <w:rPr>
          <w:rFonts w:eastAsia="MS Mincho"/>
        </w:rPr>
        <w:t>4.</w:t>
      </w:r>
      <w:r>
        <w:rPr>
          <w:rFonts w:eastAsia="MS Mincho"/>
        </w:rPr>
        <w:tab/>
      </w:r>
      <w:r w:rsidRPr="004C64A6">
        <w:rPr>
          <w:rFonts w:cs="Calibri"/>
        </w:rPr>
        <w:t>For some hazard classes, e.g. skin corrosion/irritation or chronic aquatic toxicity, additivity applies and summation of the relevant ingredients is required to classify the mixture correctly</w:t>
      </w:r>
      <w:r>
        <w:rPr>
          <w:rFonts w:cs="Calibri"/>
        </w:rPr>
        <w:t xml:space="preserve"> if other methods like weight of evidence or expert judgment are not applicable</w:t>
      </w:r>
      <w:r w:rsidRPr="004C64A6">
        <w:rPr>
          <w:rFonts w:cs="Calibri"/>
        </w:rPr>
        <w:t>.  The overall calculated classification of t</w:t>
      </w:r>
      <w:r>
        <w:rPr>
          <w:rFonts w:cs="Calibri"/>
        </w:rPr>
        <w:t>he mixture (given in section 2</w:t>
      </w:r>
      <w:r w:rsidRPr="004C64A6">
        <w:rPr>
          <w:rFonts w:cs="Calibri"/>
        </w:rPr>
        <w:t xml:space="preserve"> of the </w:t>
      </w:r>
      <w:r w:rsidR="00CB1850">
        <w:rPr>
          <w:rFonts w:cs="Calibri"/>
        </w:rPr>
        <w:t>safety data sheet</w:t>
      </w:r>
      <w:r w:rsidRPr="004C64A6">
        <w:rPr>
          <w:rFonts w:cs="Calibri"/>
        </w:rPr>
        <w:t xml:space="preserve">) will normally be based on the </w:t>
      </w:r>
      <w:r w:rsidRPr="00057A7E">
        <w:rPr>
          <w:rFonts w:cs="Calibri"/>
        </w:rPr>
        <w:t>actual</w:t>
      </w:r>
      <w:r w:rsidRPr="004C64A6">
        <w:rPr>
          <w:rFonts w:cs="Calibri"/>
        </w:rPr>
        <w:t xml:space="preserve"> total concentration of the ingredients, and therefore may not reflect the total of all standard ra</w:t>
      </w:r>
      <w:r>
        <w:rPr>
          <w:rFonts w:cs="Calibri"/>
        </w:rPr>
        <w:t xml:space="preserve">nges quoted per substance in section 3 </w:t>
      </w:r>
      <w:r w:rsidRPr="004C64A6">
        <w:rPr>
          <w:rFonts w:cs="Calibri"/>
        </w:rPr>
        <w:t>– i.e. the classification is lower than that which would be obtained by calculation using the maxima of all ranges.</w:t>
      </w:r>
    </w:p>
    <w:p w:rsidR="00815BB8" w:rsidRDefault="00815BB8" w:rsidP="00815BB8">
      <w:pPr>
        <w:pStyle w:val="SingleTxtG"/>
        <w:rPr>
          <w:rFonts w:cs="Calibri"/>
        </w:rPr>
      </w:pPr>
      <w:r>
        <w:rPr>
          <w:rFonts w:cs="Calibri"/>
        </w:rPr>
        <w:t>5.</w:t>
      </w:r>
      <w:r>
        <w:rPr>
          <w:rFonts w:cs="Calibri"/>
        </w:rPr>
        <w:tab/>
        <w:t xml:space="preserve">It is the view of </w:t>
      </w:r>
      <w:r w:rsidR="008B0A08">
        <w:rPr>
          <w:rFonts w:cs="Calibri"/>
        </w:rPr>
        <w:t>CEFIC</w:t>
      </w:r>
      <w:r>
        <w:rPr>
          <w:rFonts w:cs="Calibri"/>
        </w:rPr>
        <w:t xml:space="preserve"> that the above discrepancy is inevitable.  However the implementation of A4.3.3.2.3 as a mandatory requirement in legislation has created serious practical problems for industry, including challenges from customers as well as </w:t>
      </w:r>
      <w:r>
        <w:rPr>
          <w:rFonts w:cs="Calibri"/>
        </w:rPr>
        <w:lastRenderedPageBreak/>
        <w:t>enforcement action from national competent authorities.  This is particularly notable in the European Union, where the provision has been transposed into Annex II of REACH (Regulation (EC) No 1907/2006) as follows:</w:t>
      </w:r>
    </w:p>
    <w:p w:rsidR="00815BB8" w:rsidRDefault="00815BB8" w:rsidP="008B0A08">
      <w:pPr>
        <w:pStyle w:val="SingleTxtG"/>
        <w:ind w:left="1701"/>
        <w:rPr>
          <w:sz w:val="19"/>
          <w:szCs w:val="19"/>
        </w:rPr>
      </w:pPr>
      <w:r>
        <w:rPr>
          <w:rFonts w:cs="Calibri"/>
        </w:rPr>
        <w:t>“</w:t>
      </w:r>
      <w:r>
        <w:rPr>
          <w:sz w:val="19"/>
          <w:szCs w:val="19"/>
        </w:rPr>
        <w:t>When using a range of percentages, the health and environmental hazards shall describe the effects of the highest concentration of each ingredient.</w:t>
      </w:r>
    </w:p>
    <w:p w:rsidR="00815BB8" w:rsidRDefault="00815BB8" w:rsidP="008B0A08">
      <w:pPr>
        <w:pStyle w:val="SingleTxtG"/>
        <w:ind w:left="1701"/>
        <w:rPr>
          <w:sz w:val="19"/>
          <w:szCs w:val="19"/>
        </w:rPr>
      </w:pPr>
      <w:r>
        <w:rPr>
          <w:sz w:val="19"/>
          <w:szCs w:val="19"/>
        </w:rPr>
        <w:t>If the effects of the mixture as a whole are available, this information shall be included under Section 2.”</w:t>
      </w:r>
    </w:p>
    <w:p w:rsidR="00815BB8" w:rsidRPr="0032205E" w:rsidRDefault="00815BB8" w:rsidP="00815BB8">
      <w:pPr>
        <w:pStyle w:val="SingleTxtG"/>
        <w:rPr>
          <w:rFonts w:cs="Calibri"/>
        </w:rPr>
      </w:pPr>
      <w:r>
        <w:rPr>
          <w:sz w:val="19"/>
          <w:szCs w:val="19"/>
        </w:rPr>
        <w:t>6.</w:t>
      </w:r>
      <w:r>
        <w:rPr>
          <w:sz w:val="19"/>
          <w:szCs w:val="19"/>
        </w:rPr>
        <w:tab/>
        <w:t xml:space="preserve">Some real-life examples of the difference between actual classifications and those derived from the maxima of percentage ranges are shown in the </w:t>
      </w:r>
      <w:r w:rsidR="008B0A08">
        <w:rPr>
          <w:sz w:val="19"/>
          <w:szCs w:val="19"/>
        </w:rPr>
        <w:t>a</w:t>
      </w:r>
      <w:r>
        <w:rPr>
          <w:sz w:val="19"/>
          <w:szCs w:val="19"/>
        </w:rPr>
        <w:t>nnex to this document.</w:t>
      </w:r>
    </w:p>
    <w:p w:rsidR="00815BB8" w:rsidRPr="008B0A08" w:rsidRDefault="008B0A08" w:rsidP="008B0A08">
      <w:pPr>
        <w:pStyle w:val="HChG"/>
        <w:rPr>
          <w:rFonts w:eastAsia="MS Mincho"/>
        </w:rPr>
      </w:pPr>
      <w:r>
        <w:rPr>
          <w:rFonts w:eastAsia="MS Mincho"/>
        </w:rPr>
        <w:tab/>
      </w:r>
      <w:r>
        <w:rPr>
          <w:rFonts w:eastAsia="MS Mincho"/>
        </w:rPr>
        <w:tab/>
      </w:r>
      <w:r w:rsidR="00815BB8" w:rsidRPr="008B0A08">
        <w:rPr>
          <w:rFonts w:eastAsia="MS Mincho"/>
        </w:rPr>
        <w:t>Discussion</w:t>
      </w:r>
    </w:p>
    <w:p w:rsidR="00815BB8" w:rsidRPr="00553B5C" w:rsidRDefault="00815BB8" w:rsidP="00815BB8">
      <w:pPr>
        <w:pStyle w:val="SingleTxtG"/>
        <w:rPr>
          <w:rFonts w:cs="Calibri"/>
        </w:rPr>
      </w:pPr>
      <w:r>
        <w:rPr>
          <w:rFonts w:cs="Calibri"/>
        </w:rPr>
        <w:t>7</w:t>
      </w:r>
      <w:r w:rsidRPr="00F320AB">
        <w:rPr>
          <w:rFonts w:cs="Calibri"/>
        </w:rPr>
        <w:t>.</w:t>
      </w:r>
      <w:r w:rsidRPr="00F320AB">
        <w:rPr>
          <w:rFonts w:cs="Calibri"/>
        </w:rPr>
        <w:tab/>
      </w:r>
      <w:r w:rsidRPr="004C64A6">
        <w:rPr>
          <w:rFonts w:cs="Calibri"/>
        </w:rPr>
        <w:t xml:space="preserve">The primary purpose of </w:t>
      </w:r>
      <w:r>
        <w:rPr>
          <w:rFonts w:cs="Calibri"/>
        </w:rPr>
        <w:t xml:space="preserve">a </w:t>
      </w:r>
      <w:r w:rsidR="00CB1850">
        <w:rPr>
          <w:rFonts w:cs="Calibri"/>
        </w:rPr>
        <w:t>safety data sheet</w:t>
      </w:r>
      <w:r w:rsidRPr="004C64A6">
        <w:rPr>
          <w:rFonts w:cs="Calibri"/>
        </w:rPr>
        <w:t xml:space="preserve"> is to communicate information to the recipient on the safe use of the mixture. </w:t>
      </w:r>
      <w:r>
        <w:rPr>
          <w:rFonts w:cs="Calibri"/>
        </w:rPr>
        <w:t xml:space="preserve"> </w:t>
      </w:r>
      <w:r w:rsidRPr="004C64A6">
        <w:rPr>
          <w:rFonts w:cs="Calibri"/>
        </w:rPr>
        <w:t xml:space="preserve">Due to the classification principles </w:t>
      </w:r>
      <w:r>
        <w:rPr>
          <w:rFonts w:cs="Calibri"/>
        </w:rPr>
        <w:t>of GHS</w:t>
      </w:r>
      <w:r w:rsidRPr="004C64A6">
        <w:rPr>
          <w:rFonts w:cs="Calibri"/>
        </w:rPr>
        <w:t xml:space="preserve"> it will not always be possible to verify the classification of a mixture using the information provided in section 3 of the </w:t>
      </w:r>
      <w:r w:rsidR="00CB1850">
        <w:rPr>
          <w:rFonts w:cs="Calibri"/>
        </w:rPr>
        <w:t>safety data sheet</w:t>
      </w:r>
      <w:r>
        <w:rPr>
          <w:rFonts w:cs="Calibri"/>
        </w:rPr>
        <w:t>.</w:t>
      </w:r>
      <w:r w:rsidRPr="004C64A6">
        <w:rPr>
          <w:rFonts w:cs="Calibri"/>
        </w:rPr>
        <w:t xml:space="preserve">  If authorities need to understand mixture classifications, </w:t>
      </w:r>
      <w:r>
        <w:rPr>
          <w:rFonts w:cs="Calibri"/>
        </w:rPr>
        <w:t xml:space="preserve">or downstream formulators require more specific information for classification, </w:t>
      </w:r>
      <w:r w:rsidRPr="004C64A6">
        <w:rPr>
          <w:rFonts w:cs="Calibri"/>
        </w:rPr>
        <w:t>industry is willing to provide relevant information for this purpose under the appropriate conditions of confidentiality.</w:t>
      </w:r>
    </w:p>
    <w:p w:rsidR="00815BB8" w:rsidRPr="00553B5C" w:rsidRDefault="00815BB8" w:rsidP="00815BB8">
      <w:pPr>
        <w:pStyle w:val="SingleTxtG"/>
        <w:rPr>
          <w:rFonts w:cs="Calibri"/>
        </w:rPr>
      </w:pPr>
      <w:r>
        <w:rPr>
          <w:rFonts w:cs="Calibri"/>
        </w:rPr>
        <w:t>8</w:t>
      </w:r>
      <w:r w:rsidRPr="00553B5C">
        <w:rPr>
          <w:rFonts w:cs="Calibri"/>
        </w:rPr>
        <w:t>.</w:t>
      </w:r>
      <w:r w:rsidRPr="00553B5C">
        <w:rPr>
          <w:rFonts w:cs="Calibri"/>
        </w:rPr>
        <w:tab/>
      </w:r>
      <w:r w:rsidRPr="004C64A6">
        <w:rPr>
          <w:rFonts w:cs="Calibri"/>
        </w:rPr>
        <w:t>Adjustin</w:t>
      </w:r>
      <w:r>
        <w:rPr>
          <w:rFonts w:cs="Calibri"/>
        </w:rPr>
        <w:t>g the information in section 3</w:t>
      </w:r>
      <w:r w:rsidRPr="004C64A6">
        <w:rPr>
          <w:rFonts w:cs="Calibri"/>
        </w:rPr>
        <w:t xml:space="preserve"> to allow confirmation of the mixture classification would also render the use of ranges redundant, since the maximum of each range would have to be set at, or very close to, the actual exact concentration.  This would effectively disclose confidential business information.</w:t>
      </w:r>
      <w:r>
        <w:rPr>
          <w:rFonts w:cs="Calibri"/>
        </w:rPr>
        <w:t xml:space="preserve">  </w:t>
      </w:r>
      <w:r w:rsidRPr="004C64A6">
        <w:rPr>
          <w:rFonts w:cs="Calibri"/>
        </w:rPr>
        <w:t>In addition, it is technically difficult and impractical to adjust concentration ranges on a case-by-case basis to accommodate the summation of constituent substances.  This would require manual intervention on all documents where additivity applies, which is not feasible in a production environment often involving thousands of formulations.</w:t>
      </w:r>
    </w:p>
    <w:p w:rsidR="00815BB8" w:rsidRPr="000E093B" w:rsidRDefault="00815BB8" w:rsidP="00815BB8">
      <w:pPr>
        <w:pStyle w:val="SingleTxtG"/>
        <w:rPr>
          <w:rFonts w:eastAsia="MS Mincho"/>
        </w:rPr>
      </w:pPr>
      <w:r>
        <w:rPr>
          <w:rFonts w:eastAsia="MS Mincho"/>
        </w:rPr>
        <w:t>9.</w:t>
      </w:r>
      <w:r>
        <w:rPr>
          <w:rFonts w:eastAsia="MS Mincho"/>
        </w:rPr>
        <w:tab/>
        <w:t>I</w:t>
      </w:r>
      <w:r w:rsidRPr="000E093B">
        <w:rPr>
          <w:rFonts w:eastAsia="MS Mincho"/>
        </w:rPr>
        <w:t xml:space="preserve">n the case of a tested mixture, or one classified using bridging principles from similar tested mixtures, the overall mixture classification </w:t>
      </w:r>
      <w:r>
        <w:rPr>
          <w:rFonts w:eastAsia="MS Mincho"/>
        </w:rPr>
        <w:t>will</w:t>
      </w:r>
      <w:r w:rsidRPr="000E093B">
        <w:rPr>
          <w:rFonts w:eastAsia="MS Mincho"/>
        </w:rPr>
        <w:t xml:space="preserve"> not necessarily reflect the sum of the ranges </w:t>
      </w:r>
      <w:r>
        <w:rPr>
          <w:rFonts w:eastAsia="MS Mincho"/>
        </w:rPr>
        <w:t>in any case</w:t>
      </w:r>
      <w:r w:rsidRPr="000E093B">
        <w:rPr>
          <w:rFonts w:eastAsia="MS Mincho"/>
        </w:rPr>
        <w:t xml:space="preserve"> (or even the sum of exact substance concentrations).</w:t>
      </w:r>
      <w:r>
        <w:rPr>
          <w:rFonts w:eastAsia="MS Mincho"/>
        </w:rPr>
        <w:t xml:space="preserve">  This is acknowledged and accommodated in Annex 4 of GHS, but not necessarily in legislation based on GHS, as noted in paragraph 5 above.</w:t>
      </w:r>
    </w:p>
    <w:p w:rsidR="00815BB8" w:rsidRPr="008B0A08" w:rsidRDefault="008B0A08" w:rsidP="008B0A08">
      <w:pPr>
        <w:pStyle w:val="HChG"/>
        <w:rPr>
          <w:rFonts w:eastAsia="MS Mincho"/>
        </w:rPr>
      </w:pPr>
      <w:r>
        <w:rPr>
          <w:rFonts w:eastAsia="MS Mincho"/>
        </w:rPr>
        <w:tab/>
      </w:r>
      <w:r>
        <w:rPr>
          <w:rFonts w:eastAsia="MS Mincho"/>
        </w:rPr>
        <w:tab/>
      </w:r>
      <w:r w:rsidR="00815BB8" w:rsidRPr="008B0A08">
        <w:rPr>
          <w:rFonts w:eastAsia="MS Mincho"/>
        </w:rPr>
        <w:t>Proposal</w:t>
      </w:r>
    </w:p>
    <w:p w:rsidR="00815BB8" w:rsidRDefault="00815BB8" w:rsidP="00815BB8">
      <w:pPr>
        <w:pStyle w:val="SingleTxtG"/>
        <w:rPr>
          <w:rFonts w:eastAsia="MS Mincho"/>
        </w:rPr>
      </w:pPr>
      <w:r>
        <w:rPr>
          <w:rFonts w:eastAsia="MS Mincho"/>
        </w:rPr>
        <w:t>10.</w:t>
      </w:r>
      <w:r>
        <w:rPr>
          <w:rFonts w:eastAsia="MS Mincho"/>
        </w:rPr>
        <w:tab/>
        <w:t>The provision in A4.3.3.2.3 of Annex 4 is impractical and inappropriate in the context of additive effects.  It is therefore proposed that A4.3.3.2.3 be deleted, or else replaced by more appropriate alternative text such as the following:</w:t>
      </w:r>
    </w:p>
    <w:p w:rsidR="00815BB8" w:rsidRDefault="00815BB8" w:rsidP="00CB1850">
      <w:pPr>
        <w:pStyle w:val="SingleTxtG"/>
        <w:ind w:left="1701"/>
        <w:rPr>
          <w:rFonts w:cs="Calibri"/>
        </w:rPr>
      </w:pPr>
      <w:r>
        <w:rPr>
          <w:rFonts w:eastAsia="MS Mincho"/>
        </w:rPr>
        <w:t>“</w:t>
      </w:r>
      <w:r w:rsidRPr="004C64A6">
        <w:rPr>
          <w:rFonts w:cs="Calibri"/>
        </w:rPr>
        <w:t>When u</w:t>
      </w:r>
      <w:r>
        <w:rPr>
          <w:rFonts w:cs="Calibri"/>
        </w:rPr>
        <w:t>sing a range of percentages, the range for each substance should reflect relevant classification thresholds.  The</w:t>
      </w:r>
      <w:r w:rsidRPr="004C64A6">
        <w:rPr>
          <w:rFonts w:cs="Calibri"/>
        </w:rPr>
        <w:t xml:space="preserve"> health and environmental hazards </w:t>
      </w:r>
      <w:r>
        <w:rPr>
          <w:rFonts w:cs="Calibri"/>
        </w:rPr>
        <w:t>of the mixture should</w:t>
      </w:r>
      <w:r w:rsidRPr="004C64A6">
        <w:rPr>
          <w:rFonts w:cs="Calibri"/>
        </w:rPr>
        <w:t xml:space="preserve"> </w:t>
      </w:r>
      <w:r>
        <w:rPr>
          <w:rFonts w:cs="Calibri"/>
        </w:rPr>
        <w:t xml:space="preserve">however describe the effects of the mixture as a whole or the effects based on the actual </w:t>
      </w:r>
      <w:r w:rsidRPr="004C64A6">
        <w:rPr>
          <w:rFonts w:cs="Calibri"/>
        </w:rPr>
        <w:t>concentration of each ingredient</w:t>
      </w:r>
      <w:r>
        <w:rPr>
          <w:rFonts w:cs="Calibri"/>
        </w:rPr>
        <w:t>, as appropriate</w:t>
      </w:r>
      <w:r w:rsidRPr="004C64A6">
        <w:rPr>
          <w:rFonts w:cs="Calibri"/>
        </w:rPr>
        <w:t>.</w:t>
      </w:r>
      <w:r>
        <w:rPr>
          <w:rFonts w:cs="Calibri"/>
        </w:rPr>
        <w:t>”</w:t>
      </w:r>
    </w:p>
    <w:p w:rsidR="00815BB8" w:rsidRPr="00CF6A80" w:rsidRDefault="00815BB8" w:rsidP="00815BB8">
      <w:pPr>
        <w:pStyle w:val="SingleTxtG"/>
        <w:rPr>
          <w:rFonts w:eastAsia="MS Mincho"/>
        </w:rPr>
      </w:pPr>
      <w:r>
        <w:rPr>
          <w:rFonts w:cs="Calibri"/>
        </w:rPr>
        <w:t>11.</w:t>
      </w:r>
      <w:r>
        <w:rPr>
          <w:rFonts w:cs="Calibri"/>
        </w:rPr>
        <w:tab/>
      </w:r>
      <w:r w:rsidR="004A5617">
        <w:rPr>
          <w:rFonts w:cs="Calibri"/>
        </w:rPr>
        <w:t>CEFIC</w:t>
      </w:r>
      <w:r>
        <w:rPr>
          <w:rFonts w:cs="Calibri"/>
        </w:rPr>
        <w:t xml:space="preserve"> invites the views of the Sub-Committee on this issue, with a view to developing a formal proposal for the next biennium.</w:t>
      </w:r>
    </w:p>
    <w:p w:rsidR="008B0A08" w:rsidRPr="008B0A08" w:rsidRDefault="008B0A08" w:rsidP="008B0A08">
      <w:pPr>
        <w:pStyle w:val="HChG"/>
      </w:pPr>
      <w:r>
        <w:lastRenderedPageBreak/>
        <w:tab/>
      </w:r>
      <w:r>
        <w:tab/>
      </w:r>
      <w:r w:rsidR="00815BB8" w:rsidRPr="008B0A08">
        <w:t>Annex</w:t>
      </w:r>
    </w:p>
    <w:p w:rsidR="00815BB8" w:rsidRPr="008B0A08" w:rsidRDefault="00815BB8" w:rsidP="008B0A08">
      <w:pPr>
        <w:pStyle w:val="HChG"/>
      </w:pPr>
      <w:r w:rsidRPr="008B0A08">
        <w:tab/>
      </w:r>
      <w:r w:rsidR="008B0A08">
        <w:tab/>
      </w:r>
      <w:r w:rsidRPr="008B0A08">
        <w:t>Examples of differences in classification and labelling using actual concentrations and the highest concentrations of ranges</w:t>
      </w:r>
    </w:p>
    <w:p w:rsidR="00815BB8" w:rsidRDefault="008B0A08" w:rsidP="008B0A08">
      <w:pPr>
        <w:pStyle w:val="H1G"/>
      </w:pPr>
      <w:r>
        <w:tab/>
      </w:r>
      <w:r>
        <w:tab/>
      </w:r>
      <w:r w:rsidR="00815BB8">
        <w:t>Example 1:</w:t>
      </w:r>
      <w:r w:rsidR="00E30735">
        <w:br/>
      </w:r>
      <w:r w:rsidR="00815BB8">
        <w:t xml:space="preserve">Eye Category 2 </w:t>
      </w:r>
      <w:r w:rsidR="00815BB8" w:rsidRPr="008B0A08">
        <w:rPr>
          <w:i/>
        </w:rPr>
        <w:t>v</w:t>
      </w:r>
      <w:r w:rsidRPr="008B0A08">
        <w:rPr>
          <w:i/>
        </w:rPr>
        <w:t>s</w:t>
      </w:r>
      <w:r w:rsidR="00815BB8">
        <w:t xml:space="preserve"> Eye Category 1</w:t>
      </w:r>
    </w:p>
    <w:tbl>
      <w:tblPr>
        <w:tblStyle w:val="TableGrid"/>
        <w:tblW w:w="9639" w:type="dxa"/>
        <w:tblLook w:val="04A0" w:firstRow="1" w:lastRow="0" w:firstColumn="1" w:lastColumn="0" w:noHBand="0" w:noVBand="1"/>
      </w:tblPr>
      <w:tblGrid>
        <w:gridCol w:w="3072"/>
        <w:gridCol w:w="3342"/>
        <w:gridCol w:w="3225"/>
      </w:tblGrid>
      <w:tr w:rsidR="00815BB8" w:rsidRPr="007F0643" w:rsidTr="008B0A08">
        <w:tc>
          <w:tcPr>
            <w:tcW w:w="2835" w:type="dxa"/>
            <w:tcBorders>
              <w:top w:val="nil"/>
              <w:left w:val="nil"/>
              <w:bottom w:val="double" w:sz="4" w:space="0" w:color="auto"/>
              <w:right w:val="double" w:sz="4" w:space="0" w:color="auto"/>
            </w:tcBorders>
          </w:tcPr>
          <w:p w:rsidR="00815BB8" w:rsidRPr="007F0643" w:rsidRDefault="00815BB8" w:rsidP="008B0A08">
            <w:pPr>
              <w:rPr>
                <w:b/>
              </w:rPr>
            </w:pPr>
            <w:r>
              <w:rPr>
                <w:b/>
              </w:rPr>
              <w:t>Ingredient</w:t>
            </w:r>
            <w:r w:rsidRPr="007F0643">
              <w:rPr>
                <w:b/>
              </w:rPr>
              <w:t xml:space="preserve"> </w:t>
            </w:r>
            <w:r w:rsidR="008B0A08">
              <w:rPr>
                <w:b/>
              </w:rPr>
              <w:t>and</w:t>
            </w:r>
            <w:r w:rsidRPr="007F0643">
              <w:rPr>
                <w:b/>
              </w:rPr>
              <w:t xml:space="preserve"> classification</w:t>
            </w:r>
          </w:p>
        </w:tc>
        <w:tc>
          <w:tcPr>
            <w:tcW w:w="3085" w:type="dxa"/>
            <w:tcBorders>
              <w:top w:val="nil"/>
              <w:left w:val="double" w:sz="4" w:space="0" w:color="auto"/>
              <w:bottom w:val="double" w:sz="4" w:space="0" w:color="auto"/>
            </w:tcBorders>
          </w:tcPr>
          <w:p w:rsidR="00815BB8" w:rsidRPr="007F0643" w:rsidRDefault="00815BB8" w:rsidP="00FD51B8">
            <w:pPr>
              <w:rPr>
                <w:b/>
              </w:rPr>
            </w:pPr>
            <w:r w:rsidRPr="007F0643">
              <w:rPr>
                <w:b/>
              </w:rPr>
              <w:t>Actual concentration in mixture</w:t>
            </w:r>
          </w:p>
        </w:tc>
        <w:tc>
          <w:tcPr>
            <w:tcW w:w="2977" w:type="dxa"/>
            <w:tcBorders>
              <w:top w:val="nil"/>
              <w:bottom w:val="double" w:sz="4" w:space="0" w:color="auto"/>
              <w:right w:val="nil"/>
            </w:tcBorders>
          </w:tcPr>
          <w:p w:rsidR="00815BB8" w:rsidRPr="007F0643" w:rsidRDefault="00815BB8" w:rsidP="00FD51B8">
            <w:pPr>
              <w:rPr>
                <w:b/>
              </w:rPr>
            </w:pPr>
            <w:r>
              <w:rPr>
                <w:b/>
              </w:rPr>
              <w:t>Range specified in Section 3</w:t>
            </w:r>
          </w:p>
        </w:tc>
      </w:tr>
      <w:tr w:rsidR="00815BB8" w:rsidRPr="007F0643" w:rsidTr="008B0A08">
        <w:tc>
          <w:tcPr>
            <w:tcW w:w="2835" w:type="dxa"/>
            <w:tcBorders>
              <w:top w:val="double" w:sz="4" w:space="0" w:color="auto"/>
              <w:left w:val="nil"/>
              <w:right w:val="double" w:sz="4" w:space="0" w:color="auto"/>
            </w:tcBorders>
          </w:tcPr>
          <w:p w:rsidR="00815BB8" w:rsidRPr="007F0643" w:rsidRDefault="00815BB8" w:rsidP="00E30735">
            <w:r w:rsidRPr="007F0643">
              <w:t>Surfactant A</w:t>
            </w:r>
            <w:r w:rsidR="00E30735">
              <w:br/>
            </w:r>
            <w:r>
              <w:t>Eye Cat. 1</w:t>
            </w:r>
            <w:r w:rsidRPr="007F0643">
              <w:t>, no SCL</w:t>
            </w:r>
          </w:p>
        </w:tc>
        <w:tc>
          <w:tcPr>
            <w:tcW w:w="3085" w:type="dxa"/>
            <w:tcBorders>
              <w:top w:val="double" w:sz="4" w:space="0" w:color="auto"/>
              <w:left w:val="double" w:sz="4" w:space="0" w:color="auto"/>
            </w:tcBorders>
          </w:tcPr>
          <w:p w:rsidR="00815BB8" w:rsidRPr="007F0643" w:rsidRDefault="00815BB8" w:rsidP="00FD51B8">
            <w:r w:rsidRPr="007F0643">
              <w:t>1</w:t>
            </w:r>
            <w:r>
              <w:t>.</w:t>
            </w:r>
            <w:r w:rsidRPr="007F0643">
              <w:t>24%</w:t>
            </w:r>
          </w:p>
        </w:tc>
        <w:tc>
          <w:tcPr>
            <w:tcW w:w="2977" w:type="dxa"/>
            <w:tcBorders>
              <w:top w:val="double" w:sz="4" w:space="0" w:color="auto"/>
              <w:right w:val="nil"/>
            </w:tcBorders>
          </w:tcPr>
          <w:p w:rsidR="00815BB8" w:rsidRPr="007F0643" w:rsidRDefault="00815BB8" w:rsidP="00FD51B8">
            <w:r w:rsidRPr="007F0643">
              <w:t xml:space="preserve">1 </w:t>
            </w:r>
            <w:r>
              <w:t>–</w:t>
            </w:r>
            <w:r w:rsidRPr="007F0643">
              <w:t xml:space="preserve"> 2</w:t>
            </w:r>
            <w:r>
              <w:t>.</w:t>
            </w:r>
            <w:r w:rsidRPr="007F0643">
              <w:t>5%</w:t>
            </w:r>
          </w:p>
        </w:tc>
      </w:tr>
      <w:tr w:rsidR="00815BB8" w:rsidRPr="007F0643" w:rsidTr="008B0A08">
        <w:tc>
          <w:tcPr>
            <w:tcW w:w="2835" w:type="dxa"/>
            <w:tcBorders>
              <w:left w:val="nil"/>
              <w:bottom w:val="single" w:sz="12" w:space="0" w:color="auto"/>
              <w:right w:val="double" w:sz="4" w:space="0" w:color="auto"/>
            </w:tcBorders>
          </w:tcPr>
          <w:p w:rsidR="00815BB8" w:rsidRPr="007F0643" w:rsidRDefault="00815BB8" w:rsidP="00E30735">
            <w:r w:rsidRPr="007F0643">
              <w:t>Surfactant B</w:t>
            </w:r>
            <w:r w:rsidR="00E30735">
              <w:br/>
            </w:r>
            <w:r>
              <w:t>Eye Cat. 1</w:t>
            </w:r>
            <w:r w:rsidRPr="007F0643">
              <w:t>, no SCL</w:t>
            </w:r>
          </w:p>
        </w:tc>
        <w:tc>
          <w:tcPr>
            <w:tcW w:w="3085" w:type="dxa"/>
            <w:tcBorders>
              <w:left w:val="double" w:sz="4" w:space="0" w:color="auto"/>
              <w:bottom w:val="single" w:sz="12" w:space="0" w:color="auto"/>
            </w:tcBorders>
          </w:tcPr>
          <w:p w:rsidR="00815BB8" w:rsidRPr="007F0643" w:rsidRDefault="00815BB8" w:rsidP="00FD51B8">
            <w:r w:rsidRPr="007F0643">
              <w:t>1</w:t>
            </w:r>
            <w:r>
              <w:t>.</w:t>
            </w:r>
            <w:r w:rsidRPr="007F0643">
              <w:t>13%</w:t>
            </w:r>
          </w:p>
        </w:tc>
        <w:tc>
          <w:tcPr>
            <w:tcW w:w="2977" w:type="dxa"/>
            <w:tcBorders>
              <w:bottom w:val="single" w:sz="12" w:space="0" w:color="auto"/>
              <w:right w:val="nil"/>
            </w:tcBorders>
          </w:tcPr>
          <w:p w:rsidR="00815BB8" w:rsidRPr="007F0643" w:rsidRDefault="00815BB8" w:rsidP="00FD51B8">
            <w:r w:rsidRPr="007F0643">
              <w:t xml:space="preserve">1 </w:t>
            </w:r>
            <w:r>
              <w:t>–</w:t>
            </w:r>
            <w:r w:rsidRPr="007F0643">
              <w:t xml:space="preserve"> 2</w:t>
            </w:r>
            <w:r>
              <w:t>.</w:t>
            </w:r>
            <w:r w:rsidRPr="007F0643">
              <w:t>5%</w:t>
            </w:r>
          </w:p>
        </w:tc>
      </w:tr>
      <w:tr w:rsidR="00815BB8" w:rsidRPr="007F0643" w:rsidTr="008B0A08">
        <w:tc>
          <w:tcPr>
            <w:tcW w:w="2835" w:type="dxa"/>
            <w:tcBorders>
              <w:top w:val="single" w:sz="12" w:space="0" w:color="auto"/>
              <w:left w:val="nil"/>
              <w:bottom w:val="double" w:sz="4" w:space="0" w:color="auto"/>
              <w:right w:val="double" w:sz="4" w:space="0" w:color="auto"/>
            </w:tcBorders>
          </w:tcPr>
          <w:p w:rsidR="00815BB8" w:rsidRPr="007F0643" w:rsidRDefault="00815BB8" w:rsidP="00FD51B8">
            <w:r>
              <w:rPr>
                <w:b/>
              </w:rPr>
              <w:t>Total</w:t>
            </w:r>
          </w:p>
        </w:tc>
        <w:tc>
          <w:tcPr>
            <w:tcW w:w="3085" w:type="dxa"/>
            <w:tcBorders>
              <w:top w:val="single" w:sz="12" w:space="0" w:color="auto"/>
              <w:left w:val="double" w:sz="4" w:space="0" w:color="auto"/>
              <w:bottom w:val="double" w:sz="4" w:space="0" w:color="auto"/>
            </w:tcBorders>
          </w:tcPr>
          <w:p w:rsidR="00815BB8" w:rsidRPr="007F0643" w:rsidRDefault="00815BB8" w:rsidP="00FD51B8">
            <w:pPr>
              <w:rPr>
                <w:i/>
              </w:rPr>
            </w:pPr>
            <w:r w:rsidRPr="007F0643">
              <w:rPr>
                <w:i/>
              </w:rPr>
              <w:t>Total concentration:</w:t>
            </w:r>
          </w:p>
          <w:p w:rsidR="00815BB8" w:rsidRPr="007F0643" w:rsidRDefault="00815BB8" w:rsidP="00FD51B8">
            <w:pPr>
              <w:rPr>
                <w:b/>
              </w:rPr>
            </w:pPr>
            <w:r>
              <w:rPr>
                <w:b/>
              </w:rPr>
              <w:t>2.</w:t>
            </w:r>
            <w:r w:rsidRPr="007F0643">
              <w:rPr>
                <w:b/>
              </w:rPr>
              <w:t>37%</w:t>
            </w:r>
          </w:p>
        </w:tc>
        <w:tc>
          <w:tcPr>
            <w:tcW w:w="2977" w:type="dxa"/>
            <w:tcBorders>
              <w:top w:val="single" w:sz="12" w:space="0" w:color="auto"/>
              <w:bottom w:val="double" w:sz="4" w:space="0" w:color="auto"/>
              <w:right w:val="nil"/>
            </w:tcBorders>
          </w:tcPr>
          <w:p w:rsidR="00815BB8" w:rsidRPr="007F0643" w:rsidRDefault="00815BB8" w:rsidP="00FD51B8">
            <w:pPr>
              <w:rPr>
                <w:b/>
              </w:rPr>
            </w:pPr>
            <w:r w:rsidRPr="007F0643">
              <w:rPr>
                <w:i/>
              </w:rPr>
              <w:t>Total of highest concentration</w:t>
            </w:r>
            <w:r>
              <w:rPr>
                <w:i/>
              </w:rPr>
              <w:t>s</w:t>
            </w:r>
            <w:r w:rsidRPr="007F0643">
              <w:rPr>
                <w:i/>
              </w:rPr>
              <w:t>:</w:t>
            </w:r>
            <w:r w:rsidRPr="007F0643">
              <w:rPr>
                <w:i/>
              </w:rPr>
              <w:br/>
            </w:r>
            <w:r w:rsidRPr="007F0643">
              <w:rPr>
                <w:b/>
              </w:rPr>
              <w:t>5%</w:t>
            </w:r>
          </w:p>
        </w:tc>
      </w:tr>
      <w:tr w:rsidR="00815BB8" w:rsidRPr="007F0643" w:rsidTr="008B0A08">
        <w:trPr>
          <w:trHeight w:val="1131"/>
        </w:trPr>
        <w:tc>
          <w:tcPr>
            <w:tcW w:w="2835" w:type="dxa"/>
            <w:tcBorders>
              <w:top w:val="double" w:sz="4" w:space="0" w:color="auto"/>
              <w:left w:val="nil"/>
              <w:bottom w:val="nil"/>
              <w:right w:val="double" w:sz="4" w:space="0" w:color="auto"/>
            </w:tcBorders>
          </w:tcPr>
          <w:p w:rsidR="00815BB8" w:rsidRPr="007F0643" w:rsidRDefault="00815BB8" w:rsidP="00FD51B8">
            <w:pPr>
              <w:rPr>
                <w:b/>
              </w:rPr>
            </w:pPr>
            <w:r w:rsidRPr="007F0643">
              <w:rPr>
                <w:b/>
              </w:rPr>
              <w:t xml:space="preserve">Classification </w:t>
            </w:r>
            <w:r>
              <w:rPr>
                <w:b/>
              </w:rPr>
              <w:t xml:space="preserve">and labelling </w:t>
            </w:r>
            <w:r w:rsidRPr="007F0643">
              <w:rPr>
                <w:b/>
              </w:rPr>
              <w:t>based on calculation method</w:t>
            </w:r>
            <w:r>
              <w:rPr>
                <w:b/>
                <w:vertAlign w:val="superscript"/>
              </w:rPr>
              <w:t>1</w:t>
            </w:r>
            <w:r w:rsidRPr="007F0643">
              <w:rPr>
                <w:b/>
              </w:rPr>
              <w:t>:</w:t>
            </w:r>
          </w:p>
        </w:tc>
        <w:tc>
          <w:tcPr>
            <w:tcW w:w="3085" w:type="dxa"/>
            <w:tcBorders>
              <w:top w:val="double" w:sz="4" w:space="0" w:color="auto"/>
              <w:left w:val="double" w:sz="4" w:space="0" w:color="auto"/>
              <w:bottom w:val="nil"/>
            </w:tcBorders>
          </w:tcPr>
          <w:p w:rsidR="00815BB8" w:rsidRDefault="00815BB8" w:rsidP="00FD51B8">
            <w:r w:rsidRPr="007F0643">
              <w:t>Eye Cat. 2</w:t>
            </w:r>
          </w:p>
          <w:p w:rsidR="00815BB8" w:rsidRDefault="009869AD" w:rsidP="00FD51B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0" type="#_x0000_t75" style="position:absolute;margin-left:119.4pt;margin-top:4.55pt;width:28.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
                  <w10:wrap type="square"/>
                </v:shape>
              </w:pict>
            </w:r>
            <w:r w:rsidR="00815BB8">
              <w:t>Warning</w:t>
            </w:r>
          </w:p>
          <w:p w:rsidR="00815BB8" w:rsidRPr="007F0643" w:rsidRDefault="00815BB8" w:rsidP="00FD51B8">
            <w:r>
              <w:t>H319 Causes serious eye irritation</w:t>
            </w:r>
            <w:r w:rsidRPr="007F0643">
              <w:t xml:space="preserve"> </w:t>
            </w:r>
          </w:p>
        </w:tc>
        <w:tc>
          <w:tcPr>
            <w:tcW w:w="2977" w:type="dxa"/>
            <w:tcBorders>
              <w:top w:val="double" w:sz="4" w:space="0" w:color="auto"/>
              <w:bottom w:val="nil"/>
              <w:right w:val="nil"/>
            </w:tcBorders>
          </w:tcPr>
          <w:p w:rsidR="00815BB8" w:rsidRPr="007F0643" w:rsidRDefault="00815BB8" w:rsidP="00FD51B8">
            <w:r w:rsidRPr="007F0643">
              <w:t>Eye Cat. 1</w:t>
            </w:r>
          </w:p>
          <w:p w:rsidR="00815BB8" w:rsidRDefault="009869AD" w:rsidP="00FD51B8">
            <w:r>
              <w:rPr>
                <w:noProof/>
              </w:rPr>
              <w:pict>
                <v:shape id="Afbeelding 2" o:spid="_x0000_s1029" type="#_x0000_t75" style="position:absolute;margin-left:113.15pt;margin-top:3.8pt;width:30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w10:wrap type="square"/>
                </v:shape>
              </w:pict>
            </w:r>
            <w:r w:rsidR="00815BB8">
              <w:t>Danger</w:t>
            </w:r>
          </w:p>
          <w:p w:rsidR="00815BB8" w:rsidRPr="007F0643" w:rsidRDefault="00815BB8" w:rsidP="00FD51B8">
            <w:r>
              <w:t>H318 Causes serious eye damage</w:t>
            </w:r>
          </w:p>
        </w:tc>
      </w:tr>
    </w:tbl>
    <w:p w:rsidR="00815BB8" w:rsidRPr="00460236" w:rsidRDefault="00815BB8" w:rsidP="00E30735">
      <w:pPr>
        <w:tabs>
          <w:tab w:val="left" w:pos="284"/>
        </w:tabs>
        <w:ind w:left="284" w:hanging="284"/>
        <w:rPr>
          <w:i/>
          <w:sz w:val="18"/>
          <w:szCs w:val="18"/>
        </w:rPr>
      </w:pPr>
      <w:r w:rsidRPr="00460236">
        <w:rPr>
          <w:sz w:val="18"/>
          <w:szCs w:val="18"/>
          <w:vertAlign w:val="superscript"/>
        </w:rPr>
        <w:t>1</w:t>
      </w:r>
      <w:r w:rsidRPr="00460236">
        <w:rPr>
          <w:sz w:val="18"/>
          <w:szCs w:val="18"/>
        </w:rPr>
        <w:t xml:space="preserve"> </w:t>
      </w:r>
      <w:r w:rsidR="00E30735" w:rsidRPr="00460236">
        <w:rPr>
          <w:sz w:val="18"/>
          <w:szCs w:val="18"/>
        </w:rPr>
        <w:tab/>
      </w:r>
      <w:r w:rsidRPr="00460236">
        <w:rPr>
          <w:i/>
          <w:sz w:val="18"/>
          <w:szCs w:val="18"/>
        </w:rPr>
        <w:t xml:space="preserve">Generic concentration limit for classification of mixture as Eye Cat.1 based on substances classified as </w:t>
      </w:r>
      <w:r w:rsidR="00E30735" w:rsidRPr="00460236">
        <w:rPr>
          <w:i/>
          <w:sz w:val="18"/>
          <w:szCs w:val="18"/>
        </w:rPr>
        <w:t>Eye Cat.1 is </w:t>
      </w:r>
      <w:r w:rsidRPr="00460236">
        <w:rPr>
          <w:i/>
          <w:sz w:val="18"/>
          <w:szCs w:val="18"/>
        </w:rPr>
        <w:t xml:space="preserve">3%. </w:t>
      </w:r>
      <w:r w:rsidRPr="00460236">
        <w:rPr>
          <w:i/>
          <w:sz w:val="18"/>
          <w:szCs w:val="18"/>
        </w:rPr>
        <w:br/>
        <w:t xml:space="preserve">Generic concentration limit for classification of mixture as Eye Cat.2 based on substances classified as Eye Cat.1 </w:t>
      </w:r>
      <w:r w:rsidR="00E30735" w:rsidRPr="00460236">
        <w:rPr>
          <w:i/>
          <w:sz w:val="18"/>
          <w:szCs w:val="18"/>
        </w:rPr>
        <w:t>is </w:t>
      </w:r>
      <w:r w:rsidRPr="00460236">
        <w:rPr>
          <w:i/>
          <w:sz w:val="18"/>
          <w:szCs w:val="18"/>
        </w:rPr>
        <w:t>1%.</w:t>
      </w:r>
    </w:p>
    <w:p w:rsidR="00815BB8" w:rsidRPr="00E30735" w:rsidRDefault="00E30735" w:rsidP="00E30735">
      <w:pPr>
        <w:pStyle w:val="H1G"/>
      </w:pPr>
      <w:r w:rsidRPr="00460236">
        <w:tab/>
      </w:r>
      <w:r w:rsidRPr="00460236">
        <w:tab/>
      </w:r>
      <w:r w:rsidR="00815BB8" w:rsidRPr="00460236">
        <w:t>Example 2:</w:t>
      </w:r>
      <w:r w:rsidR="00460236" w:rsidRPr="00460236">
        <w:br/>
      </w:r>
      <w:r>
        <w:t>Aquatic t</w:t>
      </w:r>
      <w:r w:rsidR="00815BB8" w:rsidRPr="00E30735">
        <w:t xml:space="preserve">oxicity Chronic 3 </w:t>
      </w:r>
      <w:r w:rsidR="00815BB8" w:rsidRPr="00E30735">
        <w:rPr>
          <w:i/>
        </w:rPr>
        <w:t>v</w:t>
      </w:r>
      <w:r w:rsidRPr="00E30735">
        <w:rPr>
          <w:i/>
        </w:rPr>
        <w:t>s</w:t>
      </w:r>
      <w:r w:rsidR="00815BB8" w:rsidRPr="00E30735">
        <w:t xml:space="preserve"> </w:t>
      </w:r>
      <w:r>
        <w:t>Aquatic t</w:t>
      </w:r>
      <w:r w:rsidR="00815BB8" w:rsidRPr="00E30735">
        <w:t>oxicity Chronic 2</w:t>
      </w:r>
    </w:p>
    <w:tbl>
      <w:tblPr>
        <w:tblStyle w:val="TableGrid"/>
        <w:tblW w:w="9639" w:type="dxa"/>
        <w:tblLook w:val="04A0" w:firstRow="1" w:lastRow="0" w:firstColumn="1" w:lastColumn="0" w:noHBand="0" w:noVBand="1"/>
      </w:tblPr>
      <w:tblGrid>
        <w:gridCol w:w="3072"/>
        <w:gridCol w:w="3342"/>
        <w:gridCol w:w="3225"/>
      </w:tblGrid>
      <w:tr w:rsidR="00815BB8" w:rsidRPr="007F0643" w:rsidTr="00460236">
        <w:tc>
          <w:tcPr>
            <w:tcW w:w="3072" w:type="dxa"/>
            <w:tcBorders>
              <w:top w:val="nil"/>
              <w:left w:val="nil"/>
              <w:bottom w:val="double" w:sz="4" w:space="0" w:color="auto"/>
              <w:right w:val="double" w:sz="4" w:space="0" w:color="auto"/>
            </w:tcBorders>
          </w:tcPr>
          <w:p w:rsidR="00815BB8" w:rsidRPr="007F0643" w:rsidRDefault="00815BB8" w:rsidP="00FD51B8">
            <w:pPr>
              <w:rPr>
                <w:b/>
              </w:rPr>
            </w:pPr>
            <w:r>
              <w:rPr>
                <w:b/>
              </w:rPr>
              <w:t>Ingredients (all c</w:t>
            </w:r>
            <w:r w:rsidRPr="007F0643">
              <w:rPr>
                <w:b/>
              </w:rPr>
              <w:t>lassifi</w:t>
            </w:r>
            <w:r>
              <w:rPr>
                <w:b/>
              </w:rPr>
              <w:t>ed Aquatic Chronic 2)</w:t>
            </w:r>
          </w:p>
        </w:tc>
        <w:tc>
          <w:tcPr>
            <w:tcW w:w="3342" w:type="dxa"/>
            <w:tcBorders>
              <w:top w:val="nil"/>
              <w:left w:val="double" w:sz="4" w:space="0" w:color="auto"/>
              <w:bottom w:val="double" w:sz="4" w:space="0" w:color="auto"/>
            </w:tcBorders>
          </w:tcPr>
          <w:p w:rsidR="00815BB8" w:rsidRPr="007F0643" w:rsidRDefault="00815BB8" w:rsidP="00FD51B8">
            <w:pPr>
              <w:rPr>
                <w:b/>
              </w:rPr>
            </w:pPr>
            <w:r w:rsidRPr="007F0643">
              <w:rPr>
                <w:b/>
              </w:rPr>
              <w:t>Actual concentration in mixture</w:t>
            </w:r>
          </w:p>
        </w:tc>
        <w:tc>
          <w:tcPr>
            <w:tcW w:w="3225" w:type="dxa"/>
            <w:tcBorders>
              <w:top w:val="nil"/>
              <w:bottom w:val="double" w:sz="4" w:space="0" w:color="auto"/>
              <w:right w:val="nil"/>
            </w:tcBorders>
          </w:tcPr>
          <w:p w:rsidR="00815BB8" w:rsidRPr="007F0643" w:rsidRDefault="00815BB8" w:rsidP="00FD51B8">
            <w:pPr>
              <w:rPr>
                <w:b/>
              </w:rPr>
            </w:pPr>
            <w:r>
              <w:rPr>
                <w:b/>
              </w:rPr>
              <w:t>Range specified in Section 3</w:t>
            </w:r>
          </w:p>
        </w:tc>
      </w:tr>
      <w:tr w:rsidR="00815BB8" w:rsidRPr="007F0643" w:rsidTr="00460236">
        <w:tc>
          <w:tcPr>
            <w:tcW w:w="3072" w:type="dxa"/>
            <w:tcBorders>
              <w:top w:val="double" w:sz="4" w:space="0" w:color="auto"/>
              <w:left w:val="nil"/>
              <w:right w:val="double" w:sz="4" w:space="0" w:color="auto"/>
            </w:tcBorders>
          </w:tcPr>
          <w:p w:rsidR="00815BB8" w:rsidRPr="007F0643" w:rsidRDefault="00815BB8" w:rsidP="00FD51B8">
            <w:r>
              <w:t>Substance</w:t>
            </w:r>
            <w:r w:rsidRPr="007F0643">
              <w:t xml:space="preserve"> </w:t>
            </w:r>
            <w:r>
              <w:t>D</w:t>
            </w:r>
          </w:p>
        </w:tc>
        <w:tc>
          <w:tcPr>
            <w:tcW w:w="3342" w:type="dxa"/>
            <w:tcBorders>
              <w:top w:val="double" w:sz="4" w:space="0" w:color="auto"/>
              <w:left w:val="double" w:sz="4" w:space="0" w:color="auto"/>
            </w:tcBorders>
          </w:tcPr>
          <w:p w:rsidR="00815BB8" w:rsidRPr="007F0643" w:rsidRDefault="00815BB8" w:rsidP="00FD51B8">
            <w:r>
              <w:t>13.343</w:t>
            </w:r>
            <w:r w:rsidRPr="007F0643">
              <w:t>%</w:t>
            </w:r>
          </w:p>
        </w:tc>
        <w:tc>
          <w:tcPr>
            <w:tcW w:w="3225" w:type="dxa"/>
            <w:tcBorders>
              <w:top w:val="double" w:sz="4" w:space="0" w:color="auto"/>
              <w:right w:val="nil"/>
            </w:tcBorders>
          </w:tcPr>
          <w:p w:rsidR="00815BB8" w:rsidRPr="007F0643" w:rsidRDefault="00815BB8" w:rsidP="00FD51B8">
            <w:r w:rsidRPr="007F0643">
              <w:t>1</w:t>
            </w:r>
            <w:r>
              <w:t xml:space="preserve">0 </w:t>
            </w:r>
            <w:r w:rsidRPr="007F0643">
              <w:t>-</w:t>
            </w:r>
            <w:r>
              <w:t xml:space="preserve"> &lt;1</w:t>
            </w:r>
            <w:r w:rsidRPr="007F0643">
              <w:t>5%</w:t>
            </w:r>
          </w:p>
        </w:tc>
      </w:tr>
      <w:tr w:rsidR="00815BB8" w:rsidRPr="007F0643" w:rsidTr="00460236">
        <w:tc>
          <w:tcPr>
            <w:tcW w:w="3072" w:type="dxa"/>
            <w:tcBorders>
              <w:left w:val="nil"/>
              <w:bottom w:val="single" w:sz="4" w:space="0" w:color="auto"/>
              <w:right w:val="double" w:sz="4" w:space="0" w:color="auto"/>
            </w:tcBorders>
          </w:tcPr>
          <w:p w:rsidR="00815BB8" w:rsidRPr="007F0643" w:rsidRDefault="00815BB8" w:rsidP="00FD51B8">
            <w:r>
              <w:t>Substance</w:t>
            </w:r>
            <w:r w:rsidRPr="007F0643">
              <w:t xml:space="preserve"> </w:t>
            </w:r>
            <w:r>
              <w:t>E</w:t>
            </w:r>
          </w:p>
        </w:tc>
        <w:tc>
          <w:tcPr>
            <w:tcW w:w="3342" w:type="dxa"/>
            <w:tcBorders>
              <w:left w:val="double" w:sz="4" w:space="0" w:color="auto"/>
              <w:bottom w:val="single" w:sz="4" w:space="0" w:color="auto"/>
            </w:tcBorders>
          </w:tcPr>
          <w:p w:rsidR="00815BB8" w:rsidRPr="007F0643" w:rsidRDefault="00815BB8" w:rsidP="00FD51B8">
            <w:r>
              <w:t>6.915</w:t>
            </w:r>
            <w:r w:rsidRPr="007F0643">
              <w:t>%</w:t>
            </w:r>
          </w:p>
        </w:tc>
        <w:tc>
          <w:tcPr>
            <w:tcW w:w="3225" w:type="dxa"/>
            <w:tcBorders>
              <w:bottom w:val="single" w:sz="4" w:space="0" w:color="auto"/>
              <w:right w:val="nil"/>
            </w:tcBorders>
          </w:tcPr>
          <w:p w:rsidR="00815BB8" w:rsidRPr="007F0643" w:rsidRDefault="00815BB8" w:rsidP="00FD51B8">
            <w:r w:rsidRPr="007F0643">
              <w:t>5</w:t>
            </w:r>
            <w:r>
              <w:t xml:space="preserve"> </w:t>
            </w:r>
            <w:r w:rsidRPr="007F0643">
              <w:t>-</w:t>
            </w:r>
            <w:r>
              <w:t xml:space="preserve"> &lt;7</w:t>
            </w:r>
            <w:r w:rsidRPr="007F0643">
              <w:t>%</w:t>
            </w:r>
          </w:p>
        </w:tc>
      </w:tr>
      <w:tr w:rsidR="00815BB8" w:rsidRPr="007F0643" w:rsidTr="00460236">
        <w:tc>
          <w:tcPr>
            <w:tcW w:w="3072" w:type="dxa"/>
            <w:tcBorders>
              <w:left w:val="nil"/>
              <w:bottom w:val="single" w:sz="4" w:space="0" w:color="auto"/>
              <w:right w:val="double" w:sz="4" w:space="0" w:color="auto"/>
            </w:tcBorders>
          </w:tcPr>
          <w:p w:rsidR="00815BB8" w:rsidRDefault="00815BB8" w:rsidP="00FD51B8">
            <w:r>
              <w:t>Substance F</w:t>
            </w:r>
          </w:p>
        </w:tc>
        <w:tc>
          <w:tcPr>
            <w:tcW w:w="3342" w:type="dxa"/>
            <w:tcBorders>
              <w:left w:val="double" w:sz="4" w:space="0" w:color="auto"/>
              <w:bottom w:val="single" w:sz="4" w:space="0" w:color="auto"/>
            </w:tcBorders>
          </w:tcPr>
          <w:p w:rsidR="00815BB8" w:rsidRDefault="00815BB8" w:rsidP="00FD51B8">
            <w:r>
              <w:t>0.964%</w:t>
            </w:r>
          </w:p>
        </w:tc>
        <w:tc>
          <w:tcPr>
            <w:tcW w:w="3225" w:type="dxa"/>
            <w:tcBorders>
              <w:bottom w:val="single" w:sz="4" w:space="0" w:color="auto"/>
              <w:right w:val="nil"/>
            </w:tcBorders>
          </w:tcPr>
          <w:p w:rsidR="00815BB8" w:rsidRPr="007F0643" w:rsidRDefault="00815BB8" w:rsidP="00FD51B8">
            <w:r>
              <w:t>0.25 - &lt;2.5%</w:t>
            </w:r>
          </w:p>
        </w:tc>
      </w:tr>
      <w:tr w:rsidR="00815BB8" w:rsidRPr="007F0643" w:rsidTr="00460236">
        <w:tc>
          <w:tcPr>
            <w:tcW w:w="3072" w:type="dxa"/>
            <w:tcBorders>
              <w:left w:val="nil"/>
              <w:bottom w:val="single" w:sz="4" w:space="0" w:color="auto"/>
              <w:right w:val="double" w:sz="4" w:space="0" w:color="auto"/>
            </w:tcBorders>
          </w:tcPr>
          <w:p w:rsidR="00815BB8" w:rsidRDefault="00815BB8" w:rsidP="00FD51B8">
            <w:r>
              <w:t>Substance G</w:t>
            </w:r>
          </w:p>
        </w:tc>
        <w:tc>
          <w:tcPr>
            <w:tcW w:w="3342" w:type="dxa"/>
            <w:tcBorders>
              <w:left w:val="double" w:sz="4" w:space="0" w:color="auto"/>
              <w:bottom w:val="single" w:sz="4" w:space="0" w:color="auto"/>
            </w:tcBorders>
          </w:tcPr>
          <w:p w:rsidR="00815BB8" w:rsidRDefault="00815BB8" w:rsidP="00FD51B8">
            <w:r>
              <w:t>0.396%</w:t>
            </w:r>
          </w:p>
        </w:tc>
        <w:tc>
          <w:tcPr>
            <w:tcW w:w="3225" w:type="dxa"/>
            <w:tcBorders>
              <w:bottom w:val="single" w:sz="4" w:space="0" w:color="auto"/>
              <w:right w:val="nil"/>
            </w:tcBorders>
          </w:tcPr>
          <w:p w:rsidR="00815BB8" w:rsidRPr="007F0643" w:rsidRDefault="00815BB8" w:rsidP="00FD51B8">
            <w:r>
              <w:t>0.25 - &lt;1%</w:t>
            </w:r>
          </w:p>
        </w:tc>
      </w:tr>
      <w:tr w:rsidR="00815BB8" w:rsidRPr="007F0643" w:rsidTr="00460236">
        <w:tc>
          <w:tcPr>
            <w:tcW w:w="3072" w:type="dxa"/>
            <w:tcBorders>
              <w:left w:val="nil"/>
              <w:bottom w:val="single" w:sz="12" w:space="0" w:color="auto"/>
              <w:right w:val="double" w:sz="4" w:space="0" w:color="auto"/>
            </w:tcBorders>
          </w:tcPr>
          <w:p w:rsidR="00815BB8" w:rsidRDefault="00815BB8" w:rsidP="00FD51B8">
            <w:r>
              <w:t>Substance H</w:t>
            </w:r>
          </w:p>
        </w:tc>
        <w:tc>
          <w:tcPr>
            <w:tcW w:w="3342" w:type="dxa"/>
            <w:tcBorders>
              <w:left w:val="double" w:sz="4" w:space="0" w:color="auto"/>
              <w:bottom w:val="single" w:sz="12" w:space="0" w:color="auto"/>
            </w:tcBorders>
          </w:tcPr>
          <w:p w:rsidR="00815BB8" w:rsidRDefault="00815BB8" w:rsidP="00FD51B8">
            <w:r>
              <w:t>0.241%</w:t>
            </w:r>
          </w:p>
        </w:tc>
        <w:tc>
          <w:tcPr>
            <w:tcW w:w="3225" w:type="dxa"/>
            <w:tcBorders>
              <w:bottom w:val="single" w:sz="12" w:space="0" w:color="auto"/>
              <w:right w:val="nil"/>
            </w:tcBorders>
          </w:tcPr>
          <w:p w:rsidR="00815BB8" w:rsidRPr="007F0643" w:rsidRDefault="00815BB8" w:rsidP="00FD51B8">
            <w:r>
              <w:t>&lt;0.25%</w:t>
            </w:r>
          </w:p>
        </w:tc>
      </w:tr>
      <w:tr w:rsidR="00815BB8" w:rsidRPr="007F0643" w:rsidTr="00460236">
        <w:tc>
          <w:tcPr>
            <w:tcW w:w="3072" w:type="dxa"/>
            <w:tcBorders>
              <w:top w:val="single" w:sz="12" w:space="0" w:color="auto"/>
              <w:left w:val="nil"/>
              <w:bottom w:val="double" w:sz="4" w:space="0" w:color="auto"/>
              <w:right w:val="double" w:sz="4" w:space="0" w:color="auto"/>
            </w:tcBorders>
          </w:tcPr>
          <w:p w:rsidR="00815BB8" w:rsidRPr="00EB7A32" w:rsidRDefault="00815BB8" w:rsidP="00FD51B8">
            <w:pPr>
              <w:rPr>
                <w:b/>
              </w:rPr>
            </w:pPr>
            <w:r>
              <w:rPr>
                <w:b/>
              </w:rPr>
              <w:t>Total</w:t>
            </w:r>
          </w:p>
        </w:tc>
        <w:tc>
          <w:tcPr>
            <w:tcW w:w="3342" w:type="dxa"/>
            <w:tcBorders>
              <w:top w:val="single" w:sz="12" w:space="0" w:color="auto"/>
              <w:left w:val="double" w:sz="4" w:space="0" w:color="auto"/>
              <w:bottom w:val="double" w:sz="4" w:space="0" w:color="auto"/>
            </w:tcBorders>
          </w:tcPr>
          <w:p w:rsidR="00815BB8" w:rsidRPr="007F0643" w:rsidRDefault="00815BB8" w:rsidP="00FD51B8">
            <w:pPr>
              <w:rPr>
                <w:i/>
              </w:rPr>
            </w:pPr>
            <w:r w:rsidRPr="007F0643">
              <w:rPr>
                <w:i/>
              </w:rPr>
              <w:t>Total concentration:</w:t>
            </w:r>
          </w:p>
          <w:p w:rsidR="00815BB8" w:rsidRPr="007F0643" w:rsidRDefault="00815BB8" w:rsidP="00FD51B8">
            <w:pPr>
              <w:rPr>
                <w:b/>
              </w:rPr>
            </w:pPr>
            <w:r>
              <w:rPr>
                <w:b/>
              </w:rPr>
              <w:t>21.859%</w:t>
            </w:r>
          </w:p>
        </w:tc>
        <w:tc>
          <w:tcPr>
            <w:tcW w:w="3225" w:type="dxa"/>
            <w:tcBorders>
              <w:top w:val="single" w:sz="12" w:space="0" w:color="auto"/>
              <w:bottom w:val="double" w:sz="4" w:space="0" w:color="auto"/>
              <w:right w:val="nil"/>
            </w:tcBorders>
          </w:tcPr>
          <w:p w:rsidR="00815BB8" w:rsidRPr="007F0643" w:rsidRDefault="00815BB8" w:rsidP="00FD51B8">
            <w:pPr>
              <w:rPr>
                <w:b/>
              </w:rPr>
            </w:pPr>
            <w:r w:rsidRPr="007F0643">
              <w:rPr>
                <w:i/>
              </w:rPr>
              <w:t>Total of highest concentration</w:t>
            </w:r>
            <w:r>
              <w:rPr>
                <w:i/>
              </w:rPr>
              <w:t>s</w:t>
            </w:r>
            <w:r w:rsidRPr="007F0643">
              <w:rPr>
                <w:i/>
              </w:rPr>
              <w:t>:</w:t>
            </w:r>
            <w:r w:rsidRPr="007F0643">
              <w:rPr>
                <w:i/>
              </w:rPr>
              <w:br/>
            </w:r>
            <w:r>
              <w:rPr>
                <w:b/>
              </w:rPr>
              <w:t>25.75</w:t>
            </w:r>
            <w:r w:rsidRPr="007F0643">
              <w:rPr>
                <w:b/>
              </w:rPr>
              <w:t>%</w:t>
            </w:r>
          </w:p>
        </w:tc>
      </w:tr>
      <w:tr w:rsidR="00815BB8" w:rsidRPr="007F0643" w:rsidTr="00460236">
        <w:trPr>
          <w:trHeight w:val="1130"/>
        </w:trPr>
        <w:tc>
          <w:tcPr>
            <w:tcW w:w="3072" w:type="dxa"/>
            <w:tcBorders>
              <w:top w:val="double" w:sz="4" w:space="0" w:color="auto"/>
              <w:left w:val="nil"/>
              <w:bottom w:val="nil"/>
              <w:right w:val="double" w:sz="4" w:space="0" w:color="auto"/>
            </w:tcBorders>
          </w:tcPr>
          <w:p w:rsidR="00815BB8" w:rsidRPr="007F0643" w:rsidRDefault="00815BB8" w:rsidP="00FD51B8">
            <w:pPr>
              <w:rPr>
                <w:b/>
              </w:rPr>
            </w:pPr>
            <w:r w:rsidRPr="007F0643">
              <w:rPr>
                <w:b/>
              </w:rPr>
              <w:t xml:space="preserve">Classification </w:t>
            </w:r>
            <w:r>
              <w:rPr>
                <w:b/>
              </w:rPr>
              <w:t xml:space="preserve">and labelling </w:t>
            </w:r>
            <w:r w:rsidRPr="007F0643">
              <w:rPr>
                <w:b/>
              </w:rPr>
              <w:t>based on calculation method</w:t>
            </w:r>
            <w:r>
              <w:rPr>
                <w:b/>
                <w:vertAlign w:val="superscript"/>
              </w:rPr>
              <w:t>2</w:t>
            </w:r>
            <w:r w:rsidRPr="007F0643">
              <w:rPr>
                <w:b/>
              </w:rPr>
              <w:t>:</w:t>
            </w:r>
          </w:p>
        </w:tc>
        <w:tc>
          <w:tcPr>
            <w:tcW w:w="3342" w:type="dxa"/>
            <w:tcBorders>
              <w:top w:val="double" w:sz="4" w:space="0" w:color="auto"/>
              <w:left w:val="double" w:sz="4" w:space="0" w:color="auto"/>
              <w:bottom w:val="nil"/>
            </w:tcBorders>
          </w:tcPr>
          <w:p w:rsidR="00815BB8" w:rsidRPr="007F0643" w:rsidRDefault="00815BB8" w:rsidP="00FD51B8">
            <w:r>
              <w:t>Aquatic Chronic 3</w:t>
            </w:r>
          </w:p>
          <w:p w:rsidR="00815BB8" w:rsidRPr="007F0643" w:rsidRDefault="00815BB8" w:rsidP="00FD51B8">
            <w:r>
              <w:t>H412 Harmful to aquatic life with long lasting effects</w:t>
            </w:r>
          </w:p>
        </w:tc>
        <w:tc>
          <w:tcPr>
            <w:tcW w:w="3225" w:type="dxa"/>
            <w:tcBorders>
              <w:top w:val="double" w:sz="4" w:space="0" w:color="auto"/>
              <w:bottom w:val="nil"/>
              <w:right w:val="nil"/>
            </w:tcBorders>
          </w:tcPr>
          <w:p w:rsidR="00815BB8" w:rsidRPr="00E30699" w:rsidRDefault="009869AD" w:rsidP="00FD51B8">
            <w:r>
              <w:rPr>
                <w:noProof/>
              </w:rPr>
              <w:pict>
                <v:shape id="Picture 9" o:spid="_x0000_s1028" type="#_x0000_t75" style="position:absolute;margin-left:99pt;margin-top:3.35pt;width:44.2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w10:wrap type="square"/>
                </v:shape>
              </w:pict>
            </w:r>
            <w:r w:rsidR="00815BB8">
              <w:rPr>
                <w:noProof/>
                <w:lang w:eastAsia="en-GB"/>
              </w:rPr>
              <w:t>Aquatic Chronic 2</w:t>
            </w:r>
          </w:p>
          <w:p w:rsidR="00815BB8" w:rsidRPr="007F0643" w:rsidRDefault="00815BB8" w:rsidP="00FD51B8">
            <w:r w:rsidRPr="00E30699">
              <w:t>H</w:t>
            </w:r>
            <w:r>
              <w:t>411 Toxic to aquatic life with long lasting effects</w:t>
            </w:r>
          </w:p>
        </w:tc>
      </w:tr>
    </w:tbl>
    <w:p w:rsidR="00815BB8" w:rsidRPr="00460236" w:rsidRDefault="00815BB8" w:rsidP="00E30735">
      <w:pPr>
        <w:tabs>
          <w:tab w:val="left" w:pos="284"/>
        </w:tabs>
        <w:ind w:left="284" w:hanging="284"/>
        <w:rPr>
          <w:i/>
          <w:sz w:val="18"/>
        </w:rPr>
      </w:pPr>
      <w:r w:rsidRPr="00460236">
        <w:rPr>
          <w:sz w:val="18"/>
          <w:vertAlign w:val="superscript"/>
        </w:rPr>
        <w:t xml:space="preserve">2 </w:t>
      </w:r>
      <w:r w:rsidR="00E30735" w:rsidRPr="00460236">
        <w:rPr>
          <w:sz w:val="18"/>
          <w:vertAlign w:val="superscript"/>
        </w:rPr>
        <w:tab/>
      </w:r>
      <w:r w:rsidRPr="00460236">
        <w:rPr>
          <w:i/>
          <w:sz w:val="18"/>
        </w:rPr>
        <w:t>Generic concentration limit for classification of mixture as Aquatic Chronic 2 based on substances classified as Aquatic Chronic 2 only is 25%.</w:t>
      </w:r>
    </w:p>
    <w:p w:rsidR="00815BB8" w:rsidRPr="00460236" w:rsidRDefault="00E30735" w:rsidP="00E30735">
      <w:pPr>
        <w:tabs>
          <w:tab w:val="left" w:pos="284"/>
        </w:tabs>
        <w:ind w:left="284" w:hanging="284"/>
        <w:rPr>
          <w:i/>
          <w:sz w:val="18"/>
        </w:rPr>
      </w:pPr>
      <w:r w:rsidRPr="00460236">
        <w:rPr>
          <w:i/>
          <w:sz w:val="18"/>
        </w:rPr>
        <w:tab/>
      </w:r>
      <w:r w:rsidR="00815BB8" w:rsidRPr="00460236">
        <w:rPr>
          <w:i/>
          <w:sz w:val="18"/>
        </w:rPr>
        <w:t>Formula for classification of mixture as Aquatic Chronic 3 based on substances classified as Aquatic Chronic 2 only is (10 x Chronic 2) ≥ 25%.</w:t>
      </w:r>
    </w:p>
    <w:p w:rsidR="00815BB8" w:rsidRPr="00E30735" w:rsidRDefault="00815BB8" w:rsidP="00460236">
      <w:pPr>
        <w:pStyle w:val="H1G"/>
        <w:spacing w:before="0"/>
      </w:pPr>
      <w:r>
        <w:br w:type="page"/>
      </w:r>
      <w:r w:rsidR="008B0A08" w:rsidRPr="00E30735">
        <w:lastRenderedPageBreak/>
        <w:tab/>
      </w:r>
      <w:r w:rsidR="008B0A08" w:rsidRPr="00E30735">
        <w:tab/>
      </w:r>
      <w:r w:rsidRPr="00E30735">
        <w:t xml:space="preserve">Example 3: </w:t>
      </w:r>
      <w:r w:rsidR="00E30735">
        <w:br/>
      </w:r>
      <w:r w:rsidRPr="00E30735">
        <w:t xml:space="preserve">Aquatic </w:t>
      </w:r>
      <w:r w:rsidR="00E30735">
        <w:t>t</w:t>
      </w:r>
      <w:r w:rsidRPr="00E30735">
        <w:t xml:space="preserve">oxicity [Acute/]Chronic 2 </w:t>
      </w:r>
      <w:r w:rsidRPr="00E30735">
        <w:rPr>
          <w:i/>
        </w:rPr>
        <w:t>v</w:t>
      </w:r>
      <w:r w:rsidR="00E30735" w:rsidRPr="00E30735">
        <w:rPr>
          <w:i/>
        </w:rPr>
        <w:t>s</w:t>
      </w:r>
      <w:r w:rsidR="00E30735">
        <w:t xml:space="preserve"> Aquatic t</w:t>
      </w:r>
      <w:r w:rsidRPr="00E30735">
        <w:t>oxicity Acute/Chronic 1</w:t>
      </w:r>
    </w:p>
    <w:tbl>
      <w:tblPr>
        <w:tblStyle w:val="TableGrid"/>
        <w:tblW w:w="9639" w:type="dxa"/>
        <w:tblLook w:val="04A0" w:firstRow="1" w:lastRow="0" w:firstColumn="1" w:lastColumn="0" w:noHBand="0" w:noVBand="1"/>
      </w:tblPr>
      <w:tblGrid>
        <w:gridCol w:w="3072"/>
        <w:gridCol w:w="3342"/>
        <w:gridCol w:w="3225"/>
      </w:tblGrid>
      <w:tr w:rsidR="00815BB8" w:rsidRPr="007F0643" w:rsidTr="00E30735">
        <w:tc>
          <w:tcPr>
            <w:tcW w:w="3072" w:type="dxa"/>
            <w:tcBorders>
              <w:top w:val="nil"/>
              <w:left w:val="nil"/>
              <w:bottom w:val="double" w:sz="4" w:space="0" w:color="auto"/>
              <w:right w:val="double" w:sz="4" w:space="0" w:color="auto"/>
            </w:tcBorders>
          </w:tcPr>
          <w:p w:rsidR="00815BB8" w:rsidRPr="007F0643" w:rsidRDefault="00815BB8" w:rsidP="00E30735">
            <w:pPr>
              <w:rPr>
                <w:b/>
              </w:rPr>
            </w:pPr>
            <w:r>
              <w:rPr>
                <w:b/>
              </w:rPr>
              <w:t>Ingredient</w:t>
            </w:r>
            <w:r w:rsidRPr="007F0643">
              <w:rPr>
                <w:b/>
              </w:rPr>
              <w:t xml:space="preserve"> </w:t>
            </w:r>
            <w:r w:rsidR="00E30735">
              <w:rPr>
                <w:b/>
              </w:rPr>
              <w:t>and</w:t>
            </w:r>
            <w:r w:rsidRPr="007F0643">
              <w:rPr>
                <w:b/>
              </w:rPr>
              <w:t xml:space="preserve"> classification</w:t>
            </w:r>
          </w:p>
        </w:tc>
        <w:tc>
          <w:tcPr>
            <w:tcW w:w="3342" w:type="dxa"/>
            <w:tcBorders>
              <w:top w:val="nil"/>
              <w:left w:val="double" w:sz="4" w:space="0" w:color="auto"/>
              <w:bottom w:val="double" w:sz="4" w:space="0" w:color="auto"/>
            </w:tcBorders>
          </w:tcPr>
          <w:p w:rsidR="00815BB8" w:rsidRPr="007F0643" w:rsidRDefault="00815BB8" w:rsidP="00FD51B8">
            <w:pPr>
              <w:rPr>
                <w:b/>
              </w:rPr>
            </w:pPr>
            <w:r w:rsidRPr="007F0643">
              <w:rPr>
                <w:b/>
              </w:rPr>
              <w:t>Actual concentration in mixture</w:t>
            </w:r>
          </w:p>
        </w:tc>
        <w:tc>
          <w:tcPr>
            <w:tcW w:w="3225" w:type="dxa"/>
            <w:tcBorders>
              <w:top w:val="nil"/>
              <w:bottom w:val="double" w:sz="4" w:space="0" w:color="auto"/>
              <w:right w:val="nil"/>
            </w:tcBorders>
          </w:tcPr>
          <w:p w:rsidR="00815BB8" w:rsidRPr="007F0643" w:rsidRDefault="00815BB8" w:rsidP="00FD51B8">
            <w:pPr>
              <w:rPr>
                <w:b/>
              </w:rPr>
            </w:pPr>
            <w:r>
              <w:rPr>
                <w:b/>
              </w:rPr>
              <w:t>Range specified in Section 3</w:t>
            </w:r>
          </w:p>
        </w:tc>
      </w:tr>
      <w:tr w:rsidR="00815BB8" w:rsidRPr="007F0643" w:rsidTr="00E30735">
        <w:tc>
          <w:tcPr>
            <w:tcW w:w="3072" w:type="dxa"/>
            <w:tcBorders>
              <w:top w:val="double" w:sz="4" w:space="0" w:color="auto"/>
              <w:left w:val="nil"/>
              <w:right w:val="double" w:sz="4" w:space="0" w:color="auto"/>
            </w:tcBorders>
          </w:tcPr>
          <w:p w:rsidR="00815BB8" w:rsidRPr="007F0643" w:rsidRDefault="00815BB8" w:rsidP="00E30735">
            <w:r>
              <w:t>Substance</w:t>
            </w:r>
            <w:r w:rsidRPr="007F0643">
              <w:t xml:space="preserve"> </w:t>
            </w:r>
            <w:r w:rsidR="00E30735">
              <w:t>J</w:t>
            </w:r>
            <w:r w:rsidR="00E30735">
              <w:br/>
            </w:r>
            <w:r>
              <w:t xml:space="preserve">Aq. Acute 1 </w:t>
            </w:r>
            <w:r w:rsidR="00E30735">
              <w:t>and</w:t>
            </w:r>
            <w:r>
              <w:t xml:space="preserve"> </w:t>
            </w:r>
            <w:r w:rsidR="00E30735">
              <w:t xml:space="preserve"> </w:t>
            </w:r>
            <w:r>
              <w:t xml:space="preserve">Chronic 1, </w:t>
            </w:r>
            <w:r w:rsidR="00E30735">
              <w:br/>
            </w:r>
            <w:r>
              <w:t>M factor 100</w:t>
            </w:r>
          </w:p>
        </w:tc>
        <w:tc>
          <w:tcPr>
            <w:tcW w:w="3342" w:type="dxa"/>
            <w:tcBorders>
              <w:top w:val="double" w:sz="4" w:space="0" w:color="auto"/>
              <w:left w:val="double" w:sz="4" w:space="0" w:color="auto"/>
            </w:tcBorders>
          </w:tcPr>
          <w:p w:rsidR="00815BB8" w:rsidRPr="007F0643" w:rsidRDefault="00815BB8" w:rsidP="00FD51B8">
            <w:r>
              <w:t>0.1203</w:t>
            </w:r>
            <w:r w:rsidRPr="007F0643">
              <w:t>%</w:t>
            </w:r>
          </w:p>
        </w:tc>
        <w:tc>
          <w:tcPr>
            <w:tcW w:w="3225" w:type="dxa"/>
            <w:tcBorders>
              <w:top w:val="double" w:sz="4" w:space="0" w:color="auto"/>
              <w:right w:val="nil"/>
            </w:tcBorders>
          </w:tcPr>
          <w:p w:rsidR="00815BB8" w:rsidRPr="007F0643" w:rsidRDefault="00815BB8" w:rsidP="00FD51B8">
            <w:r>
              <w:t>&lt;0.2</w:t>
            </w:r>
            <w:r w:rsidRPr="007F0643">
              <w:t>5%</w:t>
            </w:r>
          </w:p>
        </w:tc>
      </w:tr>
      <w:tr w:rsidR="00815BB8" w:rsidRPr="007F0643" w:rsidTr="00E30735">
        <w:tc>
          <w:tcPr>
            <w:tcW w:w="3072" w:type="dxa"/>
            <w:tcBorders>
              <w:left w:val="nil"/>
              <w:bottom w:val="single" w:sz="12" w:space="0" w:color="auto"/>
              <w:right w:val="double" w:sz="4" w:space="0" w:color="auto"/>
            </w:tcBorders>
          </w:tcPr>
          <w:p w:rsidR="00815BB8" w:rsidRDefault="00815BB8" w:rsidP="00E30735">
            <w:r>
              <w:t>Substance</w:t>
            </w:r>
            <w:r w:rsidRPr="007F0643">
              <w:t xml:space="preserve"> </w:t>
            </w:r>
            <w:r>
              <w:t>K</w:t>
            </w:r>
            <w:r w:rsidR="00E30735">
              <w:br/>
            </w:r>
            <w:r>
              <w:t xml:space="preserve">Aq. Acute 1 </w:t>
            </w:r>
            <w:r w:rsidR="00E30735">
              <w:t>and</w:t>
            </w:r>
            <w:r>
              <w:t xml:space="preserve"> Chronic 1, </w:t>
            </w:r>
            <w:r w:rsidR="00E30735">
              <w:br/>
            </w:r>
            <w:r>
              <w:t>M factor 10</w:t>
            </w:r>
          </w:p>
        </w:tc>
        <w:tc>
          <w:tcPr>
            <w:tcW w:w="3342" w:type="dxa"/>
            <w:tcBorders>
              <w:left w:val="double" w:sz="4" w:space="0" w:color="auto"/>
              <w:bottom w:val="single" w:sz="12" w:space="0" w:color="auto"/>
            </w:tcBorders>
          </w:tcPr>
          <w:p w:rsidR="00815BB8" w:rsidRDefault="00815BB8" w:rsidP="00FD51B8">
            <w:r>
              <w:t>0.0579%</w:t>
            </w:r>
          </w:p>
        </w:tc>
        <w:tc>
          <w:tcPr>
            <w:tcW w:w="3225" w:type="dxa"/>
            <w:tcBorders>
              <w:bottom w:val="single" w:sz="12" w:space="0" w:color="auto"/>
              <w:right w:val="nil"/>
            </w:tcBorders>
          </w:tcPr>
          <w:p w:rsidR="00815BB8" w:rsidRPr="007F0643" w:rsidRDefault="00815BB8" w:rsidP="00FD51B8">
            <w:r>
              <w:t>&lt;0.1%</w:t>
            </w:r>
          </w:p>
        </w:tc>
      </w:tr>
      <w:tr w:rsidR="00815BB8" w:rsidRPr="007F0643" w:rsidTr="00E30735">
        <w:tc>
          <w:tcPr>
            <w:tcW w:w="3072" w:type="dxa"/>
            <w:tcBorders>
              <w:top w:val="single" w:sz="12" w:space="0" w:color="auto"/>
              <w:left w:val="nil"/>
              <w:bottom w:val="double" w:sz="4" w:space="0" w:color="auto"/>
              <w:right w:val="double" w:sz="4" w:space="0" w:color="auto"/>
            </w:tcBorders>
          </w:tcPr>
          <w:p w:rsidR="00815BB8" w:rsidRPr="00EB7A32" w:rsidRDefault="00815BB8" w:rsidP="00FD51B8">
            <w:pPr>
              <w:rPr>
                <w:b/>
              </w:rPr>
            </w:pPr>
            <w:r>
              <w:rPr>
                <w:b/>
              </w:rPr>
              <w:t>Total</w:t>
            </w:r>
          </w:p>
        </w:tc>
        <w:tc>
          <w:tcPr>
            <w:tcW w:w="3342" w:type="dxa"/>
            <w:tcBorders>
              <w:top w:val="single" w:sz="12" w:space="0" w:color="auto"/>
              <w:left w:val="double" w:sz="4" w:space="0" w:color="auto"/>
              <w:bottom w:val="double" w:sz="4" w:space="0" w:color="auto"/>
            </w:tcBorders>
          </w:tcPr>
          <w:p w:rsidR="00815BB8" w:rsidRPr="00B0056A" w:rsidRDefault="00815BB8" w:rsidP="00FD51B8">
            <w:pPr>
              <w:rPr>
                <w:i/>
              </w:rPr>
            </w:pPr>
            <w:r w:rsidRPr="00B0056A">
              <w:rPr>
                <w:i/>
              </w:rPr>
              <w:t>Total concentration (taking M factors into account):</w:t>
            </w:r>
          </w:p>
          <w:p w:rsidR="00815BB8" w:rsidRDefault="00815BB8" w:rsidP="00FD51B8">
            <w:pPr>
              <w:rPr>
                <w:b/>
              </w:rPr>
            </w:pPr>
            <w:r>
              <w:rPr>
                <w:b/>
              </w:rPr>
              <w:t>For Acute/Chronic 1: 12.609</w:t>
            </w:r>
            <w:r w:rsidRPr="00B0056A">
              <w:rPr>
                <w:b/>
              </w:rPr>
              <w:t>%</w:t>
            </w:r>
          </w:p>
          <w:p w:rsidR="00815BB8" w:rsidRDefault="00815BB8" w:rsidP="00FD51B8">
            <w:pPr>
              <w:rPr>
                <w:b/>
              </w:rPr>
            </w:pPr>
            <w:r>
              <w:rPr>
                <w:b/>
              </w:rPr>
              <w:t>For Acute/Chronic 2: 126.09</w:t>
            </w:r>
            <w:r w:rsidRPr="00B0056A">
              <w:rPr>
                <w:b/>
              </w:rPr>
              <w:t>%</w:t>
            </w:r>
          </w:p>
          <w:p w:rsidR="00815BB8" w:rsidRPr="00B0056A" w:rsidRDefault="00815BB8" w:rsidP="00FD51B8">
            <w:pPr>
              <w:rPr>
                <w:b/>
              </w:rPr>
            </w:pPr>
          </w:p>
        </w:tc>
        <w:tc>
          <w:tcPr>
            <w:tcW w:w="3225" w:type="dxa"/>
            <w:tcBorders>
              <w:top w:val="single" w:sz="12" w:space="0" w:color="auto"/>
              <w:bottom w:val="double" w:sz="4" w:space="0" w:color="auto"/>
              <w:right w:val="nil"/>
            </w:tcBorders>
          </w:tcPr>
          <w:p w:rsidR="00815BB8" w:rsidRPr="007F0643" w:rsidRDefault="00815BB8" w:rsidP="00FD51B8">
            <w:pPr>
              <w:rPr>
                <w:b/>
              </w:rPr>
            </w:pPr>
            <w:r w:rsidRPr="007F0643">
              <w:rPr>
                <w:i/>
              </w:rPr>
              <w:t>Total of highest concentration</w:t>
            </w:r>
            <w:r>
              <w:rPr>
                <w:i/>
              </w:rPr>
              <w:t xml:space="preserve">s </w:t>
            </w:r>
            <w:r w:rsidR="00460236">
              <w:rPr>
                <w:i/>
              </w:rPr>
              <w:br/>
            </w:r>
            <w:r w:rsidRPr="00B0056A">
              <w:rPr>
                <w:i/>
              </w:rPr>
              <w:t>(taking M factors into account)</w:t>
            </w:r>
            <w:r w:rsidRPr="007F0643">
              <w:rPr>
                <w:i/>
              </w:rPr>
              <w:t>:</w:t>
            </w:r>
            <w:r w:rsidRPr="007F0643">
              <w:rPr>
                <w:i/>
              </w:rPr>
              <w:br/>
            </w:r>
            <w:r>
              <w:rPr>
                <w:b/>
              </w:rPr>
              <w:t>For Acute/Chronic 1: 26.00</w:t>
            </w:r>
            <w:r w:rsidRPr="007F0643">
              <w:rPr>
                <w:b/>
              </w:rPr>
              <w:t>%</w:t>
            </w:r>
          </w:p>
        </w:tc>
      </w:tr>
      <w:tr w:rsidR="00815BB8" w:rsidRPr="007F0643" w:rsidTr="00E30735">
        <w:trPr>
          <w:trHeight w:val="1862"/>
        </w:trPr>
        <w:tc>
          <w:tcPr>
            <w:tcW w:w="3072" w:type="dxa"/>
            <w:tcBorders>
              <w:top w:val="double" w:sz="4" w:space="0" w:color="auto"/>
              <w:left w:val="nil"/>
              <w:bottom w:val="nil"/>
              <w:right w:val="double" w:sz="4" w:space="0" w:color="auto"/>
            </w:tcBorders>
          </w:tcPr>
          <w:p w:rsidR="00815BB8" w:rsidRPr="007F0643" w:rsidRDefault="00815BB8" w:rsidP="00FD51B8">
            <w:pPr>
              <w:rPr>
                <w:b/>
              </w:rPr>
            </w:pPr>
            <w:r w:rsidRPr="007F0643">
              <w:rPr>
                <w:b/>
              </w:rPr>
              <w:t xml:space="preserve">Classification </w:t>
            </w:r>
            <w:r>
              <w:rPr>
                <w:b/>
              </w:rPr>
              <w:t xml:space="preserve">and labelling </w:t>
            </w:r>
            <w:r w:rsidRPr="007F0643">
              <w:rPr>
                <w:b/>
              </w:rPr>
              <w:t>based on calculation method</w:t>
            </w:r>
            <w:r>
              <w:rPr>
                <w:b/>
                <w:vertAlign w:val="superscript"/>
              </w:rPr>
              <w:t>3</w:t>
            </w:r>
            <w:r w:rsidRPr="007F0643">
              <w:rPr>
                <w:b/>
              </w:rPr>
              <w:t>:</w:t>
            </w:r>
          </w:p>
        </w:tc>
        <w:tc>
          <w:tcPr>
            <w:tcW w:w="3342" w:type="dxa"/>
            <w:tcBorders>
              <w:top w:val="double" w:sz="4" w:space="0" w:color="auto"/>
              <w:left w:val="double" w:sz="4" w:space="0" w:color="auto"/>
              <w:bottom w:val="nil"/>
            </w:tcBorders>
          </w:tcPr>
          <w:p w:rsidR="00815BB8" w:rsidRPr="007F0643" w:rsidRDefault="00815BB8" w:rsidP="00FD51B8">
            <w:r>
              <w:t>Aquatic [Acute 2,]</w:t>
            </w:r>
            <w:r>
              <w:rPr>
                <w:vertAlign w:val="superscript"/>
              </w:rPr>
              <w:t>a</w:t>
            </w:r>
            <w:r>
              <w:t xml:space="preserve"> Chronic 2</w:t>
            </w:r>
          </w:p>
          <w:p w:rsidR="00815BB8" w:rsidRDefault="00815BB8" w:rsidP="00FD51B8">
            <w:r>
              <w:t>[H401 Toxic to aquatic life]</w:t>
            </w:r>
          </w:p>
          <w:p w:rsidR="00815BB8" w:rsidRPr="007F0643" w:rsidRDefault="00815BB8" w:rsidP="00FD51B8">
            <w:r w:rsidRPr="00E30699">
              <w:t>H</w:t>
            </w:r>
            <w:r>
              <w:t>411 Toxic to aquatic life with long lasting effects</w:t>
            </w:r>
          </w:p>
        </w:tc>
        <w:tc>
          <w:tcPr>
            <w:tcW w:w="3225" w:type="dxa"/>
            <w:tcBorders>
              <w:top w:val="double" w:sz="4" w:space="0" w:color="auto"/>
              <w:bottom w:val="nil"/>
              <w:right w:val="nil"/>
            </w:tcBorders>
          </w:tcPr>
          <w:p w:rsidR="00815BB8" w:rsidRPr="00E30699" w:rsidRDefault="00815BB8" w:rsidP="00FD51B8">
            <w:r>
              <w:rPr>
                <w:noProof/>
                <w:lang w:eastAsia="en-GB"/>
              </w:rPr>
              <w:t>Aquatic Acute 1, Chronic 1</w:t>
            </w:r>
          </w:p>
          <w:p w:rsidR="00815BB8" w:rsidRDefault="00815BB8" w:rsidP="00FD51B8">
            <w:r>
              <w:t>Warning</w:t>
            </w:r>
          </w:p>
          <w:p w:rsidR="00815BB8" w:rsidRDefault="009869AD" w:rsidP="00FD51B8">
            <w:r>
              <w:rPr>
                <w:noProof/>
              </w:rPr>
              <w:pict>
                <v:shape id="Picture 10" o:spid="_x0000_s1027" type="#_x0000_t75" style="position:absolute;margin-left:101.35pt;margin-top:4.1pt;width:44.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1" o:title=""/>
                  <w10:wrap type="square"/>
                </v:shape>
              </w:pict>
            </w:r>
            <w:r w:rsidR="00815BB8">
              <w:t>H400 Very toxic to aquatic life</w:t>
            </w:r>
          </w:p>
          <w:p w:rsidR="00815BB8" w:rsidRPr="007F0643" w:rsidRDefault="00815BB8" w:rsidP="00FD51B8">
            <w:r w:rsidRPr="00E30699">
              <w:t>H</w:t>
            </w:r>
            <w:r>
              <w:t>410 Very toxic to aquatic life with long lasting effects</w:t>
            </w:r>
          </w:p>
        </w:tc>
      </w:tr>
    </w:tbl>
    <w:p w:rsidR="00815BB8" w:rsidRPr="00460236" w:rsidRDefault="00815BB8" w:rsidP="00530EFD">
      <w:pPr>
        <w:tabs>
          <w:tab w:val="left" w:pos="284"/>
        </w:tabs>
        <w:suppressAutoHyphens w:val="0"/>
        <w:spacing w:after="60" w:line="240" w:lineRule="auto"/>
        <w:ind w:left="284" w:hanging="284"/>
        <w:rPr>
          <w:b/>
          <w:sz w:val="22"/>
        </w:rPr>
      </w:pPr>
      <w:r w:rsidRPr="00460236">
        <w:rPr>
          <w:sz w:val="18"/>
          <w:vertAlign w:val="superscript"/>
        </w:rPr>
        <w:t>3</w:t>
      </w:r>
      <w:r w:rsidR="00E30735" w:rsidRPr="00460236">
        <w:rPr>
          <w:sz w:val="18"/>
          <w:vertAlign w:val="superscript"/>
        </w:rPr>
        <w:tab/>
      </w:r>
      <w:r w:rsidRPr="00460236">
        <w:rPr>
          <w:i/>
          <w:sz w:val="18"/>
        </w:rPr>
        <w:t xml:space="preserve">Formula for classification of mixture as Aquatic Acute 1 or Chronic 1 based on substances classified as Aquatic Acute 1 or Chronic 1 only is </w:t>
      </w:r>
      <w:r w:rsidRPr="00460236">
        <w:rPr>
          <w:i/>
          <w:sz w:val="18"/>
        </w:rPr>
        <w:sym w:font="Symbol" w:char="F053"/>
      </w:r>
      <w:r w:rsidRPr="00460236">
        <w:rPr>
          <w:i/>
          <w:sz w:val="18"/>
        </w:rPr>
        <w:t xml:space="preserve"> (Acute/Chronic 1 x M) ≥ 25%.</w:t>
      </w:r>
    </w:p>
    <w:p w:rsidR="00815BB8" w:rsidRPr="00460236" w:rsidRDefault="00E30735" w:rsidP="00530EFD">
      <w:pPr>
        <w:tabs>
          <w:tab w:val="left" w:pos="284"/>
        </w:tabs>
        <w:suppressAutoHyphens w:val="0"/>
        <w:spacing w:after="60" w:line="240" w:lineRule="auto"/>
        <w:ind w:left="284" w:hanging="284"/>
        <w:rPr>
          <w:b/>
          <w:sz w:val="22"/>
        </w:rPr>
      </w:pPr>
      <w:r w:rsidRPr="00460236">
        <w:rPr>
          <w:i/>
          <w:sz w:val="18"/>
        </w:rPr>
        <w:tab/>
      </w:r>
      <w:r w:rsidR="00815BB8" w:rsidRPr="00460236">
        <w:rPr>
          <w:i/>
          <w:sz w:val="18"/>
        </w:rPr>
        <w:t xml:space="preserve">Formula for classification of mixture as Aquatic Acute 1 or Chronic 2 based on substances classified as Aquatic Acute 1 or Chronic 1 only is </w:t>
      </w:r>
      <w:r w:rsidR="00815BB8" w:rsidRPr="00460236">
        <w:rPr>
          <w:i/>
          <w:sz w:val="18"/>
        </w:rPr>
        <w:sym w:font="Symbol" w:char="F053"/>
      </w:r>
      <w:r w:rsidR="00815BB8" w:rsidRPr="00460236">
        <w:rPr>
          <w:i/>
          <w:sz w:val="18"/>
        </w:rPr>
        <w:t xml:space="preserve"> (M x 10 x Acute/Chronic 1) ≥ 25%.</w:t>
      </w:r>
    </w:p>
    <w:p w:rsidR="00815BB8" w:rsidRPr="00460236" w:rsidRDefault="00815BB8" w:rsidP="00530EFD">
      <w:pPr>
        <w:suppressAutoHyphens w:val="0"/>
        <w:spacing w:after="60" w:line="240" w:lineRule="auto"/>
        <w:ind w:left="284" w:hanging="284"/>
        <w:rPr>
          <w:sz w:val="18"/>
        </w:rPr>
      </w:pPr>
      <w:r w:rsidRPr="00460236">
        <w:rPr>
          <w:sz w:val="18"/>
          <w:vertAlign w:val="superscript"/>
        </w:rPr>
        <w:t xml:space="preserve">a </w:t>
      </w:r>
      <w:r w:rsidR="00E30735" w:rsidRPr="00460236">
        <w:rPr>
          <w:sz w:val="18"/>
          <w:vertAlign w:val="superscript"/>
        </w:rPr>
        <w:tab/>
      </w:r>
      <w:r w:rsidRPr="00460236">
        <w:rPr>
          <w:sz w:val="18"/>
        </w:rPr>
        <w:t>Note: this mixture was placed on the market in the European Union, where Aquatic Acute categories 2 and 3 are not implemented, so in practice it was classified and labelled as Aquatic Chronic 2 only.</w:t>
      </w:r>
    </w:p>
    <w:p w:rsidR="00815BB8" w:rsidRPr="00E30735" w:rsidRDefault="00E30735" w:rsidP="00E30735">
      <w:pPr>
        <w:pStyle w:val="H1G"/>
      </w:pPr>
      <w:r>
        <w:tab/>
      </w:r>
      <w:r>
        <w:tab/>
      </w:r>
      <w:r w:rsidR="00815BB8" w:rsidRPr="00E30735">
        <w:t>Example 4: Not classified v</w:t>
      </w:r>
      <w:r w:rsidRPr="00E30735">
        <w:t>s Acute t</w:t>
      </w:r>
      <w:r w:rsidR="00815BB8" w:rsidRPr="00E30735">
        <w:t>oxicity (oral) Category 4</w:t>
      </w:r>
    </w:p>
    <w:tbl>
      <w:tblPr>
        <w:tblStyle w:val="TableGrid"/>
        <w:tblW w:w="9639" w:type="dxa"/>
        <w:tblLook w:val="04A0" w:firstRow="1" w:lastRow="0" w:firstColumn="1" w:lastColumn="0" w:noHBand="0" w:noVBand="1"/>
      </w:tblPr>
      <w:tblGrid>
        <w:gridCol w:w="3072"/>
        <w:gridCol w:w="3165"/>
        <w:gridCol w:w="3402"/>
      </w:tblGrid>
      <w:tr w:rsidR="00815BB8" w:rsidRPr="007F0643" w:rsidTr="00460236">
        <w:tc>
          <w:tcPr>
            <w:tcW w:w="3072" w:type="dxa"/>
            <w:tcBorders>
              <w:top w:val="nil"/>
              <w:left w:val="nil"/>
              <w:bottom w:val="double" w:sz="4" w:space="0" w:color="auto"/>
              <w:right w:val="double" w:sz="4" w:space="0" w:color="auto"/>
            </w:tcBorders>
          </w:tcPr>
          <w:p w:rsidR="00815BB8" w:rsidRPr="007F0643" w:rsidRDefault="00815BB8" w:rsidP="00E30735">
            <w:pPr>
              <w:rPr>
                <w:b/>
              </w:rPr>
            </w:pPr>
            <w:r>
              <w:rPr>
                <w:b/>
              </w:rPr>
              <w:t>Ingredient</w:t>
            </w:r>
            <w:r w:rsidRPr="007F0643">
              <w:rPr>
                <w:b/>
              </w:rPr>
              <w:t xml:space="preserve"> </w:t>
            </w:r>
            <w:r w:rsidR="00E30735">
              <w:rPr>
                <w:b/>
              </w:rPr>
              <w:t>and</w:t>
            </w:r>
            <w:r w:rsidRPr="007F0643">
              <w:rPr>
                <w:b/>
              </w:rPr>
              <w:t xml:space="preserve"> </w:t>
            </w:r>
            <w:r>
              <w:rPr>
                <w:b/>
              </w:rPr>
              <w:t>Acute Toxicity Estimate (oral)</w:t>
            </w:r>
          </w:p>
        </w:tc>
        <w:tc>
          <w:tcPr>
            <w:tcW w:w="3165" w:type="dxa"/>
            <w:tcBorders>
              <w:top w:val="nil"/>
              <w:left w:val="double" w:sz="4" w:space="0" w:color="auto"/>
              <w:bottom w:val="double" w:sz="4" w:space="0" w:color="auto"/>
            </w:tcBorders>
          </w:tcPr>
          <w:p w:rsidR="00815BB8" w:rsidRPr="007F0643" w:rsidRDefault="00815BB8" w:rsidP="00FD51B8">
            <w:pPr>
              <w:rPr>
                <w:b/>
              </w:rPr>
            </w:pPr>
            <w:r w:rsidRPr="007F0643">
              <w:rPr>
                <w:b/>
              </w:rPr>
              <w:t>Actual concentration in mixture</w:t>
            </w:r>
          </w:p>
        </w:tc>
        <w:tc>
          <w:tcPr>
            <w:tcW w:w="3402" w:type="dxa"/>
            <w:tcBorders>
              <w:top w:val="nil"/>
              <w:bottom w:val="double" w:sz="4" w:space="0" w:color="auto"/>
              <w:right w:val="nil"/>
            </w:tcBorders>
          </w:tcPr>
          <w:p w:rsidR="00815BB8" w:rsidRPr="007F0643" w:rsidRDefault="00815BB8" w:rsidP="00FD51B8">
            <w:pPr>
              <w:rPr>
                <w:b/>
              </w:rPr>
            </w:pPr>
            <w:r>
              <w:rPr>
                <w:b/>
              </w:rPr>
              <w:t>Range specified in Section 3</w:t>
            </w:r>
          </w:p>
        </w:tc>
      </w:tr>
      <w:tr w:rsidR="00815BB8" w:rsidRPr="007F0643" w:rsidTr="00460236">
        <w:tc>
          <w:tcPr>
            <w:tcW w:w="3072" w:type="dxa"/>
            <w:tcBorders>
              <w:top w:val="double" w:sz="4" w:space="0" w:color="auto"/>
              <w:left w:val="nil"/>
              <w:right w:val="double" w:sz="4" w:space="0" w:color="auto"/>
            </w:tcBorders>
          </w:tcPr>
          <w:p w:rsidR="00815BB8" w:rsidRPr="007F0643" w:rsidRDefault="00815BB8" w:rsidP="00E30735">
            <w:r>
              <w:t>Substance</w:t>
            </w:r>
            <w:r w:rsidRPr="007F0643">
              <w:t xml:space="preserve"> </w:t>
            </w:r>
            <w:r>
              <w:t>N</w:t>
            </w:r>
            <w:r w:rsidR="00E30735">
              <w:br/>
            </w:r>
            <w:r>
              <w:t>ATE = 500 mg/kg</w:t>
            </w:r>
          </w:p>
        </w:tc>
        <w:tc>
          <w:tcPr>
            <w:tcW w:w="3165" w:type="dxa"/>
            <w:tcBorders>
              <w:top w:val="double" w:sz="4" w:space="0" w:color="auto"/>
              <w:left w:val="double" w:sz="4" w:space="0" w:color="auto"/>
            </w:tcBorders>
          </w:tcPr>
          <w:p w:rsidR="00815BB8" w:rsidRPr="007F0643" w:rsidRDefault="00815BB8" w:rsidP="00FD51B8">
            <w:r>
              <w:t>11</w:t>
            </w:r>
            <w:r w:rsidRPr="007F0643">
              <w:t>%</w:t>
            </w:r>
          </w:p>
        </w:tc>
        <w:tc>
          <w:tcPr>
            <w:tcW w:w="3402" w:type="dxa"/>
            <w:tcBorders>
              <w:top w:val="double" w:sz="4" w:space="0" w:color="auto"/>
              <w:right w:val="nil"/>
            </w:tcBorders>
          </w:tcPr>
          <w:p w:rsidR="00815BB8" w:rsidRPr="007F0643" w:rsidRDefault="00815BB8" w:rsidP="00FD51B8">
            <w:r w:rsidRPr="007F0643">
              <w:t>1</w:t>
            </w:r>
            <w:r>
              <w:t>0</w:t>
            </w:r>
            <w:r w:rsidRPr="007F0643">
              <w:t>-</w:t>
            </w:r>
            <w:r>
              <w:t>1</w:t>
            </w:r>
            <w:r w:rsidRPr="007F0643">
              <w:t>5%</w:t>
            </w:r>
          </w:p>
        </w:tc>
      </w:tr>
      <w:tr w:rsidR="00815BB8" w:rsidRPr="007F0643" w:rsidTr="00460236">
        <w:tc>
          <w:tcPr>
            <w:tcW w:w="3072" w:type="dxa"/>
            <w:tcBorders>
              <w:left w:val="nil"/>
              <w:bottom w:val="single" w:sz="12" w:space="0" w:color="auto"/>
              <w:right w:val="double" w:sz="4" w:space="0" w:color="auto"/>
            </w:tcBorders>
          </w:tcPr>
          <w:p w:rsidR="00815BB8" w:rsidRPr="007F0643" w:rsidRDefault="00815BB8" w:rsidP="00E30735">
            <w:r>
              <w:t>Substance</w:t>
            </w:r>
            <w:r w:rsidRPr="007F0643">
              <w:t xml:space="preserve"> </w:t>
            </w:r>
            <w:r>
              <w:t>P</w:t>
            </w:r>
            <w:r w:rsidR="00E30735">
              <w:br/>
            </w:r>
            <w:r>
              <w:t>ATE = 500 mg/kg</w:t>
            </w:r>
          </w:p>
        </w:tc>
        <w:tc>
          <w:tcPr>
            <w:tcW w:w="3165" w:type="dxa"/>
            <w:tcBorders>
              <w:left w:val="double" w:sz="4" w:space="0" w:color="auto"/>
              <w:bottom w:val="single" w:sz="12" w:space="0" w:color="auto"/>
            </w:tcBorders>
          </w:tcPr>
          <w:p w:rsidR="00815BB8" w:rsidRPr="007F0643" w:rsidRDefault="00815BB8" w:rsidP="00FD51B8">
            <w:r>
              <w:t>12</w:t>
            </w:r>
            <w:r w:rsidRPr="007F0643">
              <w:t>%</w:t>
            </w:r>
          </w:p>
        </w:tc>
        <w:tc>
          <w:tcPr>
            <w:tcW w:w="3402" w:type="dxa"/>
            <w:tcBorders>
              <w:bottom w:val="single" w:sz="12" w:space="0" w:color="auto"/>
              <w:right w:val="nil"/>
            </w:tcBorders>
          </w:tcPr>
          <w:p w:rsidR="00815BB8" w:rsidRPr="007F0643" w:rsidRDefault="00815BB8" w:rsidP="00FD51B8">
            <w:r>
              <w:t>10</w:t>
            </w:r>
            <w:r w:rsidRPr="007F0643">
              <w:t>-1</w:t>
            </w:r>
            <w:r>
              <w:t>5</w:t>
            </w:r>
            <w:r w:rsidRPr="007F0643">
              <w:t>%</w:t>
            </w:r>
          </w:p>
        </w:tc>
      </w:tr>
      <w:tr w:rsidR="00815BB8" w:rsidRPr="007F0643" w:rsidTr="00460236">
        <w:tc>
          <w:tcPr>
            <w:tcW w:w="3072" w:type="dxa"/>
            <w:tcBorders>
              <w:top w:val="single" w:sz="12" w:space="0" w:color="auto"/>
              <w:left w:val="nil"/>
              <w:bottom w:val="double" w:sz="4" w:space="0" w:color="auto"/>
              <w:right w:val="double" w:sz="4" w:space="0" w:color="auto"/>
            </w:tcBorders>
          </w:tcPr>
          <w:p w:rsidR="00815BB8" w:rsidRPr="0048323F" w:rsidRDefault="00815BB8" w:rsidP="00FD51B8">
            <w:pPr>
              <w:rPr>
                <w:b/>
              </w:rPr>
            </w:pPr>
            <w:r>
              <w:rPr>
                <w:b/>
              </w:rPr>
              <w:t>Calculated ATE</w:t>
            </w:r>
            <w:r>
              <w:rPr>
                <w:b/>
                <w:vertAlign w:val="subscript"/>
              </w:rPr>
              <w:t>mix</w:t>
            </w:r>
            <w:r>
              <w:rPr>
                <w:b/>
              </w:rPr>
              <w:t xml:space="preserve"> (oral):</w:t>
            </w:r>
          </w:p>
        </w:tc>
        <w:tc>
          <w:tcPr>
            <w:tcW w:w="3165" w:type="dxa"/>
            <w:tcBorders>
              <w:top w:val="single" w:sz="12" w:space="0" w:color="auto"/>
              <w:left w:val="double" w:sz="4" w:space="0" w:color="auto"/>
              <w:bottom w:val="double" w:sz="4" w:space="0" w:color="auto"/>
            </w:tcBorders>
          </w:tcPr>
          <w:p w:rsidR="00815BB8" w:rsidRPr="007F0643" w:rsidRDefault="00815BB8" w:rsidP="00FD51B8">
            <w:pPr>
              <w:rPr>
                <w:b/>
              </w:rPr>
            </w:pPr>
            <w:r>
              <w:rPr>
                <w:b/>
              </w:rPr>
              <w:t>2174 mg/kg</w:t>
            </w:r>
          </w:p>
        </w:tc>
        <w:tc>
          <w:tcPr>
            <w:tcW w:w="3402" w:type="dxa"/>
            <w:tcBorders>
              <w:top w:val="single" w:sz="12" w:space="0" w:color="auto"/>
              <w:bottom w:val="double" w:sz="4" w:space="0" w:color="auto"/>
              <w:right w:val="nil"/>
            </w:tcBorders>
          </w:tcPr>
          <w:p w:rsidR="00815BB8" w:rsidRPr="007F0643" w:rsidRDefault="00815BB8" w:rsidP="00FD51B8">
            <w:pPr>
              <w:rPr>
                <w:b/>
              </w:rPr>
            </w:pPr>
            <w:r>
              <w:rPr>
                <w:b/>
              </w:rPr>
              <w:t>1666 mg/kg</w:t>
            </w:r>
            <w:r w:rsidRPr="007F0643">
              <w:rPr>
                <w:i/>
              </w:rPr>
              <w:t xml:space="preserve"> </w:t>
            </w:r>
            <w:r w:rsidRPr="007F0643">
              <w:rPr>
                <w:i/>
              </w:rPr>
              <w:br/>
            </w:r>
            <w:r>
              <w:rPr>
                <w:i/>
              </w:rPr>
              <w:t xml:space="preserve">based on </w:t>
            </w:r>
            <w:r w:rsidRPr="007F0643">
              <w:rPr>
                <w:i/>
              </w:rPr>
              <w:t>highest concentration</w:t>
            </w:r>
            <w:r>
              <w:rPr>
                <w:i/>
              </w:rPr>
              <w:t>s of ranges</w:t>
            </w:r>
          </w:p>
        </w:tc>
      </w:tr>
      <w:tr w:rsidR="00815BB8" w:rsidRPr="007F0643" w:rsidTr="00460236">
        <w:trPr>
          <w:trHeight w:val="1130"/>
        </w:trPr>
        <w:tc>
          <w:tcPr>
            <w:tcW w:w="3072" w:type="dxa"/>
            <w:tcBorders>
              <w:top w:val="double" w:sz="4" w:space="0" w:color="auto"/>
              <w:left w:val="nil"/>
              <w:bottom w:val="nil"/>
              <w:right w:val="double" w:sz="4" w:space="0" w:color="auto"/>
            </w:tcBorders>
          </w:tcPr>
          <w:p w:rsidR="00815BB8" w:rsidRPr="007F0643" w:rsidRDefault="00815BB8" w:rsidP="00FD51B8">
            <w:pPr>
              <w:rPr>
                <w:b/>
              </w:rPr>
            </w:pPr>
            <w:r w:rsidRPr="007F0643">
              <w:rPr>
                <w:b/>
              </w:rPr>
              <w:t xml:space="preserve">Classification </w:t>
            </w:r>
            <w:r>
              <w:rPr>
                <w:b/>
              </w:rPr>
              <w:t xml:space="preserve">and labelling </w:t>
            </w:r>
            <w:r w:rsidRPr="007F0643">
              <w:rPr>
                <w:b/>
              </w:rPr>
              <w:t>based on calculation method</w:t>
            </w:r>
            <w:r>
              <w:rPr>
                <w:b/>
                <w:vertAlign w:val="superscript"/>
              </w:rPr>
              <w:t>4</w:t>
            </w:r>
            <w:r w:rsidRPr="007F0643">
              <w:rPr>
                <w:b/>
              </w:rPr>
              <w:t>:</w:t>
            </w:r>
          </w:p>
        </w:tc>
        <w:tc>
          <w:tcPr>
            <w:tcW w:w="3165" w:type="dxa"/>
            <w:tcBorders>
              <w:top w:val="double" w:sz="4" w:space="0" w:color="auto"/>
              <w:left w:val="double" w:sz="4" w:space="0" w:color="auto"/>
              <w:bottom w:val="nil"/>
            </w:tcBorders>
          </w:tcPr>
          <w:p w:rsidR="00815BB8" w:rsidRPr="00A039D4" w:rsidRDefault="00815BB8" w:rsidP="00FD51B8">
            <w:pPr>
              <w:rPr>
                <w:vertAlign w:val="superscript"/>
              </w:rPr>
            </w:pPr>
            <w:r w:rsidRPr="007F0643">
              <w:t>Not classified</w:t>
            </w:r>
            <w:r>
              <w:rPr>
                <w:vertAlign w:val="superscript"/>
              </w:rPr>
              <w:t>b</w:t>
            </w:r>
          </w:p>
          <w:p w:rsidR="00815BB8" w:rsidRDefault="00815BB8" w:rsidP="00FD51B8">
            <w:r>
              <w:t>[or Acute Tox. Cat. 5 (oral)</w:t>
            </w:r>
            <w:r>
              <w:br/>
              <w:t>Warning</w:t>
            </w:r>
          </w:p>
          <w:p w:rsidR="00815BB8" w:rsidRPr="007F0643" w:rsidRDefault="00815BB8" w:rsidP="00FD51B8">
            <w:r>
              <w:t>H303 May be harmful if swallowed]</w:t>
            </w:r>
          </w:p>
        </w:tc>
        <w:tc>
          <w:tcPr>
            <w:tcW w:w="3402" w:type="dxa"/>
            <w:tcBorders>
              <w:top w:val="double" w:sz="4" w:space="0" w:color="auto"/>
              <w:bottom w:val="nil"/>
              <w:right w:val="nil"/>
            </w:tcBorders>
          </w:tcPr>
          <w:p w:rsidR="00815BB8" w:rsidRPr="0048323F" w:rsidRDefault="00815BB8" w:rsidP="00FD51B8">
            <w:r>
              <w:t>Acute Tox.</w:t>
            </w:r>
            <w:r w:rsidRPr="0048323F">
              <w:t xml:space="preserve"> Cat. </w:t>
            </w:r>
            <w:r>
              <w:t>4 (oral)</w:t>
            </w:r>
          </w:p>
          <w:p w:rsidR="00815BB8" w:rsidRPr="0048323F" w:rsidRDefault="00815BB8" w:rsidP="00FD51B8">
            <w:r w:rsidRPr="0048323F">
              <w:t>Warning</w:t>
            </w:r>
          </w:p>
          <w:p w:rsidR="00815BB8" w:rsidRPr="007F0643" w:rsidRDefault="009869AD" w:rsidP="00460236">
            <w:r>
              <w:rPr>
                <w:noProof/>
              </w:rPr>
              <w:pict>
                <v:shape id="Afbeelding 3" o:spid="_x0000_s1026" type="#_x0000_t75" style="position:absolute;margin-left:133.4pt;margin-top:-17.05pt;width:28.5pt;height:2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r w:rsidR="00815BB8" w:rsidRPr="0048323F">
              <w:t>H3</w:t>
            </w:r>
            <w:r w:rsidR="00815BB8">
              <w:t>02</w:t>
            </w:r>
            <w:r w:rsidR="00815BB8" w:rsidRPr="0048323F">
              <w:t xml:space="preserve"> </w:t>
            </w:r>
            <w:r w:rsidR="00815BB8">
              <w:t xml:space="preserve">Harmful if </w:t>
            </w:r>
            <w:r w:rsidR="00460236">
              <w:t>s</w:t>
            </w:r>
            <w:r w:rsidR="00815BB8">
              <w:t>wallowed</w:t>
            </w:r>
          </w:p>
        </w:tc>
      </w:tr>
    </w:tbl>
    <w:p w:rsidR="00815BB8" w:rsidRPr="00460236" w:rsidRDefault="00815BB8" w:rsidP="00530EFD">
      <w:pPr>
        <w:tabs>
          <w:tab w:val="left" w:pos="284"/>
        </w:tabs>
        <w:suppressAutoHyphens w:val="0"/>
        <w:spacing w:after="60" w:line="240" w:lineRule="auto"/>
        <w:ind w:left="284" w:hanging="284"/>
        <w:rPr>
          <w:i/>
          <w:sz w:val="18"/>
        </w:rPr>
      </w:pPr>
      <w:r w:rsidRPr="00460236">
        <w:rPr>
          <w:sz w:val="18"/>
          <w:vertAlign w:val="superscript"/>
        </w:rPr>
        <w:t xml:space="preserve">4 </w:t>
      </w:r>
      <w:r w:rsidR="00460236" w:rsidRPr="00460236">
        <w:rPr>
          <w:sz w:val="18"/>
          <w:vertAlign w:val="superscript"/>
        </w:rPr>
        <w:tab/>
      </w:r>
      <w:r w:rsidRPr="00460236">
        <w:rPr>
          <w:i/>
          <w:sz w:val="18"/>
        </w:rPr>
        <w:t>Formula for calculation of Acute Toxicity Estimate for a mixture:100 / ATE</w:t>
      </w:r>
      <w:r w:rsidRPr="00460236">
        <w:rPr>
          <w:i/>
          <w:sz w:val="18"/>
          <w:vertAlign w:val="subscript"/>
        </w:rPr>
        <w:t xml:space="preserve">mix   </w:t>
      </w:r>
      <w:r w:rsidRPr="00460236">
        <w:rPr>
          <w:i/>
          <w:sz w:val="18"/>
        </w:rPr>
        <w:t xml:space="preserve">=   </w:t>
      </w:r>
      <w:r w:rsidRPr="00460236">
        <w:rPr>
          <w:i/>
          <w:sz w:val="18"/>
        </w:rPr>
        <w:sym w:font="Symbol" w:char="F053"/>
      </w:r>
      <w:r w:rsidRPr="00460236">
        <w:rPr>
          <w:i/>
          <w:sz w:val="18"/>
          <w:vertAlign w:val="subscript"/>
        </w:rPr>
        <w:t>n</w:t>
      </w:r>
      <w:r w:rsidRPr="00460236">
        <w:rPr>
          <w:i/>
          <w:sz w:val="18"/>
        </w:rPr>
        <w:t xml:space="preserve"> (C</w:t>
      </w:r>
      <w:r w:rsidRPr="00460236">
        <w:rPr>
          <w:i/>
          <w:sz w:val="18"/>
          <w:vertAlign w:val="subscript"/>
        </w:rPr>
        <w:t>i</w:t>
      </w:r>
      <w:r w:rsidRPr="00460236">
        <w:rPr>
          <w:i/>
          <w:sz w:val="18"/>
        </w:rPr>
        <w:t>/ATE</w:t>
      </w:r>
      <w:r w:rsidRPr="00460236">
        <w:rPr>
          <w:i/>
          <w:sz w:val="18"/>
          <w:vertAlign w:val="subscript"/>
        </w:rPr>
        <w:t>i</w:t>
      </w:r>
      <w:r w:rsidRPr="00460236">
        <w:rPr>
          <w:i/>
          <w:sz w:val="18"/>
        </w:rPr>
        <w:t>)</w:t>
      </w:r>
    </w:p>
    <w:p w:rsidR="00815BB8" w:rsidRPr="00460236" w:rsidRDefault="00460236" w:rsidP="00530EFD">
      <w:pPr>
        <w:tabs>
          <w:tab w:val="left" w:pos="284"/>
        </w:tabs>
        <w:suppressAutoHyphens w:val="0"/>
        <w:spacing w:after="60" w:line="240" w:lineRule="auto"/>
        <w:ind w:left="284" w:hanging="284"/>
        <w:rPr>
          <w:i/>
          <w:sz w:val="18"/>
        </w:rPr>
      </w:pPr>
      <w:r w:rsidRPr="00460236">
        <w:rPr>
          <w:i/>
          <w:sz w:val="18"/>
        </w:rPr>
        <w:tab/>
      </w:r>
      <w:r w:rsidR="00815BB8" w:rsidRPr="00460236">
        <w:rPr>
          <w:i/>
          <w:sz w:val="18"/>
        </w:rPr>
        <w:t>ATE ranges for the oral route (in mg/kg bodyweight):</w:t>
      </w:r>
    </w:p>
    <w:p w:rsidR="00815BB8" w:rsidRPr="00460236" w:rsidRDefault="00460236" w:rsidP="00530EFD">
      <w:pPr>
        <w:tabs>
          <w:tab w:val="left" w:pos="284"/>
        </w:tabs>
        <w:suppressAutoHyphens w:val="0"/>
        <w:spacing w:after="60" w:line="240" w:lineRule="auto"/>
        <w:ind w:left="284" w:hanging="284"/>
        <w:rPr>
          <w:i/>
          <w:sz w:val="18"/>
        </w:rPr>
      </w:pPr>
      <w:r w:rsidRPr="00460236">
        <w:rPr>
          <w:i/>
          <w:sz w:val="18"/>
        </w:rPr>
        <w:tab/>
      </w:r>
      <w:r w:rsidRPr="00460236">
        <w:rPr>
          <w:i/>
          <w:sz w:val="18"/>
        </w:rPr>
        <w:tab/>
      </w:r>
      <w:r w:rsidR="00815BB8" w:rsidRPr="00460236">
        <w:rPr>
          <w:i/>
          <w:sz w:val="18"/>
        </w:rPr>
        <w:t xml:space="preserve">300 &lt; Category 4 </w:t>
      </w:r>
      <w:r w:rsidR="00815BB8" w:rsidRPr="00460236">
        <w:rPr>
          <w:i/>
          <w:sz w:val="18"/>
        </w:rPr>
        <w:sym w:font="Symbol" w:char="F0A3"/>
      </w:r>
      <w:r w:rsidR="00815BB8" w:rsidRPr="00460236">
        <w:rPr>
          <w:i/>
          <w:sz w:val="18"/>
        </w:rPr>
        <w:t xml:space="preserve"> 2000</w:t>
      </w:r>
    </w:p>
    <w:p w:rsidR="00815BB8" w:rsidRPr="00460236" w:rsidRDefault="00460236" w:rsidP="00530EFD">
      <w:pPr>
        <w:suppressAutoHyphens w:val="0"/>
        <w:spacing w:after="60" w:line="240" w:lineRule="auto"/>
        <w:rPr>
          <w:b/>
          <w:sz w:val="22"/>
        </w:rPr>
      </w:pPr>
      <w:r w:rsidRPr="00460236">
        <w:rPr>
          <w:i/>
          <w:sz w:val="18"/>
        </w:rPr>
        <w:tab/>
      </w:r>
      <w:r w:rsidR="00815BB8" w:rsidRPr="00460236">
        <w:rPr>
          <w:i/>
          <w:sz w:val="18"/>
        </w:rPr>
        <w:t xml:space="preserve">2000 &lt; Category 5 </w:t>
      </w:r>
      <w:r w:rsidR="00815BB8" w:rsidRPr="00460236">
        <w:rPr>
          <w:i/>
          <w:sz w:val="18"/>
        </w:rPr>
        <w:sym w:font="Symbol" w:char="F0A3"/>
      </w:r>
      <w:r w:rsidR="00815BB8" w:rsidRPr="00460236">
        <w:rPr>
          <w:i/>
          <w:sz w:val="18"/>
        </w:rPr>
        <w:t xml:space="preserve"> 5000 (where implemented).</w:t>
      </w:r>
    </w:p>
    <w:p w:rsidR="00965932" w:rsidRPr="00460236" w:rsidRDefault="00815BB8" w:rsidP="00530EFD">
      <w:pPr>
        <w:spacing w:before="60" w:after="60" w:line="240" w:lineRule="auto"/>
        <w:ind w:left="284" w:hanging="284"/>
        <w:rPr>
          <w:sz w:val="18"/>
        </w:rPr>
      </w:pPr>
      <w:r w:rsidRPr="00460236">
        <w:rPr>
          <w:sz w:val="18"/>
          <w:vertAlign w:val="superscript"/>
        </w:rPr>
        <w:t>b</w:t>
      </w:r>
      <w:r w:rsidR="00460236" w:rsidRPr="00460236">
        <w:rPr>
          <w:sz w:val="18"/>
        </w:rPr>
        <w:tab/>
      </w:r>
      <w:r w:rsidRPr="00460236">
        <w:rPr>
          <w:sz w:val="18"/>
        </w:rPr>
        <w:t>Note: this mixture was placed on the market in the European Union, where Acute Toxicity Category 5 is not implemented, so in practice it was not classified or labelled.</w:t>
      </w:r>
      <w:r w:rsidR="00460236" w:rsidRPr="00460236">
        <w:rPr>
          <w:sz w:val="18"/>
        </w:rPr>
        <w:t xml:space="preserve"> </w:t>
      </w:r>
    </w:p>
    <w:p w:rsidR="00460236" w:rsidRPr="00965932" w:rsidRDefault="00460236" w:rsidP="00460236">
      <w:pPr>
        <w:jc w:val="center"/>
        <w:rPr>
          <w:rFonts w:eastAsia="MS Mincho"/>
          <w:sz w:val="22"/>
          <w:u w:val="single"/>
        </w:rPr>
      </w:pPr>
      <w:r>
        <w:t>_________________</w:t>
      </w:r>
    </w:p>
    <w:sectPr w:rsidR="00460236" w:rsidRPr="00965932" w:rsidSect="0099001C">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9869AD">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9869AD">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9869A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CC65B7">
      <w:t>UN/SCEGHS/</w:t>
    </w:r>
    <w:r w:rsidR="00A8760B" w:rsidRPr="00CC65B7">
      <w:t>3</w:t>
    </w:r>
    <w:r w:rsidR="00CC65B7" w:rsidRPr="00CC65B7">
      <w:t>2</w:t>
    </w:r>
    <w:r w:rsidRPr="00CC65B7">
      <w:t>/INF.</w:t>
    </w:r>
    <w:r w:rsidR="00530EFD">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CC65B7">
      <w:t>32</w:t>
    </w:r>
    <w:r>
      <w:t>/INF.</w:t>
    </w:r>
    <w:r w:rsidR="00530EFD">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2550E"/>
    <w:rsid w:val="0033745A"/>
    <w:rsid w:val="003642AF"/>
    <w:rsid w:val="00366CA7"/>
    <w:rsid w:val="0039277A"/>
    <w:rsid w:val="003972E0"/>
    <w:rsid w:val="003B3A99"/>
    <w:rsid w:val="003C2CC4"/>
    <w:rsid w:val="003C3936"/>
    <w:rsid w:val="003D4B23"/>
    <w:rsid w:val="003F1ED3"/>
    <w:rsid w:val="00421612"/>
    <w:rsid w:val="004325CB"/>
    <w:rsid w:val="00446DE4"/>
    <w:rsid w:val="00460236"/>
    <w:rsid w:val="00460DD9"/>
    <w:rsid w:val="00467F71"/>
    <w:rsid w:val="004A41CA"/>
    <w:rsid w:val="004A5617"/>
    <w:rsid w:val="004E7ED6"/>
    <w:rsid w:val="00503228"/>
    <w:rsid w:val="00505384"/>
    <w:rsid w:val="00530EFD"/>
    <w:rsid w:val="00532EF8"/>
    <w:rsid w:val="005420F2"/>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81A60"/>
    <w:rsid w:val="007A0B22"/>
    <w:rsid w:val="007B6BA5"/>
    <w:rsid w:val="007C3390"/>
    <w:rsid w:val="007C4F4B"/>
    <w:rsid w:val="007F0B83"/>
    <w:rsid w:val="007F48EF"/>
    <w:rsid w:val="007F4FCD"/>
    <w:rsid w:val="007F6611"/>
    <w:rsid w:val="00815BB8"/>
    <w:rsid w:val="0081732C"/>
    <w:rsid w:val="008175E9"/>
    <w:rsid w:val="008242D7"/>
    <w:rsid w:val="00827E05"/>
    <w:rsid w:val="008311A3"/>
    <w:rsid w:val="00836AF7"/>
    <w:rsid w:val="00871FD5"/>
    <w:rsid w:val="008979B1"/>
    <w:rsid w:val="008A6B25"/>
    <w:rsid w:val="008A6C4F"/>
    <w:rsid w:val="008B0A08"/>
    <w:rsid w:val="008B6E26"/>
    <w:rsid w:val="008E0E46"/>
    <w:rsid w:val="008E4C4C"/>
    <w:rsid w:val="00907AD2"/>
    <w:rsid w:val="00911047"/>
    <w:rsid w:val="00963CBA"/>
    <w:rsid w:val="009650E6"/>
    <w:rsid w:val="00965932"/>
    <w:rsid w:val="00974A8D"/>
    <w:rsid w:val="009869AD"/>
    <w:rsid w:val="0099001C"/>
    <w:rsid w:val="00991261"/>
    <w:rsid w:val="009F3A17"/>
    <w:rsid w:val="009F3D53"/>
    <w:rsid w:val="00A1427D"/>
    <w:rsid w:val="00A426FB"/>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7699"/>
    <w:rsid w:val="00C1778D"/>
    <w:rsid w:val="00C41A28"/>
    <w:rsid w:val="00C463DD"/>
    <w:rsid w:val="00C6210B"/>
    <w:rsid w:val="00C745C3"/>
    <w:rsid w:val="00C945EB"/>
    <w:rsid w:val="00CB1850"/>
    <w:rsid w:val="00CC65B7"/>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0735"/>
    <w:rsid w:val="00E31C87"/>
    <w:rsid w:val="00E677EC"/>
    <w:rsid w:val="00E70DF5"/>
    <w:rsid w:val="00E7260F"/>
    <w:rsid w:val="00E80F5F"/>
    <w:rsid w:val="00E87921"/>
    <w:rsid w:val="00E96630"/>
    <w:rsid w:val="00EA264E"/>
    <w:rsid w:val="00EA3A41"/>
    <w:rsid w:val="00ED1541"/>
    <w:rsid w:val="00ED71D9"/>
    <w:rsid w:val="00ED7A2A"/>
    <w:rsid w:val="00EF1D7F"/>
    <w:rsid w:val="00EF358F"/>
    <w:rsid w:val="00F124A0"/>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link w:val="Footer"/>
    <w:uiPriority w:val="99"/>
    <w:rsid w:val="00815BB8"/>
    <w:rPr>
      <w:sz w:val="16"/>
      <w:lang w:eastAsia="en-US"/>
    </w:rPr>
  </w:style>
  <w:style w:type="character" w:customStyle="1" w:styleId="HeaderChar">
    <w:name w:val="Header Char"/>
    <w:aliases w:val="6_G Char"/>
    <w:link w:val="Header"/>
    <w:rsid w:val="00815BB8"/>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A69A2-9C11-48AA-9176-5D5EF13F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44</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14</cp:revision>
  <cp:lastPrinted>2008-09-29T11:49:00Z</cp:lastPrinted>
  <dcterms:created xsi:type="dcterms:W3CDTF">2015-06-23T07:37:00Z</dcterms:created>
  <dcterms:modified xsi:type="dcterms:W3CDTF">2016-11-22T08:27:00Z</dcterms:modified>
</cp:coreProperties>
</file>