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5E0E5E" w:rsidP="009D1E44">
            <w:pPr>
              <w:jc w:val="right"/>
            </w:pPr>
            <w:r w:rsidRPr="005E0E5E">
              <w:rPr>
                <w:sz w:val="40"/>
              </w:rPr>
              <w:t>ST</w:t>
            </w:r>
            <w:r>
              <w:t>/SG/AC.10/C.4/</w:t>
            </w:r>
            <w:r w:rsidR="009D1E44">
              <w:t>63</w:t>
            </w:r>
            <w:r w:rsidR="00D45E82">
              <w:t>/Add.1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A7055B" wp14:editId="718530F9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97306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97306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E97306" w:rsidRDefault="005E0E5E" w:rsidP="005E0E5E">
            <w:pPr>
              <w:spacing w:before="240" w:line="240" w:lineRule="exact"/>
            </w:pPr>
            <w:r w:rsidRPr="00E97306">
              <w:t>Distr.: General</w:t>
            </w:r>
          </w:p>
          <w:p w:rsidR="005E0E5E" w:rsidRPr="00E97306" w:rsidRDefault="00E77A2F" w:rsidP="005E0E5E">
            <w:pPr>
              <w:spacing w:line="240" w:lineRule="exact"/>
            </w:pPr>
            <w:r>
              <w:t>30</w:t>
            </w:r>
            <w:r w:rsidR="00D45E82" w:rsidRPr="00F6150F">
              <w:t xml:space="preserve"> </w:t>
            </w:r>
            <w:r w:rsidR="00D45E82">
              <w:t>September</w:t>
            </w:r>
            <w:r w:rsidR="00D45E82" w:rsidRPr="00F6150F">
              <w:t xml:space="preserve"> </w:t>
            </w:r>
            <w:r w:rsidR="005E0E5E" w:rsidRPr="00F6150F">
              <w:t>2016</w:t>
            </w:r>
          </w:p>
          <w:p w:rsidR="005E0E5E" w:rsidRPr="00E97306" w:rsidRDefault="00E77A2F" w:rsidP="005E0E5E">
            <w:pPr>
              <w:spacing w:line="240" w:lineRule="exact"/>
            </w:pPr>
            <w:r>
              <w:t>English</w:t>
            </w:r>
          </w:p>
          <w:p w:rsidR="005E0E5E" w:rsidRPr="00E97306" w:rsidRDefault="00352936" w:rsidP="00D45E82">
            <w:pPr>
              <w:spacing w:line="240" w:lineRule="exact"/>
            </w:pPr>
            <w:r w:rsidRPr="00E97306">
              <w:t>Original: English</w:t>
            </w:r>
            <w:r w:rsidR="00A43CC7" w:rsidRPr="00E97306">
              <w:t xml:space="preserve"> </w:t>
            </w:r>
            <w:r w:rsidR="00E77A2F">
              <w:t>and French</w:t>
            </w:r>
          </w:p>
        </w:tc>
      </w:tr>
    </w:tbl>
    <w:p w:rsidR="005F1883" w:rsidRPr="00283442" w:rsidRDefault="005F1883" w:rsidP="005F1883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352936" w:rsidRPr="00283442" w:rsidRDefault="00352936" w:rsidP="0035293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352936" w:rsidRPr="00283442" w:rsidRDefault="00352936" w:rsidP="00352936">
      <w:pPr>
        <w:spacing w:before="120"/>
        <w:rPr>
          <w:b/>
        </w:rPr>
      </w:pPr>
      <w:r>
        <w:rPr>
          <w:b/>
          <w:bCs/>
        </w:rPr>
        <w:t>Thirty-</w:t>
      </w:r>
      <w:r w:rsidR="009D1E44">
        <w:rPr>
          <w:b/>
          <w:bCs/>
        </w:rPr>
        <w:t>second</w:t>
      </w:r>
      <w:r w:rsidR="009D1E44" w:rsidRPr="00283442">
        <w:rPr>
          <w:b/>
          <w:bCs/>
        </w:rPr>
        <w:t xml:space="preserve"> </w:t>
      </w:r>
      <w:proofErr w:type="gramStart"/>
      <w:r w:rsidRPr="00283442">
        <w:rPr>
          <w:b/>
          <w:bCs/>
        </w:rPr>
        <w:t>session</w:t>
      </w:r>
      <w:proofErr w:type="gramEnd"/>
    </w:p>
    <w:p w:rsidR="00352936" w:rsidRPr="00283442" w:rsidRDefault="00352936" w:rsidP="00352936">
      <w:pPr>
        <w:jc w:val="both"/>
      </w:pPr>
      <w:r w:rsidRPr="000C5D6F">
        <w:t xml:space="preserve">Geneva, </w:t>
      </w:r>
      <w:r w:rsidR="009D1E44">
        <w:t>7</w:t>
      </w:r>
      <w:r w:rsidR="009A3C87">
        <w:t>-</w:t>
      </w:r>
      <w:r w:rsidR="009D1E44">
        <w:t xml:space="preserve">9 December </w:t>
      </w:r>
      <w:r w:rsidRPr="00A4086E">
        <w:t>2016</w:t>
      </w:r>
    </w:p>
    <w:p w:rsidR="00352936" w:rsidRPr="00283442" w:rsidRDefault="00352936" w:rsidP="00352936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352936" w:rsidRPr="00283442" w:rsidRDefault="00352936" w:rsidP="009A3C87">
      <w:pPr>
        <w:spacing w:line="240" w:lineRule="auto"/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352936" w:rsidRPr="00283442" w:rsidRDefault="00352936" w:rsidP="00352936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 xml:space="preserve">Provisional agenda for the </w:t>
      </w:r>
      <w:r>
        <w:t>t</w:t>
      </w:r>
      <w:r w:rsidRPr="00620359">
        <w:rPr>
          <w:bCs/>
        </w:rPr>
        <w:t>hirty-</w:t>
      </w:r>
      <w:r w:rsidR="009D1E44">
        <w:rPr>
          <w:bCs/>
        </w:rPr>
        <w:t>second</w:t>
      </w:r>
      <w:r w:rsidR="009D1E44" w:rsidRPr="00283442">
        <w:rPr>
          <w:b w:val="0"/>
          <w:bCs/>
        </w:rPr>
        <w:t xml:space="preserve"> </w:t>
      </w:r>
      <w:r w:rsidRPr="00283442">
        <w:t>session</w:t>
      </w:r>
    </w:p>
    <w:p w:rsidR="00D45E82" w:rsidRDefault="00D45E82" w:rsidP="00D45E82">
      <w:pPr>
        <w:pStyle w:val="H23G"/>
      </w:pPr>
      <w:r>
        <w:tab/>
      </w:r>
      <w:r>
        <w:tab/>
      </w:r>
      <w:r w:rsidRPr="005949C2">
        <w:t>Addendum</w:t>
      </w:r>
    </w:p>
    <w:p w:rsidR="00D45E82" w:rsidRDefault="00D45E82" w:rsidP="009A3C87">
      <w:pPr>
        <w:pStyle w:val="H1G"/>
        <w:spacing w:before="240" w:line="240" w:lineRule="auto"/>
      </w:pPr>
      <w:r>
        <w:tab/>
      </w:r>
      <w:r>
        <w:tab/>
        <w:t>List of documents and annotations</w:t>
      </w:r>
    </w:p>
    <w:p w:rsidR="00D45E82" w:rsidRDefault="00C9737D" w:rsidP="00585B7E">
      <w:pPr>
        <w:pStyle w:val="H1G"/>
      </w:pPr>
      <w:r w:rsidRPr="00B17564">
        <w:t xml:space="preserve"> </w:t>
      </w:r>
      <w:r w:rsidR="00D45E82">
        <w:tab/>
      </w:r>
      <w:r w:rsidR="00D45E82" w:rsidRPr="00283442">
        <w:t>1.</w:t>
      </w:r>
      <w:r w:rsidR="00D45E82" w:rsidRPr="00283442">
        <w:tab/>
        <w:t>Adoption of the agenda</w:t>
      </w:r>
    </w:p>
    <w:p w:rsidR="00D45E82" w:rsidRPr="00926E57" w:rsidRDefault="00D45E82" w:rsidP="00D45E82">
      <w:pPr>
        <w:tabs>
          <w:tab w:val="left" w:pos="3544"/>
        </w:tabs>
        <w:ind w:left="567" w:firstLine="567"/>
      </w:pPr>
      <w:r w:rsidRPr="00926E57">
        <w:t>ST/SG/AC.10/C.4/</w:t>
      </w:r>
      <w:r w:rsidR="00B13E14">
        <w:t>63</w:t>
      </w:r>
      <w:r w:rsidRPr="00926E57">
        <w:tab/>
      </w:r>
      <w:r>
        <w:tab/>
      </w:r>
      <w:r w:rsidRPr="00926E57">
        <w:t xml:space="preserve">Provisional agenda for the </w:t>
      </w:r>
      <w:r>
        <w:rPr>
          <w:bCs/>
        </w:rPr>
        <w:t>t</w:t>
      </w:r>
      <w:r w:rsidRPr="007506F2">
        <w:rPr>
          <w:bCs/>
        </w:rPr>
        <w:t>hirty-</w:t>
      </w:r>
      <w:r w:rsidR="00B13E14">
        <w:rPr>
          <w:bCs/>
        </w:rPr>
        <w:t>second</w:t>
      </w:r>
      <w:r w:rsidR="00B13E14" w:rsidRPr="00283442">
        <w:rPr>
          <w:b/>
          <w:bCs/>
        </w:rPr>
        <w:t xml:space="preserve"> </w:t>
      </w:r>
      <w:r w:rsidRPr="00926E57">
        <w:t>session</w:t>
      </w:r>
    </w:p>
    <w:p w:rsidR="00D45E82" w:rsidRDefault="00D45E82" w:rsidP="00D45E82">
      <w:pPr>
        <w:tabs>
          <w:tab w:val="left" w:pos="1134"/>
          <w:tab w:val="left" w:pos="3544"/>
        </w:tabs>
      </w:pPr>
      <w:r>
        <w:tab/>
        <w:t>ST/SG/AC.10/C.4/</w:t>
      </w:r>
      <w:r w:rsidR="00B13E14">
        <w:t>63</w:t>
      </w:r>
      <w:r>
        <w:t>/Add.1</w:t>
      </w:r>
      <w:r w:rsidRPr="00926E57">
        <w:tab/>
      </w:r>
      <w:r>
        <w:tab/>
      </w:r>
      <w:r w:rsidRPr="00926E57">
        <w:t>List of documents and annotations</w:t>
      </w:r>
    </w:p>
    <w:p w:rsidR="00D45E82" w:rsidRPr="00BA6223" w:rsidRDefault="00D45E82" w:rsidP="00D45E82">
      <w:pPr>
        <w:pStyle w:val="H23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103"/>
      </w:tblGrid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C10309" w:rsidRPr="002B296F" w:rsidTr="009A3C87">
        <w:tc>
          <w:tcPr>
            <w:tcW w:w="2444" w:type="dxa"/>
            <w:shd w:val="clear" w:color="auto" w:fill="auto"/>
          </w:tcPr>
          <w:p w:rsidR="00C10309" w:rsidRDefault="00C10309" w:rsidP="009A24A5">
            <w:pPr>
              <w:spacing w:before="30" w:after="30"/>
            </w:pPr>
            <w:r>
              <w:t>ST/SG/AC.10/C.4/58</w:t>
            </w:r>
          </w:p>
        </w:tc>
        <w:tc>
          <w:tcPr>
            <w:tcW w:w="5103" w:type="dxa"/>
            <w:shd w:val="clear" w:color="auto" w:fill="auto"/>
          </w:tcPr>
          <w:p w:rsidR="00C10309" w:rsidRPr="002B296F" w:rsidRDefault="00C10309">
            <w:pPr>
              <w:spacing w:before="30" w:after="30"/>
            </w:pPr>
            <w:r w:rsidRPr="002B296F">
              <w:t xml:space="preserve">Report of the Sub-Committee on its </w:t>
            </w:r>
            <w:r>
              <w:t>twenty-ninth</w:t>
            </w:r>
            <w:r w:rsidRPr="002B296F">
              <w:t xml:space="preserve"> session</w:t>
            </w:r>
          </w:p>
        </w:tc>
      </w:tr>
      <w:tr w:rsidR="00D45E82" w:rsidRPr="002B296F" w:rsidTr="009A3C87">
        <w:tc>
          <w:tcPr>
            <w:tcW w:w="2444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  <w:rPr>
                <w:b/>
              </w:rPr>
            </w:pPr>
            <w:r>
              <w:t>ST/SG/AC.10/C.4/60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thirtieth</w:t>
            </w:r>
            <w:r w:rsidRPr="002B296F">
              <w:t xml:space="preserve"> session</w:t>
            </w:r>
          </w:p>
        </w:tc>
      </w:tr>
      <w:tr w:rsidR="00585B7E" w:rsidRPr="002B296F" w:rsidTr="009A3C87">
        <w:tc>
          <w:tcPr>
            <w:tcW w:w="2444" w:type="dxa"/>
            <w:shd w:val="clear" w:color="auto" w:fill="auto"/>
          </w:tcPr>
          <w:p w:rsidR="00585B7E" w:rsidRDefault="00B13E14" w:rsidP="009A24A5">
            <w:pPr>
              <w:spacing w:before="30" w:after="30"/>
            </w:pPr>
            <w:r>
              <w:t>ST/SG/AC.10/C.4/62</w:t>
            </w:r>
          </w:p>
        </w:tc>
        <w:tc>
          <w:tcPr>
            <w:tcW w:w="5103" w:type="dxa"/>
            <w:shd w:val="clear" w:color="auto" w:fill="auto"/>
          </w:tcPr>
          <w:p w:rsidR="00585B7E" w:rsidRPr="002B296F" w:rsidRDefault="00B13E14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thirty-first</w:t>
            </w:r>
            <w:r w:rsidRPr="002B296F">
              <w:t xml:space="preserve"> session</w:t>
            </w:r>
          </w:p>
        </w:tc>
      </w:tr>
      <w:tr w:rsidR="00C10309" w:rsidRPr="00BA6223" w:rsidTr="009A3C87">
        <w:tc>
          <w:tcPr>
            <w:tcW w:w="2444" w:type="dxa"/>
            <w:shd w:val="clear" w:color="auto" w:fill="auto"/>
          </w:tcPr>
          <w:p w:rsidR="00C10309" w:rsidRDefault="00C10309" w:rsidP="009A24A5">
            <w:pPr>
              <w:spacing w:before="30" w:after="30"/>
            </w:pPr>
            <w:r>
              <w:t>ST/SG/AC.10/C.3/94 and Corr.1</w:t>
            </w:r>
          </w:p>
        </w:tc>
        <w:tc>
          <w:tcPr>
            <w:tcW w:w="5103" w:type="dxa"/>
            <w:shd w:val="clear" w:color="auto" w:fill="auto"/>
          </w:tcPr>
          <w:p w:rsidR="00C10309" w:rsidRPr="002B296F" w:rsidRDefault="00C10309">
            <w:pPr>
              <w:spacing w:before="30" w:after="30"/>
            </w:pPr>
            <w:r>
              <w:t>Report of the Sub-Committee of Experts on the Transport of Dangerous Goods on its forty-seventh session</w:t>
            </w:r>
          </w:p>
        </w:tc>
      </w:tr>
      <w:tr w:rsidR="00D45E82" w:rsidRPr="00BA6223" w:rsidTr="009A3C87">
        <w:tc>
          <w:tcPr>
            <w:tcW w:w="2444" w:type="dxa"/>
            <w:shd w:val="clear" w:color="auto" w:fill="auto"/>
          </w:tcPr>
          <w:p w:rsidR="00D45E82" w:rsidRPr="002B296F" w:rsidRDefault="00D45E82" w:rsidP="009A24A5">
            <w:pPr>
              <w:spacing w:before="30" w:after="30"/>
              <w:rPr>
                <w:b/>
              </w:rPr>
            </w:pPr>
            <w:r>
              <w:t>ST/SG/AC.10/C.3/96</w:t>
            </w:r>
            <w:r w:rsidR="00C10309">
              <w:t xml:space="preserve"> and Add.1</w:t>
            </w:r>
          </w:p>
        </w:tc>
        <w:tc>
          <w:tcPr>
            <w:tcW w:w="5103" w:type="dxa"/>
            <w:shd w:val="clear" w:color="auto" w:fill="auto"/>
          </w:tcPr>
          <w:p w:rsidR="00D45E82" w:rsidRPr="002B296F" w:rsidRDefault="00D45E82" w:rsidP="00140892">
            <w:pPr>
              <w:spacing w:before="30" w:after="30"/>
            </w:pPr>
            <w:r w:rsidRPr="002B296F">
              <w:t>Report of the Sub-Committee of Experts on the Transport of Dangerous Goods on its forty-</w:t>
            </w:r>
            <w:r>
              <w:t>eighth</w:t>
            </w:r>
            <w:r w:rsidRPr="002B296F">
              <w:t xml:space="preserve"> session</w:t>
            </w:r>
          </w:p>
        </w:tc>
      </w:tr>
      <w:tr w:rsidR="00B13E14" w:rsidRPr="00BA6223" w:rsidTr="009A3C87">
        <w:tc>
          <w:tcPr>
            <w:tcW w:w="2444" w:type="dxa"/>
            <w:shd w:val="clear" w:color="auto" w:fill="auto"/>
          </w:tcPr>
          <w:p w:rsidR="00B13E14" w:rsidRDefault="00B13E14" w:rsidP="009A3C87">
            <w:pPr>
              <w:keepNext/>
              <w:keepLines/>
              <w:spacing w:before="30" w:after="30"/>
            </w:pPr>
            <w:r>
              <w:lastRenderedPageBreak/>
              <w:t>ST/SG/AC.10/C.3/98</w:t>
            </w:r>
            <w:r w:rsidR="00C10309">
              <w:t xml:space="preserve"> and Add.1</w:t>
            </w:r>
          </w:p>
        </w:tc>
        <w:tc>
          <w:tcPr>
            <w:tcW w:w="5103" w:type="dxa"/>
            <w:shd w:val="clear" w:color="auto" w:fill="auto"/>
          </w:tcPr>
          <w:p w:rsidR="00B13E14" w:rsidRPr="002B296F" w:rsidRDefault="00B13E14" w:rsidP="009A3C87">
            <w:pPr>
              <w:keepNext/>
              <w:keepLines/>
              <w:spacing w:before="30" w:after="30"/>
            </w:pPr>
            <w:r w:rsidRPr="002B296F">
              <w:t xml:space="preserve">Report of the Sub-Committee of Experts on the Transport of Dangerous Goods on its </w:t>
            </w:r>
            <w:r>
              <w:t>forty-ninth</w:t>
            </w:r>
            <w:r w:rsidRPr="002B296F">
              <w:t xml:space="preserve"> session</w:t>
            </w:r>
          </w:p>
        </w:tc>
      </w:tr>
    </w:tbl>
    <w:p w:rsidR="00352936" w:rsidRPr="009A3C87" w:rsidRDefault="00B13E14" w:rsidP="009A3C87">
      <w:pPr>
        <w:pStyle w:val="H1G"/>
      </w:pPr>
      <w:r>
        <w:tab/>
      </w:r>
      <w:r w:rsidR="00652C6B" w:rsidRPr="009A24A5">
        <w:t>2</w:t>
      </w:r>
      <w:r w:rsidR="00B228C3" w:rsidRPr="009A24A5">
        <w:t>.</w:t>
      </w:r>
      <w:r w:rsidR="00B228C3" w:rsidRPr="009A24A5">
        <w:tab/>
      </w:r>
      <w:r w:rsidR="00352936" w:rsidRPr="009A3C87">
        <w:t>Classification criteria and related hazard communication</w:t>
      </w:r>
    </w:p>
    <w:p w:rsidR="00652C6B" w:rsidRDefault="00B13E14" w:rsidP="009A3C87">
      <w:pPr>
        <w:pStyle w:val="H23G"/>
      </w:pPr>
      <w:r>
        <w:tab/>
      </w:r>
      <w:r w:rsidR="00652C6B">
        <w:t>(a)</w:t>
      </w:r>
      <w:r w:rsidR="00652C6B">
        <w:tab/>
        <w:t>Recommendations made by the Sub-Committee on its twenty-</w:t>
      </w:r>
      <w:r w:rsidR="004863E7">
        <w:t>ninth</w:t>
      </w:r>
      <w:r w:rsidR="00652C6B">
        <w:t xml:space="preserve">, </w:t>
      </w:r>
      <w:r w:rsidR="004863E7">
        <w:t>thirtieth</w:t>
      </w:r>
      <w:r w:rsidR="00652C6B">
        <w:t xml:space="preserve"> and </w:t>
      </w:r>
      <w:r w:rsidR="004863E7">
        <w:t>thirty</w:t>
      </w:r>
      <w:r w:rsidR="00652C6B">
        <w:t>-</w:t>
      </w:r>
      <w:r w:rsidR="004863E7">
        <w:t xml:space="preserve">first </w:t>
      </w:r>
      <w:r w:rsidR="00652C6B">
        <w:t>sessions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B13E14" w:rsidRPr="007F2AEF" w:rsidTr="009A3C87">
        <w:tc>
          <w:tcPr>
            <w:tcW w:w="3402" w:type="dxa"/>
            <w:shd w:val="clear" w:color="auto" w:fill="auto"/>
          </w:tcPr>
          <w:p w:rsidR="00B13E14" w:rsidRPr="00210F77" w:rsidRDefault="00B13E14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</w:t>
            </w:r>
            <w:r w:rsidRPr="00210F77">
              <w:t>1 (</w:t>
            </w:r>
            <w:r>
              <w:t>Secretariat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B13E14" w:rsidRPr="00210F77" w:rsidRDefault="00B13E14" w:rsidP="00140892">
            <w:pPr>
              <w:spacing w:after="120"/>
            </w:pPr>
            <w:r w:rsidRPr="009A3C87">
              <w:t>Consolidated list of amendments adopted by the Sub-Committee at its twenty-ninth, thirtieth and thirty-first sessions</w:t>
            </w:r>
          </w:p>
        </w:tc>
      </w:tr>
      <w:tr w:rsidR="00EE4742" w:rsidRPr="007F2AEF" w:rsidTr="00B13E14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14</w:t>
            </w:r>
            <w:r w:rsidRPr="00210F77">
              <w:t xml:space="preserve"> (</w:t>
            </w:r>
            <w:r>
              <w:t>AEISG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>
              <w:t>Chapter 2.1 of the Model Regulations – Class 1 definition Chapter 2.1 of the GHS – Class of explosives</w:t>
            </w:r>
          </w:p>
        </w:tc>
      </w:tr>
    </w:tbl>
    <w:p w:rsidR="008F5417" w:rsidRDefault="00B13E14" w:rsidP="009A3C87">
      <w:pPr>
        <w:pStyle w:val="H23G"/>
        <w:keepNext w:val="0"/>
        <w:keepLines w:val="0"/>
      </w:pPr>
      <w:r>
        <w:tab/>
      </w:r>
      <w:r w:rsidR="00352936" w:rsidRPr="009A24A5">
        <w:t>(</w:t>
      </w:r>
      <w:r w:rsidR="00C06686" w:rsidRPr="009A24A5">
        <w:t>b</w:t>
      </w:r>
      <w:r w:rsidR="00352936" w:rsidRPr="009A3C87">
        <w:t>)</w:t>
      </w:r>
      <w:r w:rsidR="00352936" w:rsidRPr="009A3C87">
        <w:tab/>
        <w:t xml:space="preserve">Work of the </w:t>
      </w:r>
      <w:r w:rsidR="001376CE">
        <w:t xml:space="preserve">Sub-Committee of Experts on the Transport of Dangerous Goods </w:t>
      </w:r>
      <w:r w:rsidR="001376CE">
        <w:br/>
        <w:t>(</w:t>
      </w:r>
      <w:r w:rsidR="005F1883" w:rsidRPr="009A24A5">
        <w:t>TDG Sub-Committee</w:t>
      </w:r>
      <w:r w:rsidR="001376CE">
        <w:t>)</w:t>
      </w:r>
      <w:r w:rsidR="00352936" w:rsidRPr="009A24A5">
        <w:t xml:space="preserve"> on matters of interest to the</w:t>
      </w:r>
      <w:r>
        <w:t xml:space="preserve"> </w:t>
      </w:r>
      <w:r w:rsidR="008F5417" w:rsidRPr="009A3C87">
        <w:t>GHS </w:t>
      </w:r>
      <w:r w:rsidR="00352936" w:rsidRPr="009A3C87">
        <w:t>Sub-Committee</w:t>
      </w:r>
      <w:r w:rsidR="005F1883" w:rsidRPr="006820E2">
        <w:rPr>
          <w:rStyle w:val="FootnoteReference"/>
        </w:rPr>
        <w:footnoteReference w:id="2"/>
      </w:r>
      <w:r w:rsidR="000C5D6F" w:rsidRPr="000C5D6F" w:rsidDel="005F1883">
        <w:t xml:space="preserve">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12</w:t>
            </w:r>
            <w:r w:rsidRPr="00210F77">
              <w:t xml:space="preserve"> (</w:t>
            </w:r>
            <w:r>
              <w:t>Belgium and Japan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210F77" w:rsidRDefault="00EE4742" w:rsidP="00140892">
            <w:pPr>
              <w:spacing w:after="120"/>
            </w:pPr>
            <w:r w:rsidRPr="009A3C87">
              <w:t>Proposal for modification of the classification criteria and hazard communication for flammable gases</w:t>
            </w:r>
          </w:p>
        </w:tc>
      </w:tr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13</w:t>
            </w:r>
            <w:r w:rsidRPr="00210F77">
              <w:t xml:space="preserve"> (</w:t>
            </w:r>
            <w:r>
              <w:t>Germany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 w:rsidRPr="009A3C87">
              <w:t>Corrections to the classification of flammable liquids</w:t>
            </w:r>
          </w:p>
        </w:tc>
      </w:tr>
      <w:tr w:rsidR="00EE4742" w:rsidRPr="007F2AEF" w:rsidTr="00140892">
        <w:tc>
          <w:tcPr>
            <w:tcW w:w="3402" w:type="dxa"/>
            <w:shd w:val="clear" w:color="auto" w:fill="auto"/>
          </w:tcPr>
          <w:p w:rsidR="00EE4742" w:rsidRPr="00210F77" w:rsidRDefault="00EE4742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15</w:t>
            </w:r>
            <w:r w:rsidRPr="00210F77">
              <w:t xml:space="preserve"> (</w:t>
            </w:r>
            <w:r>
              <w:t>France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EE4742" w:rsidRPr="009A24A5" w:rsidRDefault="00EE4742" w:rsidP="00140892">
            <w:pPr>
              <w:spacing w:after="120"/>
            </w:pPr>
            <w:r w:rsidRPr="00EE4742">
              <w:t>Test and criteria for oxidizing liquids (Test O.2) and oxidizing solids (Test O.3) - Final results from the Round Robin Testing programme and proposals for amendments to tests descriptions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EE4742">
            <w:pPr>
              <w:pStyle w:val="SingleTxtG"/>
              <w:spacing w:after="80" w:line="240" w:lineRule="auto"/>
              <w:ind w:left="0" w:right="0"/>
              <w:jc w:val="left"/>
            </w:pPr>
            <w:r w:rsidRPr="009A3C87">
              <w:t>ST/SG/AC.10/C.4/2016/16</w:t>
            </w:r>
            <w:r w:rsidRPr="009A3C87">
              <w:rPr>
                <w:rFonts w:hint="eastAsia"/>
              </w:rPr>
              <w:t> </w:t>
            </w:r>
            <w:r>
              <w:t>(Chairman of the Working Group on Explosives)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A6752" w:rsidRPr="00EE4742" w:rsidRDefault="00EA6752" w:rsidP="00140892">
            <w:pPr>
              <w:spacing w:after="120"/>
            </w:pPr>
            <w:r w:rsidRPr="003E7485">
              <w:t>Use of the Manual of Tests and Criteria in the context of GHS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B7267A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+ </w:t>
            </w:r>
            <w:r w:rsidR="00B7267A">
              <w:t xml:space="preserve">Informal </w:t>
            </w:r>
            <w:r>
              <w:t>document</w:t>
            </w:r>
            <w:r w:rsidR="00B7267A">
              <w:t xml:space="preserve"> INF.5 and Adds. 1 </w:t>
            </w:r>
            <w:r>
              <w:t>to 5</w:t>
            </w:r>
          </w:p>
        </w:tc>
        <w:tc>
          <w:tcPr>
            <w:tcW w:w="3969" w:type="dxa"/>
            <w:vMerge/>
            <w:shd w:val="clear" w:color="auto" w:fill="auto"/>
          </w:tcPr>
          <w:p w:rsidR="00EA6752" w:rsidRPr="003E7485" w:rsidRDefault="00EA6752" w:rsidP="00140892">
            <w:pPr>
              <w:spacing w:after="120"/>
            </w:pPr>
          </w:p>
        </w:tc>
      </w:tr>
    </w:tbl>
    <w:p w:rsidR="0021595B" w:rsidRDefault="00BD6F79" w:rsidP="009A3C87">
      <w:pPr>
        <w:pStyle w:val="SingleTxtG"/>
        <w:spacing w:before="120"/>
      </w:pPr>
      <w:r>
        <w:t xml:space="preserve">The Sub-Committee will </w:t>
      </w:r>
      <w:r w:rsidR="00276DBB">
        <w:t xml:space="preserve">also </w:t>
      </w:r>
      <w:r>
        <w:t xml:space="preserve">be informed about the outcome of the discussions of the TDG Sub-Committee on its </w:t>
      </w:r>
      <w:r w:rsidR="00276DBB">
        <w:t>fiftieth</w:t>
      </w:r>
      <w:r>
        <w:t xml:space="preserve"> session on any </w:t>
      </w:r>
      <w:r w:rsidR="00276DBB">
        <w:t xml:space="preserve">other </w:t>
      </w:r>
      <w:r>
        <w:t>matter of interest to the Sub-Committee.</w:t>
      </w:r>
      <w:r w:rsidR="00A224C9" w:rsidRPr="009A3C87">
        <w:rPr>
          <w:highlight w:val="yellow"/>
        </w:rPr>
        <w:t xml:space="preserve"> 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c</w:t>
      </w:r>
      <w:r w:rsidR="00352936" w:rsidRPr="00283442">
        <w:t>)</w:t>
      </w:r>
      <w:r w:rsidR="00352936" w:rsidRPr="00283442">
        <w:tab/>
        <w:t>Dust explosion hazards</w:t>
      </w:r>
      <w:r w:rsidR="00352936" w:rsidRPr="00276CA2">
        <w:t xml:space="preserve"> </w:t>
      </w:r>
    </w:p>
    <w:p w:rsidR="00BD6F79" w:rsidRDefault="00BD6F79" w:rsidP="009A3C87">
      <w:pPr>
        <w:pStyle w:val="SingleTxtG"/>
      </w:pPr>
      <w:r>
        <w:t xml:space="preserve">At the time of writing no document has been submitted under this agenda sub-item. </w:t>
      </w:r>
    </w:p>
    <w:p w:rsidR="00BD6F79" w:rsidRDefault="00BD6F79" w:rsidP="009A3C87">
      <w:pPr>
        <w:pStyle w:val="SingleTxtG"/>
      </w:pPr>
      <w:r>
        <w:t xml:space="preserve">The expert from the United States of America may wish to inform the Sub-Committee about the progress of work of the informal correspondence group on dust explosion hazards since the last session. For reference, see the report of the Sub-Committee on its </w:t>
      </w:r>
      <w:r w:rsidR="00697961">
        <w:t>thirty-</w:t>
      </w:r>
      <w:r w:rsidR="00E77A2F">
        <w:t>first</w:t>
      </w:r>
      <w:r w:rsidR="00697961">
        <w:t xml:space="preserve"> </w:t>
      </w:r>
      <w:r>
        <w:t>session (ST/SG/AC.10/C.4/</w:t>
      </w:r>
      <w:r w:rsidR="00697961">
        <w:t>62</w:t>
      </w:r>
      <w:r>
        <w:t xml:space="preserve">, paragraph </w:t>
      </w:r>
      <w:r w:rsidR="00697961">
        <w:t>15</w:t>
      </w:r>
      <w:r>
        <w:t>).</w:t>
      </w:r>
    </w:p>
    <w:p w:rsidR="00352936" w:rsidRDefault="00B13E14" w:rsidP="009A3C87">
      <w:pPr>
        <w:pStyle w:val="H23G"/>
        <w:keepNext w:val="0"/>
        <w:keepLines w:val="0"/>
      </w:pPr>
      <w:r>
        <w:lastRenderedPageBreak/>
        <w:tab/>
      </w:r>
      <w:r w:rsidR="00352936" w:rsidRPr="00283442">
        <w:t>(</w:t>
      </w:r>
      <w:r w:rsidR="00C06686">
        <w:t>d</w:t>
      </w:r>
      <w:r w:rsidR="00352936" w:rsidRPr="00283442">
        <w:t>)</w:t>
      </w:r>
      <w:r w:rsidR="00352936" w:rsidRPr="00283442">
        <w:tab/>
        <w:t>Practical classification issues</w:t>
      </w:r>
    </w:p>
    <w:p w:rsidR="00697961" w:rsidRDefault="00697961" w:rsidP="009A3C87">
      <w:pPr>
        <w:pStyle w:val="SingleTxtG"/>
      </w:pPr>
      <w:r>
        <w:t xml:space="preserve">At the time of writing no document has been submitted under this agenda sub-item. </w:t>
      </w:r>
    </w:p>
    <w:p w:rsidR="00697961" w:rsidRPr="009A24A5" w:rsidRDefault="00697961" w:rsidP="009A3C87">
      <w:pPr>
        <w:pStyle w:val="SingleTxtG"/>
      </w:pPr>
      <w:r>
        <w:t>The expert from the United States of America may wish to inform the Sub-Committee about the progress of work of the informal correspondence group on practical classification issues since the last session. For reference, see the report of the Sub-Committee on its thirty-</w:t>
      </w:r>
      <w:r w:rsidR="00E77A2F">
        <w:t>first</w:t>
      </w:r>
      <w:r>
        <w:t xml:space="preserve"> session (ST/SG/AC.10/C.4/62, paragraphs 16–1</w:t>
      </w:r>
      <w:r w:rsidR="00973EAA">
        <w:t>9</w:t>
      </w:r>
      <w:r>
        <w:t>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e</w:t>
      </w:r>
      <w:r w:rsidR="00352936" w:rsidRPr="00283442">
        <w:t>)</w:t>
      </w:r>
      <w:r w:rsidR="00352936" w:rsidRPr="00283442">
        <w:tab/>
        <w:t>Aspiration hazard: viscosity criterion for classification of mixtures</w:t>
      </w:r>
    </w:p>
    <w:p w:rsidR="00973EAA" w:rsidRDefault="00973EAA" w:rsidP="009A3C87">
      <w:pPr>
        <w:pStyle w:val="SingleTxtG"/>
      </w:pPr>
      <w:r>
        <w:t xml:space="preserve">At the time of writing no document has been submitted under this agenda sub-item. </w:t>
      </w:r>
    </w:p>
    <w:p w:rsidR="00973EAA" w:rsidRPr="009A24A5" w:rsidRDefault="00973EAA" w:rsidP="009A3C87">
      <w:pPr>
        <w:pStyle w:val="SingleTxtG"/>
      </w:pPr>
      <w:r>
        <w:t xml:space="preserve">The representatives of IPPIC and IMO may wish to inform the Sub-Committee about the progress of work on this issue since the last session. For reference, see the report of the Sub-Committee on its </w:t>
      </w:r>
      <w:r w:rsidR="00E77A2F">
        <w:t xml:space="preserve">thirty-first </w:t>
      </w:r>
      <w:r>
        <w:t>session (ST/SG/AC.10/C.4/62, paragraphs 20 and 21).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f</w:t>
      </w:r>
      <w:r w:rsidR="00352936" w:rsidRPr="00283442">
        <w:t>)</w:t>
      </w:r>
      <w:r w:rsidR="00352936" w:rsidRPr="00283442">
        <w:tab/>
      </w:r>
      <w:proofErr w:type="spellStart"/>
      <w:r w:rsidR="00352936" w:rsidRPr="00283442">
        <w:t>Nanomaterials</w:t>
      </w:r>
      <w:proofErr w:type="spellEnd"/>
    </w:p>
    <w:p w:rsidR="00EF6670" w:rsidRDefault="00EF6670" w:rsidP="00EF6670">
      <w:pPr>
        <w:pStyle w:val="SingleTxtG"/>
      </w:pPr>
      <w:r w:rsidRPr="00D2495A">
        <w:rPr>
          <w:rFonts w:eastAsia="MS Mincho"/>
          <w:lang w:val="en-US" w:eastAsia="ja-JP"/>
        </w:rPr>
        <w:t xml:space="preserve">At the time of writing no document has been submitted under this agenda sub-item. </w:t>
      </w:r>
      <w:r>
        <w:rPr>
          <w:rFonts w:eastAsia="MS Mincho"/>
          <w:lang w:val="en-US" w:eastAsia="ja-JP"/>
        </w:rPr>
        <w:t xml:space="preserve">The expert from France may wish to inform the Sub-Committee about the progress of work of the informal correspondence group on </w:t>
      </w:r>
      <w:proofErr w:type="spellStart"/>
      <w:r>
        <w:rPr>
          <w:rFonts w:eastAsia="MS Mincho"/>
          <w:lang w:val="en-US" w:eastAsia="ja-JP"/>
        </w:rPr>
        <w:t>nanomaterials</w:t>
      </w:r>
      <w:proofErr w:type="spellEnd"/>
      <w:r>
        <w:rPr>
          <w:rFonts w:eastAsia="MS Mincho"/>
          <w:lang w:val="en-US" w:eastAsia="ja-JP"/>
        </w:rPr>
        <w:t xml:space="preserve">. </w:t>
      </w:r>
      <w:r w:rsidRPr="00D2495A">
        <w:rPr>
          <w:rFonts w:eastAsia="MS Mincho"/>
          <w:lang w:val="en-US" w:eastAsia="ja-JP"/>
        </w:rPr>
        <w:t>For reference, see the report of the Sub-Committee on its thirtieth session (</w:t>
      </w:r>
      <w:r w:rsidRPr="00D2495A">
        <w:t>ST/SG/AC.10/C.4/60, paragraph</w:t>
      </w:r>
      <w:r w:rsidR="00276DBB">
        <w:t>s</w:t>
      </w:r>
      <w:r w:rsidRPr="00D2495A">
        <w:t xml:space="preserve"> </w:t>
      </w:r>
      <w:r w:rsidR="00276DBB">
        <w:t>24–26</w:t>
      </w:r>
      <w:r w:rsidRPr="00D2495A">
        <w:t>).</w:t>
      </w:r>
    </w:p>
    <w:p w:rsidR="00352936" w:rsidRDefault="00B13E14" w:rsidP="009A3C87">
      <w:pPr>
        <w:pStyle w:val="H23G"/>
        <w:keepNext w:val="0"/>
        <w:keepLines w:val="0"/>
      </w:pPr>
      <w:r>
        <w:tab/>
      </w:r>
      <w:r w:rsidR="00352936" w:rsidRPr="00283442">
        <w:t>(</w:t>
      </w:r>
      <w:r w:rsidR="00C06686">
        <w:t>g</w:t>
      </w:r>
      <w:r w:rsidR="00352936" w:rsidRPr="00283442">
        <w:t>)</w:t>
      </w:r>
      <w:r w:rsidR="00352936" w:rsidRPr="00283442">
        <w:tab/>
        <w:t>Miscellaneous</w:t>
      </w:r>
    </w:p>
    <w:p w:rsidR="00007A00" w:rsidRPr="009A24A5" w:rsidRDefault="00007A00" w:rsidP="009A3C87">
      <w:pPr>
        <w:pStyle w:val="SingleTxtG"/>
      </w:pPr>
      <w:r>
        <w:t>At the time of writing no document has been submitted under this agenda sub-item.</w:t>
      </w:r>
    </w:p>
    <w:p w:rsidR="00352936" w:rsidRPr="00283442" w:rsidRDefault="00B13E14" w:rsidP="009A3C87">
      <w:pPr>
        <w:pStyle w:val="H1G"/>
      </w:pPr>
      <w:r>
        <w:tab/>
      </w:r>
      <w:r w:rsidR="004863E7">
        <w:t>3</w:t>
      </w:r>
      <w:r w:rsidR="00352936" w:rsidRPr="00283442">
        <w:t>.</w:t>
      </w:r>
      <w:r w:rsidR="00352936" w:rsidRPr="00283442">
        <w:tab/>
        <w:t>Hazard communication issues</w:t>
      </w:r>
    </w:p>
    <w:p w:rsidR="003E7485" w:rsidRDefault="00B13E14" w:rsidP="009A3C87">
      <w:pPr>
        <w:pStyle w:val="H23G"/>
      </w:pPr>
      <w:r>
        <w:tab/>
      </w:r>
      <w:r w:rsidR="00352936" w:rsidRPr="00283442">
        <w:t>(</w:t>
      </w:r>
      <w:r w:rsidR="00352936">
        <w:t>a</w:t>
      </w:r>
      <w:r w:rsidR="00352936" w:rsidRPr="00283442">
        <w:t>)</w:t>
      </w:r>
      <w:r w:rsidR="00352936" w:rsidRPr="00283442">
        <w:tab/>
        <w:t xml:space="preserve">Labelling of small </w:t>
      </w:r>
      <w:proofErr w:type="spellStart"/>
      <w:r w:rsidR="00352936" w:rsidRPr="00283442">
        <w:t>packagings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19</w:t>
            </w:r>
            <w:r w:rsidRPr="00210F77">
              <w:t xml:space="preserve"> (</w:t>
            </w:r>
            <w:r>
              <w:t>CEFIC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>
              <w:t xml:space="preserve">Labelling of small </w:t>
            </w:r>
            <w:proofErr w:type="spellStart"/>
            <w:r>
              <w:t>packagings</w:t>
            </w:r>
            <w:proofErr w:type="spellEnd"/>
          </w:p>
        </w:tc>
      </w:tr>
    </w:tbl>
    <w:p w:rsidR="003E7485" w:rsidRDefault="00B13E14" w:rsidP="009A3C87">
      <w:pPr>
        <w:pStyle w:val="H23G"/>
      </w:pPr>
      <w:r>
        <w:tab/>
      </w:r>
      <w:r w:rsidR="00352936" w:rsidRPr="00283442">
        <w:t>(</w:t>
      </w:r>
      <w:r w:rsidR="00352936">
        <w:t>b</w:t>
      </w:r>
      <w:r w:rsidR="00352936" w:rsidRPr="00283442">
        <w:t>)</w:t>
      </w:r>
      <w:r w:rsidR="00352936"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17</w:t>
            </w:r>
            <w:r w:rsidRPr="00210F77">
              <w:t xml:space="preserve"> (</w:t>
            </w:r>
            <w:r>
              <w:t>United Kingdom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 w:rsidRPr="003E7485">
              <w:t>Proposed changes to sections 2 and 3 of Annex 3 of the GHS</w:t>
            </w:r>
          </w:p>
        </w:tc>
      </w:tr>
      <w:tr w:rsidR="00EA6752" w:rsidRPr="007F2AEF" w:rsidTr="00140892">
        <w:tc>
          <w:tcPr>
            <w:tcW w:w="3402" w:type="dxa"/>
            <w:shd w:val="clear" w:color="auto" w:fill="auto"/>
          </w:tcPr>
          <w:p w:rsidR="00EA6752" w:rsidRPr="00210F77" w:rsidRDefault="00EA6752" w:rsidP="001F70E7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+ </w:t>
            </w:r>
            <w:r w:rsidR="001F70E7">
              <w:t>Informal</w:t>
            </w:r>
            <w:r>
              <w:t xml:space="preserve"> document INF.3 and Adds. 1 and 2</w:t>
            </w:r>
          </w:p>
        </w:tc>
        <w:tc>
          <w:tcPr>
            <w:tcW w:w="3969" w:type="dxa"/>
            <w:shd w:val="clear" w:color="auto" w:fill="auto"/>
          </w:tcPr>
          <w:p w:rsidR="00EA6752" w:rsidRPr="003E7485" w:rsidRDefault="00EA6752" w:rsidP="00140892">
            <w:pPr>
              <w:spacing w:after="120"/>
            </w:pPr>
            <w:r w:rsidRPr="00EA6752">
              <w:t>Proposed changes to sections 2 and 3 of Annex 3 of the GHS in document ST/SG/AC.10/C.4/2016/17</w:t>
            </w:r>
          </w:p>
        </w:tc>
      </w:tr>
      <w:tr w:rsidR="00007A00" w:rsidRPr="007F2AEF" w:rsidTr="00140892">
        <w:tc>
          <w:tcPr>
            <w:tcW w:w="3402" w:type="dxa"/>
            <w:shd w:val="clear" w:color="auto" w:fill="auto"/>
          </w:tcPr>
          <w:p w:rsidR="00007A00" w:rsidRPr="00210F77" w:rsidRDefault="00007A00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20</w:t>
            </w:r>
            <w:r w:rsidRPr="00210F77">
              <w:t xml:space="preserve"> (</w:t>
            </w:r>
            <w:r>
              <w:t>European Union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007A00" w:rsidRPr="003E7485" w:rsidRDefault="00007A00" w:rsidP="00140892">
            <w:pPr>
              <w:spacing w:after="120"/>
            </w:pPr>
            <w:r w:rsidRPr="00007A00">
              <w:t>Precautionary statements on medical advice/attention: correction of linguistic discrepancies</w:t>
            </w:r>
          </w:p>
        </w:tc>
      </w:tr>
    </w:tbl>
    <w:p w:rsidR="00B24464" w:rsidRPr="0078130F" w:rsidRDefault="00B24464" w:rsidP="00B24464">
      <w:pPr>
        <w:pStyle w:val="SingleTxtG"/>
        <w:spacing w:before="120"/>
      </w:pPr>
      <w:r w:rsidRPr="005253DD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5253DD">
        <w:t>of the informal correspondence group on the improvement of annexes 1- 3 since the last session.</w:t>
      </w:r>
      <w:r w:rsidRPr="005253DD">
        <w:rPr>
          <w:rFonts w:eastAsia="MS Mincho"/>
          <w:lang w:val="en-US" w:eastAsia="ja-JP"/>
        </w:rPr>
        <w:t xml:space="preserve"> For reference, see the report of the Sub-Committee on its </w:t>
      </w:r>
      <w:r>
        <w:rPr>
          <w:rFonts w:eastAsia="MS Mincho"/>
          <w:lang w:val="en-US" w:eastAsia="ja-JP"/>
        </w:rPr>
        <w:t>thirty-first</w:t>
      </w:r>
      <w:r w:rsidRPr="005253DD">
        <w:rPr>
          <w:rFonts w:eastAsia="MS Mincho"/>
          <w:lang w:val="en-US" w:eastAsia="ja-JP"/>
        </w:rPr>
        <w:t xml:space="preserve"> session (</w:t>
      </w:r>
      <w:r w:rsidRPr="005253DD">
        <w:t>ST/SG/AC.10/C.4/</w:t>
      </w:r>
      <w:r>
        <w:t>62</w:t>
      </w:r>
      <w:r w:rsidRPr="005253DD">
        <w:t xml:space="preserve">, paragraph </w:t>
      </w:r>
      <w:r>
        <w:t>33</w:t>
      </w:r>
      <w:r w:rsidRPr="005253DD">
        <w:t>).</w:t>
      </w:r>
    </w:p>
    <w:p w:rsidR="003E7485" w:rsidRDefault="009A3C87" w:rsidP="009A3C87">
      <w:pPr>
        <w:pStyle w:val="H23G"/>
      </w:pPr>
      <w:r>
        <w:lastRenderedPageBreak/>
        <w:tab/>
      </w:r>
      <w:r w:rsidR="00352936" w:rsidRPr="00283442">
        <w:t>(</w:t>
      </w:r>
      <w:r w:rsidR="00352936">
        <w:t>c</w:t>
      </w:r>
      <w:r w:rsidR="00352936" w:rsidRPr="00283442">
        <w:t>)</w:t>
      </w:r>
      <w:r w:rsidR="00352936" w:rsidRPr="00283442"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3C87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21</w:t>
            </w:r>
            <w:r w:rsidRPr="00210F77">
              <w:t xml:space="preserve"> (</w:t>
            </w:r>
            <w:r>
              <w:t>ICMM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9A3C87">
            <w:pPr>
              <w:keepNext/>
              <w:keepLines/>
              <w:spacing w:after="120"/>
            </w:pPr>
            <w:r w:rsidRPr="003E7485">
              <w:t>Amendments to Annex 4 (sub-section A4.3.17.7) of the GHS on guidance on the preparation of safety data sheets</w:t>
            </w:r>
          </w:p>
        </w:tc>
      </w:tr>
    </w:tbl>
    <w:p w:rsidR="00352936" w:rsidRPr="00283442" w:rsidRDefault="00B13E14" w:rsidP="009A3C87">
      <w:pPr>
        <w:pStyle w:val="H1G"/>
      </w:pPr>
      <w:r>
        <w:tab/>
      </w:r>
      <w:r w:rsidR="004863E7">
        <w:t>4</w:t>
      </w:r>
      <w:r w:rsidR="00352936" w:rsidRPr="00283442">
        <w:t>.</w:t>
      </w:r>
      <w:r w:rsidR="00352936" w:rsidRPr="00283442">
        <w:tab/>
        <w:t>Implementation of the GHS</w:t>
      </w:r>
    </w:p>
    <w:p w:rsidR="003E7485" w:rsidRDefault="00B13E14" w:rsidP="009A3C87">
      <w:pPr>
        <w:pStyle w:val="H23G"/>
      </w:pPr>
      <w:r>
        <w:tab/>
      </w:r>
      <w:r w:rsidR="00352936" w:rsidRPr="00283442">
        <w:t>(a)</w:t>
      </w:r>
      <w:r w:rsidR="00352936" w:rsidRPr="00283442">
        <w:tab/>
        <w:t>Development of a list of chemicals classified in accordance with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3E7485" w:rsidRPr="007F2AEF" w:rsidTr="00140892">
        <w:tc>
          <w:tcPr>
            <w:tcW w:w="3402" w:type="dxa"/>
            <w:shd w:val="clear" w:color="auto" w:fill="auto"/>
          </w:tcPr>
          <w:p w:rsidR="003E7485" w:rsidRPr="00210F77" w:rsidRDefault="003E7485" w:rsidP="009A24A5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18</w:t>
            </w:r>
            <w:r w:rsidRPr="00210F77">
              <w:t xml:space="preserve"> (</w:t>
            </w:r>
            <w:r>
              <w:t>OECD</w:t>
            </w:r>
            <w:r w:rsidRPr="00210F77">
              <w:t>)</w:t>
            </w:r>
          </w:p>
        </w:tc>
        <w:tc>
          <w:tcPr>
            <w:tcW w:w="3969" w:type="dxa"/>
            <w:shd w:val="clear" w:color="auto" w:fill="auto"/>
          </w:tcPr>
          <w:p w:rsidR="003E7485" w:rsidRPr="00210F77" w:rsidRDefault="003E7485" w:rsidP="00140892">
            <w:pPr>
              <w:spacing w:after="120"/>
            </w:pPr>
            <w:r w:rsidRPr="003E7485">
              <w:t>Highlights of the report on the pilot project on assessing the potential development of a global list of classified chemicals</w:t>
            </w:r>
          </w:p>
        </w:tc>
      </w:tr>
    </w:tbl>
    <w:p w:rsidR="00352936" w:rsidRDefault="002350FC" w:rsidP="002350FC">
      <w:pPr>
        <w:pStyle w:val="SingleTxtG"/>
      </w:pPr>
      <w:r>
        <w:t>The expert from the United States may wish to inform the Sub-Committee about the progress of work of the informal correspondence group since the last session. For reference, see the report of the Sub-Committee on its thirty-first session (ST/SG/AC.10/C.4/62, paragraphs 36 and 37).</w:t>
      </w:r>
    </w:p>
    <w:p w:rsidR="00352936" w:rsidRDefault="00B13E14" w:rsidP="009A3C87">
      <w:pPr>
        <w:pStyle w:val="H23G"/>
      </w:pPr>
      <w:r>
        <w:tab/>
      </w:r>
      <w:r w:rsidR="00352936" w:rsidRPr="00283442">
        <w:t>(b)</w:t>
      </w:r>
      <w:r w:rsidR="00352936" w:rsidRPr="00283442">
        <w:tab/>
        <w:t>Reports on the status of implementation</w:t>
      </w:r>
    </w:p>
    <w:p w:rsidR="002350FC" w:rsidRDefault="002350FC" w:rsidP="009A3C87">
      <w:pPr>
        <w:pStyle w:val="SingleTxtG"/>
      </w:pPr>
      <w:r>
        <w:t>Experts, observers and international organizations may wish to inform the Sub-Committee about progress in the GHS implementation in their respective countries or areas of work.</w:t>
      </w:r>
    </w:p>
    <w:p w:rsidR="00352936" w:rsidRDefault="00B13E14" w:rsidP="009A3C87">
      <w:pPr>
        <w:pStyle w:val="H23G"/>
      </w:pPr>
      <w:r>
        <w:tab/>
      </w:r>
      <w:r w:rsidR="00352936" w:rsidRPr="00283442">
        <w:t>(c)</w:t>
      </w:r>
      <w:r w:rsidR="00352936" w:rsidRPr="00283442">
        <w:tab/>
        <w:t>Cooperation with other bodies or international organizations</w:t>
      </w:r>
    </w:p>
    <w:p w:rsidR="002350FC" w:rsidRDefault="002350FC" w:rsidP="002350FC">
      <w:pPr>
        <w:pStyle w:val="SingleTxtG"/>
      </w:pPr>
      <w:r>
        <w:t>At the time of writing no document has been submitted under this agenda sub-item.</w:t>
      </w:r>
    </w:p>
    <w:p w:rsidR="00352936" w:rsidRDefault="00B13E14" w:rsidP="009A3C87">
      <w:pPr>
        <w:pStyle w:val="H23G"/>
      </w:pPr>
      <w:r>
        <w:tab/>
      </w:r>
      <w:r w:rsidR="00352936" w:rsidRPr="00283442">
        <w:t>(d)</w:t>
      </w:r>
      <w:r w:rsidR="00352936" w:rsidRPr="00283442">
        <w:tab/>
        <w:t>Miscellaneous</w:t>
      </w:r>
    </w:p>
    <w:p w:rsidR="002350FC" w:rsidRDefault="002350FC" w:rsidP="002350FC">
      <w:pPr>
        <w:pStyle w:val="SingleTxtG"/>
      </w:pPr>
      <w:r>
        <w:t>At the time of writing no document has been submitted under this agenda sub-item.</w:t>
      </w:r>
    </w:p>
    <w:p w:rsidR="00352936" w:rsidRDefault="00B13E14" w:rsidP="009A3C87">
      <w:pPr>
        <w:pStyle w:val="H1G"/>
      </w:pPr>
      <w:r>
        <w:tab/>
      </w:r>
      <w:r w:rsidR="004863E7">
        <w:t>5</w:t>
      </w:r>
      <w:r w:rsidR="00352936" w:rsidRPr="00283442">
        <w:t>.</w:t>
      </w:r>
      <w:r w:rsidR="00352936" w:rsidRPr="00283442">
        <w:tab/>
        <w:t>Development of guidance on the application of GHS criteria</w:t>
      </w:r>
    </w:p>
    <w:p w:rsidR="002350FC" w:rsidRDefault="002350FC" w:rsidP="002350FC">
      <w:pPr>
        <w:pStyle w:val="SingleTxtG"/>
      </w:pPr>
      <w:r>
        <w:t>At the time of writing no document has been submitted under this agenda item.</w:t>
      </w:r>
    </w:p>
    <w:p w:rsidR="00352936" w:rsidRDefault="00B13E14" w:rsidP="009A3C87">
      <w:pPr>
        <w:pStyle w:val="H1G"/>
      </w:pPr>
      <w:r>
        <w:tab/>
      </w:r>
      <w:r w:rsidR="004863E7">
        <w:t>6</w:t>
      </w:r>
      <w:r w:rsidR="00352936" w:rsidRPr="00283442">
        <w:t>.</w:t>
      </w:r>
      <w:r w:rsidR="00352936" w:rsidRPr="00283442">
        <w:tab/>
        <w:t>Capacity building</w:t>
      </w:r>
    </w:p>
    <w:p w:rsidR="002350FC" w:rsidRDefault="002350FC" w:rsidP="002350FC">
      <w:pPr>
        <w:pStyle w:val="SingleTxtG"/>
      </w:pPr>
      <w:r>
        <w:t>Experts, observers and international organizations may wish to inform the Sub-Committee of any capacity-building activities or projects undertaken in relation to the GHS.</w:t>
      </w:r>
    </w:p>
    <w:p w:rsidR="004863E7" w:rsidRDefault="00B13E14" w:rsidP="009A3C87">
      <w:pPr>
        <w:pStyle w:val="H1G"/>
      </w:pPr>
      <w:r>
        <w:tab/>
      </w:r>
      <w:r w:rsidR="004863E7">
        <w:t>7.</w:t>
      </w:r>
      <w:r w:rsidR="004863E7">
        <w:tab/>
        <w:t xml:space="preserve">Programme of work for the biennium </w:t>
      </w:r>
      <w:r w:rsidR="00C06686">
        <w:t>2017</w:t>
      </w:r>
      <w:r w:rsidR="004863E7">
        <w:t>–</w:t>
      </w:r>
      <w:r w:rsidR="00C06686">
        <w:t>2018</w:t>
      </w:r>
    </w:p>
    <w:p w:rsidR="006928D3" w:rsidRPr="009A24A5" w:rsidRDefault="006928D3" w:rsidP="009A3C87">
      <w:pPr>
        <w:pStyle w:val="SingleTxtG"/>
      </w:pPr>
      <w:r>
        <w:t>The Sub-Committee may wish to consider proposals for its programme of work for the period 2017–2018.</w:t>
      </w:r>
    </w:p>
    <w:p w:rsidR="004863E7" w:rsidRDefault="00B13E14" w:rsidP="009A3C87">
      <w:pPr>
        <w:pStyle w:val="H1G"/>
      </w:pPr>
      <w:r>
        <w:tab/>
      </w:r>
      <w:r w:rsidR="004863E7">
        <w:t xml:space="preserve">8. </w:t>
      </w:r>
      <w:r w:rsidR="004863E7">
        <w:tab/>
        <w:t>Draft Resolution 201</w:t>
      </w:r>
      <w:r w:rsidR="00C06686">
        <w:t>7</w:t>
      </w:r>
      <w:r w:rsidR="004863E7">
        <w:t>/… of the Economic and Social Council</w:t>
      </w:r>
    </w:p>
    <w:p w:rsidR="006928D3" w:rsidRDefault="006928D3" w:rsidP="009A3C87">
      <w:pPr>
        <w:pStyle w:val="SingleTxtG"/>
      </w:pPr>
      <w:r>
        <w:t>The Sub-Committee may wish to consider a draft resolution to be submitted to the Economic and Social Council for adoption at its 2017 session on the basis of a draft prepared by the secretariat.</w:t>
      </w:r>
    </w:p>
    <w:p w:rsidR="004863E7" w:rsidRDefault="00B13E14" w:rsidP="009A3C87">
      <w:pPr>
        <w:pStyle w:val="H1G"/>
      </w:pPr>
      <w:r>
        <w:lastRenderedPageBreak/>
        <w:tab/>
      </w:r>
      <w:r w:rsidR="004863E7">
        <w:t xml:space="preserve">9. </w:t>
      </w:r>
      <w:r w:rsidR="004863E7">
        <w:tab/>
        <w:t>Election of officers for the biennium 2017–2018</w:t>
      </w:r>
    </w:p>
    <w:p w:rsidR="006928D3" w:rsidRDefault="006928D3" w:rsidP="006928D3">
      <w:pPr>
        <w:pStyle w:val="SingleTxtG"/>
      </w:pPr>
      <w:r>
        <w:t>In accordance with the established practice, the Sub-Committee will be invited to elect officers for the biennium 2017–2018 among the representatives of its member countries.</w:t>
      </w:r>
    </w:p>
    <w:p w:rsidR="00352936" w:rsidRDefault="002350FC" w:rsidP="009A3C87">
      <w:pPr>
        <w:pStyle w:val="H1G"/>
      </w:pPr>
      <w:r>
        <w:tab/>
      </w:r>
      <w:r w:rsidR="004863E7">
        <w:t>10</w:t>
      </w:r>
      <w:r w:rsidR="00352936" w:rsidRPr="00283442">
        <w:t>.</w:t>
      </w:r>
      <w:r w:rsidR="00352936" w:rsidRPr="00283442">
        <w:tab/>
        <w:t>Other business</w:t>
      </w:r>
    </w:p>
    <w:p w:rsidR="006928D3" w:rsidRDefault="006928D3" w:rsidP="006928D3">
      <w:pPr>
        <w:pStyle w:val="SingleTxtG"/>
      </w:pPr>
      <w:r>
        <w:t>At the time of writing no document has been submitted under this agenda item.</w:t>
      </w:r>
    </w:p>
    <w:p w:rsidR="00352936" w:rsidRDefault="009A3C87" w:rsidP="009A3C87">
      <w:pPr>
        <w:pStyle w:val="H1G"/>
      </w:pPr>
      <w:r>
        <w:tab/>
      </w:r>
      <w:r w:rsidR="004863E7">
        <w:t>11</w:t>
      </w:r>
      <w:r w:rsidR="00352936" w:rsidRPr="00283442">
        <w:t>.</w:t>
      </w:r>
      <w:r w:rsidR="00352936" w:rsidRPr="00283442">
        <w:tab/>
        <w:t>Adoption of the report</w:t>
      </w:r>
    </w:p>
    <w:p w:rsidR="002350FC" w:rsidRDefault="002350FC" w:rsidP="009A3C87">
      <w:pPr>
        <w:pStyle w:val="SingleTxtG"/>
      </w:pPr>
      <w:r>
        <w:t>In accordance with established practice, the Sub-Committee may wish to adopt the report on its thirty-second session on the basis of a draft prepared by the secretariat.</w:t>
      </w:r>
    </w:p>
    <w:p w:rsidR="00352936" w:rsidRPr="00686549" w:rsidRDefault="00352936" w:rsidP="003529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2936" w:rsidRPr="00686549" w:rsidSect="005E0E5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5E" w:rsidRDefault="005E0E5E"/>
  </w:endnote>
  <w:endnote w:type="continuationSeparator" w:id="0">
    <w:p w:rsidR="005E0E5E" w:rsidRDefault="005E0E5E"/>
  </w:endnote>
  <w:endnote w:type="continuationNotice" w:id="1">
    <w:p w:rsidR="005E0E5E" w:rsidRDefault="005E0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Footer"/>
      <w:tabs>
        <w:tab w:val="right" w:pos="9638"/>
      </w:tabs>
      <w:rPr>
        <w:sz w:val="18"/>
      </w:rPr>
    </w:pPr>
    <w:r w:rsidRPr="005E0E5E">
      <w:rPr>
        <w:b/>
        <w:sz w:val="18"/>
      </w:rPr>
      <w:fldChar w:fldCharType="begin"/>
    </w:r>
    <w:r w:rsidRPr="005E0E5E">
      <w:rPr>
        <w:b/>
        <w:sz w:val="18"/>
      </w:rPr>
      <w:instrText xml:space="preserve"> PAGE  \* MERGEFORMAT </w:instrText>
    </w:r>
    <w:r w:rsidRPr="005E0E5E">
      <w:rPr>
        <w:b/>
        <w:sz w:val="18"/>
      </w:rPr>
      <w:fldChar w:fldCharType="separate"/>
    </w:r>
    <w:r w:rsidR="000B5751">
      <w:rPr>
        <w:b/>
        <w:noProof/>
        <w:sz w:val="18"/>
      </w:rPr>
      <w:t>4</w:t>
    </w:r>
    <w:r w:rsidRPr="005E0E5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Footer"/>
      <w:tabs>
        <w:tab w:val="right" w:pos="9638"/>
      </w:tabs>
      <w:rPr>
        <w:b/>
        <w:sz w:val="18"/>
      </w:rPr>
    </w:pPr>
    <w:r>
      <w:tab/>
    </w:r>
    <w:r w:rsidRPr="005E0E5E">
      <w:rPr>
        <w:b/>
        <w:sz w:val="18"/>
      </w:rPr>
      <w:fldChar w:fldCharType="begin"/>
    </w:r>
    <w:r w:rsidRPr="005E0E5E">
      <w:rPr>
        <w:b/>
        <w:sz w:val="18"/>
      </w:rPr>
      <w:instrText xml:space="preserve"> PAGE  \* MERGEFORMAT </w:instrText>
    </w:r>
    <w:r w:rsidRPr="005E0E5E">
      <w:rPr>
        <w:b/>
        <w:sz w:val="18"/>
      </w:rPr>
      <w:fldChar w:fldCharType="separate"/>
    </w:r>
    <w:r w:rsidR="000B5751">
      <w:rPr>
        <w:b/>
        <w:noProof/>
        <w:sz w:val="18"/>
      </w:rPr>
      <w:t>5</w:t>
    </w:r>
    <w:r w:rsidRPr="005E0E5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5E" w:rsidRPr="000B175B" w:rsidRDefault="005E0E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0E5E" w:rsidRPr="00FC68B7" w:rsidRDefault="005E0E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0E5E" w:rsidRDefault="005E0E5E"/>
  </w:footnote>
  <w:footnote w:id="2">
    <w:p w:rsidR="005F1883" w:rsidRPr="00B17564" w:rsidRDefault="000C5D6F">
      <w:pPr>
        <w:pStyle w:val="FootnoteText"/>
        <w:rPr>
          <w:lang w:val="fr-CH"/>
        </w:rPr>
      </w:pPr>
      <w:r>
        <w:tab/>
      </w:r>
      <w:r w:rsidR="005F1883" w:rsidRPr="009A24A5">
        <w:rPr>
          <w:rStyle w:val="FootnoteReference"/>
        </w:rPr>
        <w:footnoteRef/>
      </w:r>
      <w:r w:rsidR="005F1883" w:rsidRPr="009A24A5">
        <w:tab/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(see ST/SG/AC.10/C.4/2, par. 43 (b)). At its </w:t>
      </w:r>
      <w:r w:rsidR="004863E7" w:rsidRPr="009A24A5">
        <w:t>fiftieth</w:t>
      </w:r>
      <w:r w:rsidR="005F1883" w:rsidRPr="009A24A5">
        <w:t xml:space="preserve"> session, the TDG Sub-Committee will consider issues relating to the GHS under item </w:t>
      </w:r>
      <w:r w:rsidR="000B5724" w:rsidRPr="009A24A5">
        <w:t xml:space="preserve">7 </w:t>
      </w:r>
      <w:r w:rsidR="005F1883" w:rsidRPr="009A24A5">
        <w:t>of its provisional agenda (see ST/SG/AC.10/C.3/</w:t>
      </w:r>
      <w:r w:rsidR="004863E7" w:rsidRPr="009A24A5">
        <w:t>99</w:t>
      </w:r>
      <w:r w:rsidR="009A24A5" w:rsidRPr="009A3C87">
        <w:t xml:space="preserve"> and Add.1</w:t>
      </w:r>
      <w:r w:rsidR="004863E7" w:rsidRPr="009A24A5">
        <w:t xml:space="preserve"> </w:t>
      </w:r>
      <w:r w:rsidR="005F1883" w:rsidRPr="009A24A5">
        <w:t>for more details). GHS</w:t>
      </w:r>
      <w:r w:rsidR="0089435B" w:rsidRPr="009A24A5">
        <w:t> </w:t>
      </w:r>
      <w:r w:rsidR="005F1883" w:rsidRPr="009A24A5">
        <w:t>Sub-Committee delegates interested in participating in the work of the TDG Sub-Committee on these issues should register for both the TDG and the GHS sub-committee sessions.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>
    <w:pPr>
      <w:pStyle w:val="Header"/>
    </w:pPr>
    <w:r>
      <w:t>ST/SG/AC.10/C.4/</w:t>
    </w:r>
    <w:r w:rsidR="00652C6B">
      <w:t>63</w:t>
    </w:r>
    <w:r w:rsidR="00B13E14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5E" w:rsidRPr="005E0E5E" w:rsidRDefault="005E0E5E" w:rsidP="005E0E5E">
    <w:pPr>
      <w:pStyle w:val="Header"/>
      <w:jc w:val="right"/>
    </w:pPr>
    <w:r>
      <w:t>ST/SG/AC.10/C.4/</w:t>
    </w:r>
    <w:r w:rsidR="00713CB2">
      <w:t>63/Add.1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E"/>
    <w:rsid w:val="00007A00"/>
    <w:rsid w:val="00050F6B"/>
    <w:rsid w:val="00057FD8"/>
    <w:rsid w:val="00072C8C"/>
    <w:rsid w:val="00091419"/>
    <w:rsid w:val="000931C0"/>
    <w:rsid w:val="000A6FBB"/>
    <w:rsid w:val="000B175B"/>
    <w:rsid w:val="000B3A0F"/>
    <w:rsid w:val="000B5724"/>
    <w:rsid w:val="000B5751"/>
    <w:rsid w:val="000B6960"/>
    <w:rsid w:val="000C5D6F"/>
    <w:rsid w:val="000E0415"/>
    <w:rsid w:val="0011582C"/>
    <w:rsid w:val="00117787"/>
    <w:rsid w:val="00127EAD"/>
    <w:rsid w:val="00131D42"/>
    <w:rsid w:val="001376CE"/>
    <w:rsid w:val="001633FB"/>
    <w:rsid w:val="0017452E"/>
    <w:rsid w:val="00181726"/>
    <w:rsid w:val="001B4B04"/>
    <w:rsid w:val="001B768D"/>
    <w:rsid w:val="001C6663"/>
    <w:rsid w:val="001C7895"/>
    <w:rsid w:val="001D26DF"/>
    <w:rsid w:val="001D2FDC"/>
    <w:rsid w:val="001F70E7"/>
    <w:rsid w:val="00211E0B"/>
    <w:rsid w:val="0021595B"/>
    <w:rsid w:val="002309A7"/>
    <w:rsid w:val="002350FC"/>
    <w:rsid w:val="00237785"/>
    <w:rsid w:val="00241466"/>
    <w:rsid w:val="00251F60"/>
    <w:rsid w:val="002725CA"/>
    <w:rsid w:val="00276DBB"/>
    <w:rsid w:val="002807DD"/>
    <w:rsid w:val="00280EB7"/>
    <w:rsid w:val="002B1CDA"/>
    <w:rsid w:val="0030789E"/>
    <w:rsid w:val="003107FA"/>
    <w:rsid w:val="00322686"/>
    <w:rsid w:val="003229D8"/>
    <w:rsid w:val="00352936"/>
    <w:rsid w:val="0039277A"/>
    <w:rsid w:val="003972E0"/>
    <w:rsid w:val="003C2CC4"/>
    <w:rsid w:val="003C38B3"/>
    <w:rsid w:val="003D4B23"/>
    <w:rsid w:val="003E7485"/>
    <w:rsid w:val="00413400"/>
    <w:rsid w:val="00426B46"/>
    <w:rsid w:val="004325CB"/>
    <w:rsid w:val="00437F3F"/>
    <w:rsid w:val="00446DE4"/>
    <w:rsid w:val="004863E7"/>
    <w:rsid w:val="004B2C9D"/>
    <w:rsid w:val="00527910"/>
    <w:rsid w:val="005420F2"/>
    <w:rsid w:val="00567E43"/>
    <w:rsid w:val="00585B7E"/>
    <w:rsid w:val="00590144"/>
    <w:rsid w:val="005969DA"/>
    <w:rsid w:val="005B3DB3"/>
    <w:rsid w:val="005E0E5E"/>
    <w:rsid w:val="005F1883"/>
    <w:rsid w:val="00611FC4"/>
    <w:rsid w:val="006176FB"/>
    <w:rsid w:val="0063419C"/>
    <w:rsid w:val="00640B26"/>
    <w:rsid w:val="00652C6B"/>
    <w:rsid w:val="00663249"/>
    <w:rsid w:val="00666C7A"/>
    <w:rsid w:val="006820E2"/>
    <w:rsid w:val="006928D3"/>
    <w:rsid w:val="00697961"/>
    <w:rsid w:val="006A7392"/>
    <w:rsid w:val="006C0D34"/>
    <w:rsid w:val="006E564B"/>
    <w:rsid w:val="00713CB2"/>
    <w:rsid w:val="0072632A"/>
    <w:rsid w:val="00790791"/>
    <w:rsid w:val="007B6BA5"/>
    <w:rsid w:val="007C3390"/>
    <w:rsid w:val="007C4F4B"/>
    <w:rsid w:val="007F6611"/>
    <w:rsid w:val="008175E9"/>
    <w:rsid w:val="008242D7"/>
    <w:rsid w:val="00871FD5"/>
    <w:rsid w:val="0089435B"/>
    <w:rsid w:val="008979B1"/>
    <w:rsid w:val="008A6B25"/>
    <w:rsid w:val="008A6C4F"/>
    <w:rsid w:val="008D4680"/>
    <w:rsid w:val="008E0E46"/>
    <w:rsid w:val="008F5417"/>
    <w:rsid w:val="009042F7"/>
    <w:rsid w:val="00945A5D"/>
    <w:rsid w:val="009502B5"/>
    <w:rsid w:val="00963CBA"/>
    <w:rsid w:val="00973EAA"/>
    <w:rsid w:val="0099124E"/>
    <w:rsid w:val="00991261"/>
    <w:rsid w:val="0099386C"/>
    <w:rsid w:val="009A24A5"/>
    <w:rsid w:val="009A3C87"/>
    <w:rsid w:val="009D1E44"/>
    <w:rsid w:val="009F0F06"/>
    <w:rsid w:val="00A1427D"/>
    <w:rsid w:val="00A224C9"/>
    <w:rsid w:val="00A27E9F"/>
    <w:rsid w:val="00A4086E"/>
    <w:rsid w:val="00A43CC7"/>
    <w:rsid w:val="00A5117A"/>
    <w:rsid w:val="00A56BA9"/>
    <w:rsid w:val="00A7115D"/>
    <w:rsid w:val="00A72F22"/>
    <w:rsid w:val="00A748A6"/>
    <w:rsid w:val="00A75EC9"/>
    <w:rsid w:val="00A81FD3"/>
    <w:rsid w:val="00A879A4"/>
    <w:rsid w:val="00AB72F6"/>
    <w:rsid w:val="00B06178"/>
    <w:rsid w:val="00B13E14"/>
    <w:rsid w:val="00B1641C"/>
    <w:rsid w:val="00B17564"/>
    <w:rsid w:val="00B228C3"/>
    <w:rsid w:val="00B24464"/>
    <w:rsid w:val="00B30179"/>
    <w:rsid w:val="00B3317B"/>
    <w:rsid w:val="00B7267A"/>
    <w:rsid w:val="00B81E12"/>
    <w:rsid w:val="00B86479"/>
    <w:rsid w:val="00B93068"/>
    <w:rsid w:val="00BC74E9"/>
    <w:rsid w:val="00BD6F79"/>
    <w:rsid w:val="00BE618E"/>
    <w:rsid w:val="00C06686"/>
    <w:rsid w:val="00C10309"/>
    <w:rsid w:val="00C27BA5"/>
    <w:rsid w:val="00C463DD"/>
    <w:rsid w:val="00C62F76"/>
    <w:rsid w:val="00C745C3"/>
    <w:rsid w:val="00C9737D"/>
    <w:rsid w:val="00CE4A8F"/>
    <w:rsid w:val="00CF5DB3"/>
    <w:rsid w:val="00D2031B"/>
    <w:rsid w:val="00D25FE2"/>
    <w:rsid w:val="00D32A29"/>
    <w:rsid w:val="00D43252"/>
    <w:rsid w:val="00D45E82"/>
    <w:rsid w:val="00D718C7"/>
    <w:rsid w:val="00D7195F"/>
    <w:rsid w:val="00D753D8"/>
    <w:rsid w:val="00D96CC5"/>
    <w:rsid w:val="00D978C6"/>
    <w:rsid w:val="00DA5BF5"/>
    <w:rsid w:val="00DA67AD"/>
    <w:rsid w:val="00DC18B3"/>
    <w:rsid w:val="00E130AB"/>
    <w:rsid w:val="00E5644E"/>
    <w:rsid w:val="00E7260F"/>
    <w:rsid w:val="00E77A2F"/>
    <w:rsid w:val="00E8535A"/>
    <w:rsid w:val="00E96630"/>
    <w:rsid w:val="00E97306"/>
    <w:rsid w:val="00EA6752"/>
    <w:rsid w:val="00EA772F"/>
    <w:rsid w:val="00EB6832"/>
    <w:rsid w:val="00EC17CE"/>
    <w:rsid w:val="00ED7A2A"/>
    <w:rsid w:val="00EE4742"/>
    <w:rsid w:val="00EF1D7F"/>
    <w:rsid w:val="00EF6670"/>
    <w:rsid w:val="00F40E75"/>
    <w:rsid w:val="00F54674"/>
    <w:rsid w:val="00F60D0F"/>
    <w:rsid w:val="00F6150F"/>
    <w:rsid w:val="00F80A35"/>
    <w:rsid w:val="00FC4B66"/>
    <w:rsid w:val="00FC68B7"/>
    <w:rsid w:val="00FD3176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E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E5E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52936"/>
    <w:rPr>
      <w:sz w:val="18"/>
      <w:lang w:eastAsia="en-US"/>
    </w:rPr>
  </w:style>
  <w:style w:type="character" w:customStyle="1" w:styleId="apple-converted-space">
    <w:name w:val="apple-converted-space"/>
    <w:basedOn w:val="DefaultParagraphFont"/>
    <w:rsid w:val="00E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E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E5E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52936"/>
    <w:rPr>
      <w:sz w:val="18"/>
      <w:lang w:eastAsia="en-US"/>
    </w:rPr>
  </w:style>
  <w:style w:type="character" w:customStyle="1" w:styleId="apple-converted-space">
    <w:name w:val="apple-converted-space"/>
    <w:basedOn w:val="DefaultParagraphFont"/>
    <w:rsid w:val="00E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918B-9D73-4F03-A780-02B819EC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637</TotalTime>
  <Pages>5</Pages>
  <Words>1204</Words>
  <Characters>7093</Characters>
  <Application>Microsoft Office Word</Application>
  <DocSecurity>0</DocSecurity>
  <Lines>181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40</cp:revision>
  <cp:lastPrinted>2016-09-30T08:41:00Z</cp:lastPrinted>
  <dcterms:created xsi:type="dcterms:W3CDTF">2016-02-29T09:46:00Z</dcterms:created>
  <dcterms:modified xsi:type="dcterms:W3CDTF">2016-09-30T08:41:00Z</dcterms:modified>
</cp:coreProperties>
</file>