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24" w:rsidRDefault="007F41AC" w:rsidP="00FB3624">
      <w:pPr>
        <w:spacing w:line="240" w:lineRule="auto"/>
        <w:rPr>
          <w:sz w:val="2"/>
        </w:rPr>
        <w:sectPr w:rsidR="00FB3624" w:rsidSect="00FB362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sz w:val="2"/>
        </w:rPr>
        <w:t xml:space="preserve"> </w:t>
      </w:r>
      <w:r w:rsidR="00FB3624">
        <w:rPr>
          <w:rStyle w:val="CommentReference"/>
        </w:rPr>
        <w:commentReference w:id="0"/>
      </w:r>
    </w:p>
    <w:p w:rsidR="00066C50" w:rsidRDefault="00066C50" w:rsidP="00FB115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66C50">
        <w:rPr>
          <w:lang w:val="fr-CH"/>
        </w:rPr>
        <w:lastRenderedPageBreak/>
        <w:t>Comité d</w:t>
      </w:r>
      <w:r w:rsidR="00322F95">
        <w:rPr>
          <w:lang w:val="fr-CH"/>
        </w:rPr>
        <w:t>’</w:t>
      </w:r>
      <w:r w:rsidRPr="00066C50">
        <w:rPr>
          <w:lang w:val="fr-CH"/>
        </w:rPr>
        <w:t xml:space="preserve">experts du transport des marchandises </w:t>
      </w:r>
      <w:r w:rsidR="00FB115C">
        <w:rPr>
          <w:lang w:val="fr-CH"/>
        </w:rPr>
        <w:br/>
      </w:r>
      <w:r w:rsidRPr="00066C50">
        <w:rPr>
          <w:lang w:val="fr-CH"/>
        </w:rPr>
        <w:t xml:space="preserve">dangereuses et du Système général harmonisé </w:t>
      </w:r>
      <w:r w:rsidR="00FB115C">
        <w:rPr>
          <w:lang w:val="fr-CH"/>
        </w:rPr>
        <w:br/>
      </w:r>
      <w:r w:rsidRPr="00066C50">
        <w:rPr>
          <w:lang w:val="fr-CH"/>
        </w:rPr>
        <w:t>de classification et d</w:t>
      </w:r>
      <w:r w:rsidR="00322F95">
        <w:rPr>
          <w:lang w:val="fr-CH"/>
        </w:rPr>
        <w:t>’</w:t>
      </w:r>
      <w:r w:rsidRPr="00066C50">
        <w:rPr>
          <w:lang w:val="fr-CH"/>
        </w:rPr>
        <w:t xml:space="preserve">étiquetage </w:t>
      </w:r>
      <w:r w:rsidR="00D52BB3">
        <w:rPr>
          <w:lang w:val="fr-CH"/>
        </w:rPr>
        <w:br/>
      </w:r>
      <w:r w:rsidRPr="00066C50">
        <w:rPr>
          <w:lang w:val="fr-CH"/>
        </w:rPr>
        <w:t>des produits chimiques</w:t>
      </w:r>
    </w:p>
    <w:p w:rsidR="00FB115C" w:rsidRPr="007D7C5B" w:rsidRDefault="00FB115C" w:rsidP="007D7C5B">
      <w:pPr>
        <w:spacing w:line="120" w:lineRule="exact"/>
        <w:rPr>
          <w:sz w:val="10"/>
          <w:lang w:val="fr-CH"/>
        </w:rPr>
      </w:pPr>
    </w:p>
    <w:p w:rsidR="00066C50" w:rsidRPr="00066C50" w:rsidRDefault="00066C50" w:rsidP="00FB11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66C50">
        <w:rPr>
          <w:lang w:val="fr-CH"/>
        </w:rPr>
        <w:t>Sous-Comité d</w:t>
      </w:r>
      <w:r w:rsidR="00322F95">
        <w:rPr>
          <w:lang w:val="fr-CH"/>
        </w:rPr>
        <w:t>’</w:t>
      </w:r>
      <w:r w:rsidRPr="00066C50">
        <w:rPr>
          <w:lang w:val="fr-CH"/>
        </w:rPr>
        <w:t xml:space="preserve">experts du Système général harmonisé </w:t>
      </w:r>
      <w:r w:rsidR="00D52BB3">
        <w:rPr>
          <w:lang w:val="fr-CH"/>
        </w:rPr>
        <w:br/>
      </w:r>
      <w:r w:rsidRPr="00066C50">
        <w:rPr>
          <w:lang w:val="fr-CH"/>
        </w:rPr>
        <w:t>de classification et d</w:t>
      </w:r>
      <w:r w:rsidR="00322F95">
        <w:rPr>
          <w:lang w:val="fr-CH"/>
        </w:rPr>
        <w:t>’</w:t>
      </w:r>
      <w:r w:rsidRPr="00066C50">
        <w:rPr>
          <w:lang w:val="fr-CH"/>
        </w:rPr>
        <w:t>étiquetage des produits chimiques</w:t>
      </w:r>
      <w:bookmarkStart w:id="1" w:name="_GoBack"/>
      <w:bookmarkEnd w:id="1"/>
    </w:p>
    <w:p w:rsidR="00066C50" w:rsidRPr="00FB115C" w:rsidRDefault="00066C50" w:rsidP="00FB115C">
      <w:pPr>
        <w:pStyle w:val="SingleTxt"/>
        <w:spacing w:after="0" w:line="120" w:lineRule="exact"/>
        <w:rPr>
          <w:sz w:val="10"/>
          <w:lang w:val="fr-CH"/>
        </w:rPr>
      </w:pPr>
    </w:p>
    <w:p w:rsidR="00FB115C" w:rsidRPr="00FB115C" w:rsidRDefault="00FB115C" w:rsidP="00FB115C">
      <w:pPr>
        <w:pStyle w:val="SingleTxt"/>
        <w:spacing w:after="0" w:line="120" w:lineRule="exact"/>
        <w:rPr>
          <w:sz w:val="10"/>
          <w:lang w:val="fr-CH"/>
        </w:rPr>
      </w:pPr>
    </w:p>
    <w:p w:rsidR="00FB115C" w:rsidRPr="00FB115C" w:rsidRDefault="00FB115C" w:rsidP="00FB115C">
      <w:pPr>
        <w:pStyle w:val="SingleTxt"/>
        <w:spacing w:after="0" w:line="120" w:lineRule="exact"/>
        <w:rPr>
          <w:sz w:val="10"/>
          <w:lang w:val="fr-CH"/>
        </w:rPr>
      </w:pPr>
    </w:p>
    <w:p w:rsidR="00066C50" w:rsidRPr="00066C50" w:rsidRDefault="00066C50" w:rsidP="00FB11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Rapport du Sous-Comité d</w:t>
      </w:r>
      <w:r w:rsidR="00322F95">
        <w:rPr>
          <w:lang w:val="fr-CH"/>
        </w:rPr>
        <w:t>’</w:t>
      </w:r>
      <w:r w:rsidRPr="00066C50">
        <w:rPr>
          <w:lang w:val="fr-CH"/>
        </w:rPr>
        <w:t>experts du Système général harmonisé de classification et d</w:t>
      </w:r>
      <w:r w:rsidR="00322F95">
        <w:rPr>
          <w:lang w:val="fr-CH"/>
        </w:rPr>
        <w:t>’</w:t>
      </w:r>
      <w:r w:rsidRPr="00066C50">
        <w:rPr>
          <w:lang w:val="fr-CH"/>
        </w:rPr>
        <w:t>étiquetage des produits chimiques sur sa trentième session</w:t>
      </w:r>
    </w:p>
    <w:p w:rsidR="00066C50" w:rsidRPr="00D84D67" w:rsidRDefault="00066C50" w:rsidP="00D84D67">
      <w:pPr>
        <w:pStyle w:val="SingleTxt"/>
        <w:spacing w:after="0" w:line="120" w:lineRule="exact"/>
        <w:rPr>
          <w:sz w:val="10"/>
          <w:lang w:val="fr-CH"/>
        </w:rPr>
      </w:pPr>
    </w:p>
    <w:p w:rsidR="00D84D67" w:rsidRPr="00D84D67" w:rsidRDefault="00D84D67" w:rsidP="00D84D67">
      <w:pPr>
        <w:pStyle w:val="SingleTxt"/>
        <w:spacing w:after="0" w:line="120" w:lineRule="exact"/>
        <w:rPr>
          <w:sz w:val="10"/>
          <w:lang w:val="fr-CH"/>
        </w:rPr>
      </w:pPr>
    </w:p>
    <w:p w:rsidR="00066C50" w:rsidRDefault="00066C50" w:rsidP="00D84D67">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b/>
          <w:lang w:val="fr-CH"/>
        </w:rPr>
        <w:tab/>
      </w:r>
      <w:r w:rsidRPr="00066C50">
        <w:rPr>
          <w:b/>
          <w:lang w:val="fr-CH"/>
        </w:rPr>
        <w:tab/>
      </w:r>
      <w:proofErr w:type="gramStart"/>
      <w:r w:rsidRPr="00066C50">
        <w:rPr>
          <w:lang w:val="fr-CH"/>
        </w:rPr>
        <w:t>tenue</w:t>
      </w:r>
      <w:proofErr w:type="gramEnd"/>
      <w:r w:rsidRPr="00066C50">
        <w:rPr>
          <w:lang w:val="fr-CH"/>
        </w:rPr>
        <w:t xml:space="preserve"> à Genève du 9 au 11 décembre 2015</w:t>
      </w:r>
    </w:p>
    <w:p w:rsidR="00D84D67" w:rsidRPr="00D84D67" w:rsidRDefault="00D84D67" w:rsidP="00D84D67">
      <w:pPr>
        <w:pStyle w:val="SingleTxt"/>
        <w:spacing w:after="0" w:line="120" w:lineRule="exact"/>
        <w:rPr>
          <w:sz w:val="10"/>
          <w:lang w:val="fr-CH"/>
        </w:rPr>
      </w:pPr>
    </w:p>
    <w:p w:rsidR="00D84D67" w:rsidRPr="00D84D67" w:rsidRDefault="00D84D67" w:rsidP="00D84D67">
      <w:pPr>
        <w:pStyle w:val="SingleTxt"/>
        <w:spacing w:after="0" w:line="120" w:lineRule="exact"/>
        <w:rPr>
          <w:sz w:val="10"/>
          <w:lang w:val="fr-CH"/>
        </w:rPr>
      </w:pPr>
    </w:p>
    <w:p w:rsidR="00D84D67" w:rsidRPr="00D84D67" w:rsidRDefault="00D84D67" w:rsidP="00D84D67">
      <w:pPr>
        <w:pStyle w:val="SingleTxt"/>
        <w:spacing w:after="0" w:line="120" w:lineRule="exact"/>
        <w:rPr>
          <w:sz w:val="10"/>
          <w:lang w:val="fr-CH"/>
        </w:rPr>
      </w:pPr>
    </w:p>
    <w:p w:rsidR="001528C0" w:rsidRPr="001528C0" w:rsidRDefault="001528C0" w:rsidP="001528C0">
      <w:pPr>
        <w:pStyle w:val="HCH"/>
        <w:spacing w:after="120"/>
        <w:rPr>
          <w:lang w:val="fr-CH"/>
        </w:rPr>
      </w:pPr>
      <w:r>
        <w:rPr>
          <w:lang w:val="fr-CH"/>
        </w:rPr>
        <w:t>Table des matières</w:t>
      </w:r>
    </w:p>
    <w:tbl>
      <w:tblPr>
        <w:tblW w:w="10035" w:type="dxa"/>
        <w:tblLayout w:type="fixed"/>
        <w:tblCellMar>
          <w:left w:w="0" w:type="dxa"/>
          <w:right w:w="0" w:type="dxa"/>
        </w:tblCellMar>
        <w:tblLook w:val="0000" w:firstRow="0" w:lastRow="0" w:firstColumn="0" w:lastColumn="0" w:noHBand="0" w:noVBand="0"/>
      </w:tblPr>
      <w:tblGrid>
        <w:gridCol w:w="1060"/>
        <w:gridCol w:w="7315"/>
        <w:gridCol w:w="994"/>
        <w:gridCol w:w="666"/>
      </w:tblGrid>
      <w:tr w:rsidR="001528C0" w:rsidRPr="001528C0" w:rsidTr="001528C0">
        <w:tc>
          <w:tcPr>
            <w:tcW w:w="1060" w:type="dxa"/>
            <w:shd w:val="clear" w:color="auto" w:fill="auto"/>
          </w:tcPr>
          <w:p w:rsidR="001528C0" w:rsidRPr="001528C0" w:rsidRDefault="001528C0" w:rsidP="001528C0">
            <w:pPr>
              <w:spacing w:after="120" w:line="240" w:lineRule="auto"/>
              <w:jc w:val="right"/>
              <w:rPr>
                <w:i/>
                <w:sz w:val="14"/>
                <w:lang w:val="fr-CH"/>
              </w:rPr>
            </w:pPr>
          </w:p>
        </w:tc>
        <w:tc>
          <w:tcPr>
            <w:tcW w:w="7315" w:type="dxa"/>
            <w:shd w:val="clear" w:color="auto" w:fill="auto"/>
          </w:tcPr>
          <w:p w:rsidR="001528C0" w:rsidRPr="001528C0" w:rsidRDefault="001528C0" w:rsidP="001528C0">
            <w:pPr>
              <w:spacing w:after="120" w:line="240" w:lineRule="auto"/>
              <w:rPr>
                <w:i/>
                <w:sz w:val="14"/>
                <w:lang w:val="fr-CH"/>
              </w:rPr>
            </w:pPr>
          </w:p>
        </w:tc>
        <w:tc>
          <w:tcPr>
            <w:tcW w:w="994" w:type="dxa"/>
            <w:shd w:val="clear" w:color="auto" w:fill="auto"/>
          </w:tcPr>
          <w:p w:rsidR="001528C0" w:rsidRPr="001528C0" w:rsidRDefault="001528C0" w:rsidP="001528C0">
            <w:pPr>
              <w:spacing w:after="120" w:line="240" w:lineRule="auto"/>
              <w:jc w:val="right"/>
              <w:rPr>
                <w:i/>
                <w:sz w:val="14"/>
                <w:lang w:val="fr-CH"/>
              </w:rPr>
            </w:pPr>
            <w:r>
              <w:rPr>
                <w:i/>
                <w:sz w:val="14"/>
                <w:lang w:val="fr-CH"/>
              </w:rPr>
              <w:t>Paragraphes</w:t>
            </w:r>
          </w:p>
        </w:tc>
        <w:tc>
          <w:tcPr>
            <w:tcW w:w="666" w:type="dxa"/>
            <w:shd w:val="clear" w:color="auto" w:fill="auto"/>
          </w:tcPr>
          <w:p w:rsidR="001528C0" w:rsidRPr="001528C0" w:rsidRDefault="001528C0" w:rsidP="001528C0">
            <w:pPr>
              <w:spacing w:after="120" w:line="240" w:lineRule="auto"/>
              <w:jc w:val="right"/>
              <w:rPr>
                <w:i/>
                <w:sz w:val="14"/>
                <w:lang w:val="fr-CH"/>
              </w:rPr>
            </w:pPr>
            <w:r>
              <w:rPr>
                <w:i/>
                <w:sz w:val="14"/>
                <w:lang w:val="fr-CH"/>
              </w:rPr>
              <w:t>Page</w:t>
            </w:r>
          </w:p>
        </w:tc>
      </w:tr>
      <w:tr w:rsidR="001528C0" w:rsidRPr="002F493A" w:rsidTr="001528C0">
        <w:tc>
          <w:tcPr>
            <w:tcW w:w="8375" w:type="dxa"/>
            <w:gridSpan w:val="2"/>
            <w:shd w:val="clear" w:color="auto" w:fill="auto"/>
          </w:tcPr>
          <w:p w:rsidR="001528C0" w:rsidRPr="002F493A" w:rsidRDefault="00B33E19" w:rsidP="001528C0">
            <w:pPr>
              <w:pStyle w:val="ListParagraph"/>
              <w:numPr>
                <w:ilvl w:val="0"/>
                <w:numId w:val="6"/>
              </w:numPr>
              <w:tabs>
                <w:tab w:val="left" w:pos="1296"/>
                <w:tab w:val="right" w:leader="dot" w:pos="8381"/>
              </w:tabs>
              <w:suppressAutoHyphens/>
              <w:spacing w:after="120"/>
              <w:rPr>
                <w:szCs w:val="20"/>
                <w:lang w:val="fr-CH"/>
              </w:rPr>
            </w:pPr>
            <w:r w:rsidRPr="00066C50">
              <w:rPr>
                <w:lang w:val="fr-CH"/>
              </w:rPr>
              <w:t>Participation</w:t>
            </w:r>
            <w:r w:rsidR="001528C0" w:rsidRPr="002F493A">
              <w:rPr>
                <w:szCs w:val="20"/>
                <w:lang w:val="fr-CH"/>
              </w:rPr>
              <w:tab/>
            </w:r>
          </w:p>
        </w:tc>
        <w:tc>
          <w:tcPr>
            <w:tcW w:w="994" w:type="dxa"/>
            <w:shd w:val="clear" w:color="auto" w:fill="auto"/>
            <w:vAlign w:val="bottom"/>
          </w:tcPr>
          <w:p w:rsidR="001528C0" w:rsidRPr="002F493A" w:rsidRDefault="00144BE3" w:rsidP="001528C0">
            <w:pPr>
              <w:spacing w:after="120"/>
              <w:jc w:val="right"/>
              <w:rPr>
                <w:szCs w:val="20"/>
                <w:lang w:val="fr-CH"/>
              </w:rPr>
            </w:pPr>
            <w:r>
              <w:rPr>
                <w:szCs w:val="20"/>
                <w:lang w:val="fr-CH"/>
              </w:rPr>
              <w:t>1–6</w:t>
            </w:r>
          </w:p>
        </w:tc>
        <w:tc>
          <w:tcPr>
            <w:tcW w:w="666" w:type="dxa"/>
            <w:shd w:val="clear" w:color="auto" w:fill="auto"/>
            <w:vAlign w:val="bottom"/>
          </w:tcPr>
          <w:p w:rsidR="001528C0" w:rsidRPr="002F493A" w:rsidRDefault="00FD40E5" w:rsidP="001528C0">
            <w:pPr>
              <w:spacing w:after="120"/>
              <w:jc w:val="right"/>
              <w:rPr>
                <w:szCs w:val="20"/>
                <w:lang w:val="fr-CH"/>
              </w:rPr>
            </w:pPr>
            <w:r>
              <w:rPr>
                <w:szCs w:val="20"/>
                <w:lang w:val="fr-CH"/>
              </w:rPr>
              <w:t>4</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Adoption de l</w:t>
            </w:r>
            <w:r>
              <w:rPr>
                <w:lang w:val="fr-CH"/>
              </w:rPr>
              <w:t>’</w:t>
            </w:r>
            <w:r w:rsidRPr="00066C50">
              <w:rPr>
                <w:lang w:val="fr-CH"/>
              </w:rPr>
              <w:t>ordre du jour (point 1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7</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4</w:t>
            </w:r>
          </w:p>
        </w:tc>
      </w:tr>
      <w:tr w:rsidR="007B3078" w:rsidRPr="002F493A" w:rsidTr="001528C0">
        <w:tc>
          <w:tcPr>
            <w:tcW w:w="8375" w:type="dxa"/>
            <w:gridSpan w:val="2"/>
            <w:shd w:val="clear" w:color="auto" w:fill="auto"/>
          </w:tcPr>
          <w:p w:rsidR="007B3078" w:rsidRPr="002F493A" w:rsidRDefault="00B33E19" w:rsidP="00B33E19">
            <w:pPr>
              <w:pStyle w:val="ListParagraph"/>
              <w:numPr>
                <w:ilvl w:val="0"/>
                <w:numId w:val="6"/>
              </w:numPr>
              <w:tabs>
                <w:tab w:val="left" w:pos="1296"/>
                <w:tab w:val="right" w:leader="dot" w:pos="8381"/>
              </w:tabs>
              <w:suppressAutoHyphens/>
              <w:spacing w:after="120"/>
              <w:rPr>
                <w:szCs w:val="20"/>
                <w:lang w:val="fr-CH"/>
              </w:rPr>
            </w:pPr>
            <w:r w:rsidRPr="00066C50">
              <w:rPr>
                <w:lang w:val="fr-CH"/>
              </w:rPr>
              <w:t>Travaux à mener conjointement avec le Sous-Comité d</w:t>
            </w:r>
            <w:r>
              <w:rPr>
                <w:lang w:val="fr-CH"/>
              </w:rPr>
              <w:t>’</w:t>
            </w:r>
            <w:r w:rsidRPr="00066C50">
              <w:rPr>
                <w:lang w:val="fr-CH"/>
              </w:rPr>
              <w:t xml:space="preserve">experts </w:t>
            </w:r>
            <w:r>
              <w:rPr>
                <w:lang w:val="fr-CH"/>
              </w:rPr>
              <w:br/>
            </w:r>
            <w:r w:rsidRPr="00066C50">
              <w:rPr>
                <w:lang w:val="fr-CH"/>
              </w:rPr>
              <w:t xml:space="preserve">du transport des marchandises dangereuses (Sous-Comité TMD) </w:t>
            </w:r>
            <w:r>
              <w:rPr>
                <w:lang w:val="fr-CH"/>
              </w:rPr>
              <w:br/>
            </w:r>
            <w:r w:rsidRPr="00066C50">
              <w:rPr>
                <w:lang w:val="fr-CH"/>
              </w:rPr>
              <w:t>(point 2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8–12</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4</w:t>
            </w:r>
          </w:p>
        </w:tc>
      </w:tr>
      <w:tr w:rsidR="007B3078" w:rsidRPr="002F493A" w:rsidTr="001528C0">
        <w:tc>
          <w:tcPr>
            <w:tcW w:w="8375" w:type="dxa"/>
            <w:gridSpan w:val="2"/>
            <w:shd w:val="clear" w:color="auto" w:fill="auto"/>
          </w:tcPr>
          <w:p w:rsidR="007B3078" w:rsidRPr="002F493A" w:rsidRDefault="00B33E19" w:rsidP="00B33E19">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Apposition d</w:t>
            </w:r>
            <w:r>
              <w:rPr>
                <w:lang w:val="fr-CH"/>
              </w:rPr>
              <w:t>’</w:t>
            </w:r>
            <w:r w:rsidRPr="00066C50">
              <w:rPr>
                <w:lang w:val="fr-CH"/>
              </w:rPr>
              <w:t xml:space="preserve">étiquettes SGH sur des emballages extérieurs non soumis </w:t>
            </w:r>
            <w:r>
              <w:rPr>
                <w:lang w:val="fr-CH"/>
              </w:rPr>
              <w:br/>
            </w:r>
            <w:r w:rsidRPr="00066C50">
              <w:rPr>
                <w:lang w:val="fr-CH"/>
              </w:rPr>
              <w:t>aux règlements de transport des marchandises dangereuses</w:t>
            </w:r>
            <w:r w:rsidR="007B3078" w:rsidRPr="002F493A">
              <w:rPr>
                <w:szCs w:val="20"/>
                <w:lang w:val="fr-CH"/>
              </w:rPr>
              <w:tab/>
            </w:r>
          </w:p>
        </w:tc>
        <w:tc>
          <w:tcPr>
            <w:tcW w:w="994" w:type="dxa"/>
            <w:shd w:val="clear" w:color="auto" w:fill="auto"/>
            <w:vAlign w:val="bottom"/>
          </w:tcPr>
          <w:p w:rsidR="007B3078" w:rsidRPr="002F493A" w:rsidRDefault="00894CBC" w:rsidP="001528C0">
            <w:pPr>
              <w:spacing w:after="120"/>
              <w:jc w:val="right"/>
              <w:rPr>
                <w:szCs w:val="20"/>
                <w:lang w:val="fr-CH"/>
              </w:rPr>
            </w:pPr>
            <w:r>
              <w:rPr>
                <w:szCs w:val="20"/>
                <w:lang w:val="fr-CH"/>
              </w:rPr>
              <w:t>9</w:t>
            </w:r>
            <w:r w:rsidR="00144BE3">
              <w:rPr>
                <w:szCs w:val="20"/>
                <w:lang w:val="fr-CH"/>
              </w:rPr>
              <w:t>–10</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5</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Classement du pétrole brut</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11</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5</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 xml:space="preserve">Autres questions présentant un intérêt pour le Sous-Comité </w:t>
            </w:r>
            <w:r>
              <w:rPr>
                <w:lang w:val="fr-CH"/>
              </w:rPr>
              <w:br/>
            </w:r>
            <w:r w:rsidRPr="00066C50">
              <w:rPr>
                <w:lang w:val="fr-CH"/>
              </w:rPr>
              <w:t>examinées par le Sous-Comité TMD</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12</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5</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 xml:space="preserve">Critères de classement et communication des dangers </w:t>
            </w:r>
            <w:r>
              <w:rPr>
                <w:lang w:val="fr-CH"/>
              </w:rPr>
              <w:br/>
            </w:r>
            <w:r w:rsidRPr="00066C50">
              <w:rPr>
                <w:lang w:val="fr-CH"/>
              </w:rPr>
              <w:t>(point 3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13–31</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6</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Dang</w:t>
            </w:r>
            <w:r>
              <w:rPr>
                <w:lang w:val="fr-CH"/>
              </w:rPr>
              <w:t>ers d’explosion des poussières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13–19</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6</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Questions pratiques de classification</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20–22</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6</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Toxicité par aspiration</w:t>
            </w:r>
            <w:r>
              <w:rPr>
                <w:lang w:val="fr-CH"/>
              </w:rPr>
              <w:t> </w:t>
            </w:r>
            <w:r w:rsidRPr="00066C50">
              <w:rPr>
                <w:lang w:val="fr-CH"/>
              </w:rPr>
              <w:t xml:space="preserve">: critère de viscosité pour le classement </w:t>
            </w:r>
            <w:r>
              <w:rPr>
                <w:lang w:val="fr-CH"/>
              </w:rPr>
              <w:br/>
            </w:r>
            <w:r w:rsidRPr="00066C50">
              <w:rPr>
                <w:lang w:val="fr-CH"/>
              </w:rPr>
              <w:t>des mélanges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23</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7</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Nanomatériaux</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24–26</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7</w:t>
            </w:r>
          </w:p>
        </w:tc>
      </w:tr>
      <w:tr w:rsidR="007B3078" w:rsidRPr="002F493A" w:rsidTr="001528C0">
        <w:tc>
          <w:tcPr>
            <w:tcW w:w="8375" w:type="dxa"/>
            <w:gridSpan w:val="2"/>
            <w:shd w:val="clear" w:color="auto" w:fill="auto"/>
          </w:tcPr>
          <w:p w:rsidR="007B3078" w:rsidRPr="002F493A" w:rsidRDefault="00B33E19" w:rsidP="00890252">
            <w:pPr>
              <w:pStyle w:val="ListParagraph"/>
              <w:keepNext/>
              <w:keepLines/>
              <w:numPr>
                <w:ilvl w:val="1"/>
                <w:numId w:val="6"/>
              </w:numPr>
              <w:tabs>
                <w:tab w:val="left" w:pos="1296"/>
                <w:tab w:val="left" w:pos="1728"/>
                <w:tab w:val="right" w:leader="dot" w:pos="8381"/>
              </w:tabs>
              <w:suppressAutoHyphens/>
              <w:spacing w:after="120"/>
              <w:rPr>
                <w:szCs w:val="20"/>
                <w:lang w:val="fr-CH"/>
              </w:rPr>
            </w:pPr>
            <w:r w:rsidRPr="00066C50">
              <w:rPr>
                <w:lang w:val="fr-CH"/>
              </w:rPr>
              <w:lastRenderedPageBreak/>
              <w:t>Divers</w:t>
            </w:r>
            <w:r w:rsidR="007B3078" w:rsidRPr="002F493A">
              <w:rPr>
                <w:szCs w:val="20"/>
                <w:lang w:val="fr-CH"/>
              </w:rPr>
              <w:tab/>
            </w:r>
          </w:p>
        </w:tc>
        <w:tc>
          <w:tcPr>
            <w:tcW w:w="994" w:type="dxa"/>
            <w:shd w:val="clear" w:color="auto" w:fill="auto"/>
            <w:vAlign w:val="bottom"/>
          </w:tcPr>
          <w:p w:rsidR="007B3078" w:rsidRPr="002F493A" w:rsidRDefault="00144BE3" w:rsidP="00890252">
            <w:pPr>
              <w:keepNext/>
              <w:keepLines/>
              <w:spacing w:after="120"/>
              <w:jc w:val="right"/>
              <w:rPr>
                <w:szCs w:val="20"/>
                <w:lang w:val="fr-CH"/>
              </w:rPr>
            </w:pPr>
            <w:r>
              <w:rPr>
                <w:szCs w:val="20"/>
                <w:lang w:val="fr-CH"/>
              </w:rPr>
              <w:t>27–31</w:t>
            </w:r>
          </w:p>
        </w:tc>
        <w:tc>
          <w:tcPr>
            <w:tcW w:w="666" w:type="dxa"/>
            <w:shd w:val="clear" w:color="auto" w:fill="auto"/>
            <w:vAlign w:val="bottom"/>
          </w:tcPr>
          <w:p w:rsidR="007B3078" w:rsidRPr="002F493A" w:rsidRDefault="00FD40E5" w:rsidP="00890252">
            <w:pPr>
              <w:keepNext/>
              <w:keepLines/>
              <w:spacing w:after="120"/>
              <w:jc w:val="right"/>
              <w:rPr>
                <w:szCs w:val="20"/>
                <w:lang w:val="fr-CH"/>
              </w:rPr>
            </w:pPr>
            <w:r>
              <w:rPr>
                <w:szCs w:val="20"/>
                <w:lang w:val="fr-CH"/>
              </w:rPr>
              <w:t>7</w:t>
            </w:r>
          </w:p>
        </w:tc>
      </w:tr>
      <w:tr w:rsidR="007B3078" w:rsidRPr="002F493A" w:rsidTr="001528C0">
        <w:tc>
          <w:tcPr>
            <w:tcW w:w="8375" w:type="dxa"/>
            <w:gridSpan w:val="2"/>
            <w:shd w:val="clear" w:color="auto" w:fill="auto"/>
          </w:tcPr>
          <w:p w:rsidR="007B3078" w:rsidRPr="002F493A" w:rsidRDefault="00B33E19" w:rsidP="00B33E19">
            <w:pPr>
              <w:pStyle w:val="ListParagraph"/>
              <w:numPr>
                <w:ilvl w:val="2"/>
                <w:numId w:val="6"/>
              </w:numPr>
              <w:tabs>
                <w:tab w:val="left" w:pos="1296"/>
                <w:tab w:val="left" w:pos="1728"/>
                <w:tab w:val="left" w:pos="2160"/>
                <w:tab w:val="right" w:leader="dot" w:pos="8381"/>
              </w:tabs>
              <w:suppressAutoHyphens/>
              <w:spacing w:after="120"/>
              <w:rPr>
                <w:szCs w:val="20"/>
                <w:lang w:val="fr-CH"/>
              </w:rPr>
            </w:pPr>
            <w:r w:rsidRPr="00066C50">
              <w:rPr>
                <w:lang w:val="fr-CH"/>
              </w:rPr>
              <w:t>Utilisation de méthodes d</w:t>
            </w:r>
            <w:r>
              <w:rPr>
                <w:lang w:val="fr-CH"/>
              </w:rPr>
              <w:t>’</w:t>
            </w:r>
            <w:r w:rsidRPr="00066C50">
              <w:rPr>
                <w:lang w:val="fr-CH"/>
              </w:rPr>
              <w:t xml:space="preserve">expérimentation non animales </w:t>
            </w:r>
            <w:r>
              <w:rPr>
                <w:lang w:val="fr-CH"/>
              </w:rPr>
              <w:br/>
            </w:r>
            <w:r w:rsidRPr="00066C50">
              <w:rPr>
                <w:lang w:val="fr-CH"/>
              </w:rPr>
              <w:t>pour le classement des dangers pour la santé</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27–30</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7</w:t>
            </w:r>
          </w:p>
        </w:tc>
      </w:tr>
      <w:tr w:rsidR="007B3078" w:rsidRPr="002F493A" w:rsidTr="001528C0">
        <w:tc>
          <w:tcPr>
            <w:tcW w:w="8375" w:type="dxa"/>
            <w:gridSpan w:val="2"/>
            <w:shd w:val="clear" w:color="auto" w:fill="auto"/>
          </w:tcPr>
          <w:p w:rsidR="007B3078" w:rsidRPr="002F493A" w:rsidRDefault="00B33E19" w:rsidP="007B3078">
            <w:pPr>
              <w:pStyle w:val="ListParagraph"/>
              <w:numPr>
                <w:ilvl w:val="2"/>
                <w:numId w:val="6"/>
              </w:numPr>
              <w:tabs>
                <w:tab w:val="left" w:pos="1296"/>
                <w:tab w:val="left" w:pos="1728"/>
                <w:tab w:val="left" w:pos="2160"/>
                <w:tab w:val="right" w:leader="dot" w:pos="8381"/>
              </w:tabs>
              <w:suppressAutoHyphens/>
              <w:spacing w:after="120"/>
              <w:rPr>
                <w:szCs w:val="20"/>
                <w:lang w:val="fr-CH"/>
              </w:rPr>
            </w:pPr>
            <w:r w:rsidRPr="00066C50">
              <w:rPr>
                <w:lang w:val="fr-CH"/>
              </w:rPr>
              <w:t>Classement des flotteurs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31</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8</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 xml:space="preserve">Questions relatives à la communication des dangers </w:t>
            </w:r>
            <w:r>
              <w:rPr>
                <w:lang w:val="fr-CH"/>
              </w:rPr>
              <w:br/>
            </w:r>
            <w:r w:rsidRPr="00066C50">
              <w:rPr>
                <w:lang w:val="fr-CH"/>
              </w:rPr>
              <w:t>(point 4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32–37</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8</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Étiquetage des petits emballages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32</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8</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Amélioration des annexes</w:t>
            </w:r>
            <w:r>
              <w:rPr>
                <w:lang w:val="fr-CH"/>
              </w:rPr>
              <w:t> </w:t>
            </w:r>
            <w:r w:rsidRPr="00066C50">
              <w:rPr>
                <w:lang w:val="fr-CH"/>
              </w:rPr>
              <w:t xml:space="preserve">1 à 3 et poursuite de la rationalisation </w:t>
            </w:r>
            <w:r>
              <w:rPr>
                <w:lang w:val="fr-CH"/>
              </w:rPr>
              <w:br/>
            </w:r>
            <w:r w:rsidRPr="00066C50">
              <w:rPr>
                <w:lang w:val="fr-CH"/>
              </w:rPr>
              <w:t>des conseils de prudence</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33–35</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8</w:t>
            </w:r>
          </w:p>
        </w:tc>
      </w:tr>
      <w:tr w:rsidR="007B3078" w:rsidRPr="002F493A" w:rsidTr="001528C0">
        <w:tc>
          <w:tcPr>
            <w:tcW w:w="8375" w:type="dxa"/>
            <w:gridSpan w:val="2"/>
            <w:shd w:val="clear" w:color="auto" w:fill="auto"/>
          </w:tcPr>
          <w:p w:rsidR="007B3078" w:rsidRPr="002F493A" w:rsidRDefault="00B33E19" w:rsidP="007B3078">
            <w:pPr>
              <w:pStyle w:val="ListParagraph"/>
              <w:numPr>
                <w:ilvl w:val="2"/>
                <w:numId w:val="6"/>
              </w:numPr>
              <w:tabs>
                <w:tab w:val="left" w:pos="1296"/>
                <w:tab w:val="left" w:pos="1728"/>
                <w:tab w:val="left" w:pos="2160"/>
                <w:tab w:val="right" w:leader="dot" w:pos="8381"/>
              </w:tabs>
              <w:suppressAutoHyphens/>
              <w:spacing w:after="120"/>
              <w:rPr>
                <w:szCs w:val="20"/>
                <w:lang w:val="fr-CH"/>
              </w:rPr>
            </w:pPr>
            <w:r w:rsidRPr="00066C50">
              <w:rPr>
                <w:lang w:val="fr-CH"/>
              </w:rPr>
              <w:t>Application du conseil de prudence P502 aux explosifs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33</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8</w:t>
            </w:r>
          </w:p>
        </w:tc>
      </w:tr>
      <w:tr w:rsidR="007B3078" w:rsidRPr="002F493A" w:rsidTr="001528C0">
        <w:tc>
          <w:tcPr>
            <w:tcW w:w="8375" w:type="dxa"/>
            <w:gridSpan w:val="2"/>
            <w:shd w:val="clear" w:color="auto" w:fill="auto"/>
          </w:tcPr>
          <w:p w:rsidR="007B3078" w:rsidRPr="002F493A" w:rsidRDefault="00B33E19" w:rsidP="00B33E19">
            <w:pPr>
              <w:pStyle w:val="ListParagraph"/>
              <w:numPr>
                <w:ilvl w:val="2"/>
                <w:numId w:val="6"/>
              </w:numPr>
              <w:tabs>
                <w:tab w:val="left" w:pos="1296"/>
                <w:tab w:val="left" w:pos="1728"/>
                <w:tab w:val="left" w:pos="2160"/>
                <w:tab w:val="right" w:leader="dot" w:pos="8381"/>
              </w:tabs>
              <w:suppressAutoHyphens/>
              <w:spacing w:after="120"/>
              <w:rPr>
                <w:szCs w:val="20"/>
                <w:lang w:val="fr-CH"/>
              </w:rPr>
            </w:pPr>
            <w:r w:rsidRPr="00F76BD3">
              <w:rPr>
                <w:lang w:val="fr-CH"/>
              </w:rPr>
              <w:t>Modification du conseil de prudence P28</w:t>
            </w:r>
            <w:r>
              <w:rPr>
                <w:lang w:val="fr-CH"/>
              </w:rPr>
              <w:t xml:space="preserve">0 pour y inclure </w:t>
            </w:r>
            <w:r>
              <w:rPr>
                <w:lang w:val="fr-CH"/>
              </w:rPr>
              <w:br/>
              <w:t xml:space="preserve">la protection </w:t>
            </w:r>
            <w:r w:rsidRPr="00F76BD3">
              <w:rPr>
                <w:lang w:val="fr-CH"/>
              </w:rPr>
              <w:t>de l’audition et des oreilles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34</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9</w:t>
            </w:r>
          </w:p>
        </w:tc>
      </w:tr>
      <w:tr w:rsidR="007B3078" w:rsidRPr="002F493A" w:rsidTr="001528C0">
        <w:tc>
          <w:tcPr>
            <w:tcW w:w="8375" w:type="dxa"/>
            <w:gridSpan w:val="2"/>
            <w:shd w:val="clear" w:color="auto" w:fill="auto"/>
          </w:tcPr>
          <w:p w:rsidR="007B3078" w:rsidRPr="002F493A" w:rsidRDefault="00B33E19" w:rsidP="00B33E19">
            <w:pPr>
              <w:pStyle w:val="ListParagraph"/>
              <w:numPr>
                <w:ilvl w:val="2"/>
                <w:numId w:val="6"/>
              </w:numPr>
              <w:tabs>
                <w:tab w:val="left" w:pos="1296"/>
                <w:tab w:val="left" w:pos="1728"/>
                <w:tab w:val="left" w:pos="2160"/>
                <w:tab w:val="right" w:leader="dot" w:pos="8381"/>
              </w:tabs>
              <w:suppressAutoHyphens/>
              <w:spacing w:after="120"/>
              <w:rPr>
                <w:szCs w:val="20"/>
                <w:lang w:val="fr-CH"/>
              </w:rPr>
            </w:pPr>
            <w:r w:rsidRPr="00066C50">
              <w:rPr>
                <w:lang w:val="fr-CH"/>
              </w:rPr>
              <w:t xml:space="preserve">Travaux du groupe informel par correspondance chargé </w:t>
            </w:r>
            <w:r>
              <w:rPr>
                <w:lang w:val="fr-CH"/>
              </w:rPr>
              <w:br/>
            </w:r>
            <w:r w:rsidRPr="00066C50">
              <w:rPr>
                <w:lang w:val="fr-CH"/>
              </w:rPr>
              <w:t>d</w:t>
            </w:r>
            <w:r>
              <w:rPr>
                <w:lang w:val="fr-CH"/>
              </w:rPr>
              <w:t xml:space="preserve">’améliorer </w:t>
            </w:r>
            <w:r w:rsidRPr="00066C50">
              <w:rPr>
                <w:lang w:val="fr-CH"/>
              </w:rPr>
              <w:t>les annexes 1 à 3</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35</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9</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Divers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36</w:t>
            </w:r>
            <w:r w:rsidR="002E6E45">
              <w:rPr>
                <w:szCs w:val="20"/>
                <w:lang w:val="fr-CH"/>
              </w:rPr>
              <w:t>–37</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9</w:t>
            </w:r>
          </w:p>
        </w:tc>
      </w:tr>
      <w:tr w:rsidR="007B3078" w:rsidRPr="002F493A" w:rsidTr="001528C0">
        <w:tc>
          <w:tcPr>
            <w:tcW w:w="8375" w:type="dxa"/>
            <w:gridSpan w:val="2"/>
            <w:shd w:val="clear" w:color="auto" w:fill="auto"/>
          </w:tcPr>
          <w:p w:rsidR="007B3078" w:rsidRPr="002F493A" w:rsidRDefault="00B33E19" w:rsidP="007B3078">
            <w:pPr>
              <w:pStyle w:val="ListParagraph"/>
              <w:tabs>
                <w:tab w:val="left" w:pos="1728"/>
                <w:tab w:val="right" w:leader="dot" w:pos="8381"/>
              </w:tabs>
              <w:suppressAutoHyphens/>
              <w:spacing w:after="120"/>
              <w:ind w:left="1728"/>
              <w:rPr>
                <w:szCs w:val="20"/>
                <w:lang w:val="fr-CH"/>
              </w:rPr>
            </w:pPr>
            <w:r w:rsidRPr="00066C50">
              <w:rPr>
                <w:lang w:val="fr-CH"/>
              </w:rPr>
              <w:t xml:space="preserve">Nouveaux exemples de citernes mobiles et de conteneurs </w:t>
            </w:r>
            <w:r>
              <w:rPr>
                <w:lang w:val="fr-CH"/>
              </w:rPr>
              <w:br/>
            </w:r>
            <w:r w:rsidRPr="00066C50">
              <w:rPr>
                <w:lang w:val="fr-CH"/>
              </w:rPr>
              <w:t>à gaz</w:t>
            </w:r>
            <w:r>
              <w:rPr>
                <w:lang w:val="fr-CH"/>
              </w:rPr>
              <w:t xml:space="preserve"> à </w:t>
            </w:r>
            <w:r w:rsidRPr="00066C50">
              <w:rPr>
                <w:lang w:val="fr-CH"/>
              </w:rPr>
              <w:t>éléments multiples</w:t>
            </w:r>
          </w:p>
        </w:tc>
        <w:tc>
          <w:tcPr>
            <w:tcW w:w="994" w:type="dxa"/>
            <w:shd w:val="clear" w:color="auto" w:fill="auto"/>
            <w:vAlign w:val="bottom"/>
          </w:tcPr>
          <w:p w:rsidR="007B3078" w:rsidRPr="002F493A" w:rsidRDefault="002E6E45" w:rsidP="001528C0">
            <w:pPr>
              <w:spacing w:after="120"/>
              <w:jc w:val="right"/>
              <w:rPr>
                <w:szCs w:val="20"/>
                <w:lang w:val="fr-CH"/>
              </w:rPr>
            </w:pPr>
            <w:r>
              <w:rPr>
                <w:szCs w:val="20"/>
                <w:lang w:val="fr-CH"/>
              </w:rPr>
              <w:t>36–</w:t>
            </w:r>
            <w:r w:rsidR="00144BE3">
              <w:rPr>
                <w:szCs w:val="20"/>
                <w:lang w:val="fr-CH"/>
              </w:rPr>
              <w:t>37</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9</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Mise en œuvre du SGH (point 5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38–43</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9</w:t>
            </w:r>
          </w:p>
        </w:tc>
      </w:tr>
      <w:tr w:rsidR="007B3078" w:rsidRPr="002F493A" w:rsidTr="001528C0">
        <w:tc>
          <w:tcPr>
            <w:tcW w:w="8375" w:type="dxa"/>
            <w:gridSpan w:val="2"/>
            <w:shd w:val="clear" w:color="auto" w:fill="auto"/>
          </w:tcPr>
          <w:p w:rsidR="007B3078" w:rsidRPr="002F493A" w:rsidRDefault="00B33E19" w:rsidP="00B33E19">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Élaboration d</w:t>
            </w:r>
            <w:r>
              <w:rPr>
                <w:lang w:val="fr-CH"/>
              </w:rPr>
              <w:t>’</w:t>
            </w:r>
            <w:r w:rsidRPr="00066C50">
              <w:rPr>
                <w:lang w:val="fr-CH"/>
              </w:rPr>
              <w:t xml:space="preserve">une liste des produits chimiques classés </w:t>
            </w:r>
            <w:r>
              <w:rPr>
                <w:lang w:val="fr-CH"/>
              </w:rPr>
              <w:br/>
            </w:r>
            <w:r w:rsidRPr="00066C50">
              <w:rPr>
                <w:lang w:val="fr-CH"/>
              </w:rPr>
              <w:t>conformément au SGH</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38–40</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9</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Rapports sur l</w:t>
            </w:r>
            <w:r>
              <w:rPr>
                <w:lang w:val="fr-CH"/>
              </w:rPr>
              <w:t>’</w:t>
            </w:r>
            <w:r w:rsidRPr="00066C50">
              <w:rPr>
                <w:lang w:val="fr-CH"/>
              </w:rPr>
              <w:t>état d</w:t>
            </w:r>
            <w:r>
              <w:rPr>
                <w:lang w:val="fr-CH"/>
              </w:rPr>
              <w:t>’</w:t>
            </w:r>
            <w:r w:rsidRPr="00066C50">
              <w:rPr>
                <w:lang w:val="fr-CH"/>
              </w:rPr>
              <w:t>avancement de la mise en œuvre</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41</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10</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Coopération avec d</w:t>
            </w:r>
            <w:r>
              <w:rPr>
                <w:lang w:val="fr-CH"/>
              </w:rPr>
              <w:t>’</w:t>
            </w:r>
            <w:r w:rsidRPr="00066C50">
              <w:rPr>
                <w:lang w:val="fr-CH"/>
              </w:rPr>
              <w:t>autres organes ou organisations internationales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42</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10</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Divers</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43</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10</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Mise au point de directives pour l</w:t>
            </w:r>
            <w:r>
              <w:rPr>
                <w:lang w:val="fr-CH"/>
              </w:rPr>
              <w:t>’</w:t>
            </w:r>
            <w:r w:rsidRPr="00066C50">
              <w:rPr>
                <w:lang w:val="fr-CH"/>
              </w:rPr>
              <w:t xml:space="preserve">application de critères </w:t>
            </w:r>
            <w:r>
              <w:rPr>
                <w:lang w:val="fr-CH"/>
              </w:rPr>
              <w:br/>
            </w:r>
            <w:r w:rsidRPr="00066C50">
              <w:rPr>
                <w:lang w:val="fr-CH"/>
              </w:rPr>
              <w:t>du SGH (point 6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44</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10</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Renforcement des capacités (point 7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45–48</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10</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Questions diverses (point 8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49–55</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11</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Résolution 2015/7 du Conseil économique et social</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49–50</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11</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Classement des engrais à base de nitrate d</w:t>
            </w:r>
            <w:r>
              <w:rPr>
                <w:lang w:val="fr-CH"/>
              </w:rPr>
              <w:t>’</w:t>
            </w:r>
            <w:r w:rsidRPr="00066C50">
              <w:rPr>
                <w:lang w:val="fr-CH"/>
              </w:rPr>
              <w:t>ammonium</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51–52</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11</w:t>
            </w:r>
          </w:p>
        </w:tc>
      </w:tr>
      <w:tr w:rsidR="007B3078" w:rsidRPr="002F493A" w:rsidTr="001528C0">
        <w:tc>
          <w:tcPr>
            <w:tcW w:w="8375" w:type="dxa"/>
            <w:gridSpan w:val="2"/>
            <w:shd w:val="clear" w:color="auto" w:fill="auto"/>
          </w:tcPr>
          <w:p w:rsidR="007B3078" w:rsidRPr="002F493A" w:rsidRDefault="00B33E19" w:rsidP="007B307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Organisation de la trente et unième session</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53–55</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11</w:t>
            </w:r>
          </w:p>
        </w:tc>
      </w:tr>
      <w:tr w:rsidR="007B3078" w:rsidRPr="002F493A" w:rsidTr="001528C0">
        <w:tc>
          <w:tcPr>
            <w:tcW w:w="8375" w:type="dxa"/>
            <w:gridSpan w:val="2"/>
            <w:shd w:val="clear" w:color="auto" w:fill="auto"/>
          </w:tcPr>
          <w:p w:rsidR="007B3078" w:rsidRPr="002F493A" w:rsidRDefault="00B33E19" w:rsidP="007B3078">
            <w:pPr>
              <w:pStyle w:val="ListParagraph"/>
              <w:numPr>
                <w:ilvl w:val="0"/>
                <w:numId w:val="6"/>
              </w:numPr>
              <w:tabs>
                <w:tab w:val="left" w:pos="1296"/>
                <w:tab w:val="right" w:leader="dot" w:pos="8381"/>
              </w:tabs>
              <w:suppressAutoHyphens/>
              <w:spacing w:after="120"/>
              <w:rPr>
                <w:szCs w:val="20"/>
                <w:lang w:val="fr-CH"/>
              </w:rPr>
            </w:pPr>
            <w:r w:rsidRPr="00066C50">
              <w:rPr>
                <w:lang w:val="fr-CH"/>
              </w:rPr>
              <w:t>Adoption du rapport (point 9 de l</w:t>
            </w:r>
            <w:r>
              <w:rPr>
                <w:lang w:val="fr-CH"/>
              </w:rPr>
              <w:t>’</w:t>
            </w:r>
            <w:r w:rsidRPr="00066C50">
              <w:rPr>
                <w:lang w:val="fr-CH"/>
              </w:rPr>
              <w:t>ordre du jour)</w:t>
            </w:r>
            <w:r w:rsidR="007B3078" w:rsidRPr="002F493A">
              <w:rPr>
                <w:szCs w:val="20"/>
                <w:lang w:val="fr-CH"/>
              </w:rPr>
              <w:tab/>
            </w:r>
          </w:p>
        </w:tc>
        <w:tc>
          <w:tcPr>
            <w:tcW w:w="994" w:type="dxa"/>
            <w:shd w:val="clear" w:color="auto" w:fill="auto"/>
            <w:vAlign w:val="bottom"/>
          </w:tcPr>
          <w:p w:rsidR="007B3078" w:rsidRPr="002F493A" w:rsidRDefault="00144BE3" w:rsidP="001528C0">
            <w:pPr>
              <w:spacing w:after="120"/>
              <w:jc w:val="right"/>
              <w:rPr>
                <w:szCs w:val="20"/>
                <w:lang w:val="fr-CH"/>
              </w:rPr>
            </w:pPr>
            <w:r>
              <w:rPr>
                <w:szCs w:val="20"/>
                <w:lang w:val="fr-CH"/>
              </w:rPr>
              <w:t>56</w:t>
            </w:r>
          </w:p>
        </w:tc>
        <w:tc>
          <w:tcPr>
            <w:tcW w:w="666" w:type="dxa"/>
            <w:shd w:val="clear" w:color="auto" w:fill="auto"/>
            <w:vAlign w:val="bottom"/>
          </w:tcPr>
          <w:p w:rsidR="007B3078" w:rsidRPr="002F493A" w:rsidRDefault="00FD40E5" w:rsidP="001528C0">
            <w:pPr>
              <w:spacing w:after="120"/>
              <w:jc w:val="right"/>
              <w:rPr>
                <w:szCs w:val="20"/>
                <w:lang w:val="fr-CH"/>
              </w:rPr>
            </w:pPr>
            <w:r>
              <w:rPr>
                <w:szCs w:val="20"/>
                <w:lang w:val="fr-CH"/>
              </w:rPr>
              <w:t>12</w:t>
            </w:r>
          </w:p>
        </w:tc>
      </w:tr>
      <w:tr w:rsidR="00956713" w:rsidRPr="002F493A" w:rsidTr="001528C0">
        <w:tc>
          <w:tcPr>
            <w:tcW w:w="8375" w:type="dxa"/>
            <w:gridSpan w:val="2"/>
            <w:shd w:val="clear" w:color="auto" w:fill="auto"/>
          </w:tcPr>
          <w:p w:rsidR="00956713" w:rsidRPr="002F493A" w:rsidRDefault="00956713" w:rsidP="00956713">
            <w:pPr>
              <w:pStyle w:val="ListParagraph"/>
              <w:tabs>
                <w:tab w:val="right" w:leader="dot" w:pos="8381"/>
              </w:tabs>
              <w:suppressAutoHyphens/>
              <w:spacing w:after="120"/>
              <w:ind w:left="0"/>
              <w:rPr>
                <w:szCs w:val="20"/>
                <w:lang w:val="fr-CH"/>
              </w:rPr>
            </w:pPr>
            <w:r w:rsidRPr="002F493A">
              <w:rPr>
                <w:szCs w:val="20"/>
                <w:lang w:val="fr-CH"/>
              </w:rPr>
              <w:t>Annexes</w:t>
            </w:r>
          </w:p>
        </w:tc>
        <w:tc>
          <w:tcPr>
            <w:tcW w:w="994" w:type="dxa"/>
            <w:shd w:val="clear" w:color="auto" w:fill="auto"/>
            <w:vAlign w:val="bottom"/>
          </w:tcPr>
          <w:p w:rsidR="00956713" w:rsidRPr="002F493A" w:rsidRDefault="00956713" w:rsidP="001528C0">
            <w:pPr>
              <w:spacing w:after="120"/>
              <w:jc w:val="right"/>
              <w:rPr>
                <w:szCs w:val="20"/>
                <w:lang w:val="fr-CH"/>
              </w:rPr>
            </w:pPr>
          </w:p>
        </w:tc>
        <w:tc>
          <w:tcPr>
            <w:tcW w:w="666" w:type="dxa"/>
            <w:shd w:val="clear" w:color="auto" w:fill="auto"/>
            <w:vAlign w:val="bottom"/>
          </w:tcPr>
          <w:p w:rsidR="00956713" w:rsidRPr="002F493A" w:rsidRDefault="00956713" w:rsidP="001528C0">
            <w:pPr>
              <w:spacing w:after="120"/>
              <w:jc w:val="right"/>
              <w:rPr>
                <w:szCs w:val="20"/>
                <w:lang w:val="fr-CH"/>
              </w:rPr>
            </w:pPr>
          </w:p>
        </w:tc>
      </w:tr>
      <w:tr w:rsidR="00956713" w:rsidRPr="002F493A" w:rsidTr="001528C0">
        <w:tc>
          <w:tcPr>
            <w:tcW w:w="8375" w:type="dxa"/>
            <w:gridSpan w:val="2"/>
            <w:shd w:val="clear" w:color="auto" w:fill="auto"/>
          </w:tcPr>
          <w:p w:rsidR="00956713" w:rsidRPr="002F493A" w:rsidRDefault="00956713" w:rsidP="00956713">
            <w:pPr>
              <w:pStyle w:val="ListParagraph"/>
              <w:tabs>
                <w:tab w:val="left" w:pos="1296"/>
                <w:tab w:val="right" w:leader="dot" w:pos="8381"/>
              </w:tabs>
              <w:suppressAutoHyphens/>
              <w:spacing w:after="120"/>
              <w:ind w:left="1296" w:hanging="346"/>
              <w:rPr>
                <w:szCs w:val="20"/>
                <w:lang w:val="fr-CH"/>
              </w:rPr>
            </w:pPr>
            <w:r w:rsidRPr="002F493A">
              <w:rPr>
                <w:szCs w:val="20"/>
                <w:lang w:val="fr-CH"/>
              </w:rPr>
              <w:t>I.</w:t>
            </w:r>
            <w:r w:rsidRPr="002F493A">
              <w:rPr>
                <w:szCs w:val="20"/>
                <w:lang w:val="fr-CH"/>
              </w:rPr>
              <w:tab/>
            </w:r>
            <w:r w:rsidR="00B33E19" w:rsidRPr="00066C50">
              <w:rPr>
                <w:lang w:val="fr-CH"/>
              </w:rPr>
              <w:t>Projets d</w:t>
            </w:r>
            <w:r w:rsidR="00B33E19">
              <w:rPr>
                <w:lang w:val="fr-CH"/>
              </w:rPr>
              <w:t>’</w:t>
            </w:r>
            <w:r w:rsidR="00B33E19" w:rsidRPr="00066C50">
              <w:rPr>
                <w:lang w:val="fr-CH"/>
              </w:rPr>
              <w:t>amendements à la sixième édition révisée du SGH (ST/SG/AC.10/30/Rev.6)</w:t>
            </w:r>
            <w:r w:rsidRPr="002F493A">
              <w:rPr>
                <w:szCs w:val="20"/>
                <w:lang w:val="fr-CH"/>
              </w:rPr>
              <w:tab/>
            </w:r>
          </w:p>
        </w:tc>
        <w:tc>
          <w:tcPr>
            <w:tcW w:w="994" w:type="dxa"/>
            <w:shd w:val="clear" w:color="auto" w:fill="auto"/>
            <w:vAlign w:val="bottom"/>
          </w:tcPr>
          <w:p w:rsidR="00956713" w:rsidRPr="002F493A" w:rsidRDefault="00956713" w:rsidP="001528C0">
            <w:pPr>
              <w:spacing w:after="120"/>
              <w:jc w:val="right"/>
              <w:rPr>
                <w:szCs w:val="20"/>
                <w:lang w:val="fr-CH"/>
              </w:rPr>
            </w:pPr>
          </w:p>
        </w:tc>
        <w:tc>
          <w:tcPr>
            <w:tcW w:w="666" w:type="dxa"/>
            <w:shd w:val="clear" w:color="auto" w:fill="auto"/>
            <w:vAlign w:val="bottom"/>
          </w:tcPr>
          <w:p w:rsidR="00956713" w:rsidRPr="002F493A" w:rsidRDefault="00FD40E5" w:rsidP="001528C0">
            <w:pPr>
              <w:spacing w:after="120"/>
              <w:jc w:val="right"/>
              <w:rPr>
                <w:szCs w:val="20"/>
                <w:lang w:val="fr-CH"/>
              </w:rPr>
            </w:pPr>
            <w:r>
              <w:rPr>
                <w:szCs w:val="20"/>
                <w:lang w:val="fr-CH"/>
              </w:rPr>
              <w:t>13</w:t>
            </w:r>
          </w:p>
        </w:tc>
      </w:tr>
      <w:tr w:rsidR="00956713" w:rsidRPr="002F493A" w:rsidTr="001528C0">
        <w:tc>
          <w:tcPr>
            <w:tcW w:w="8375" w:type="dxa"/>
            <w:gridSpan w:val="2"/>
            <w:shd w:val="clear" w:color="auto" w:fill="auto"/>
          </w:tcPr>
          <w:p w:rsidR="00956713" w:rsidRPr="002F493A" w:rsidRDefault="00956713" w:rsidP="00D81404">
            <w:pPr>
              <w:pStyle w:val="ListParagraph"/>
              <w:tabs>
                <w:tab w:val="left" w:pos="1296"/>
                <w:tab w:val="right" w:leader="dot" w:pos="8381"/>
              </w:tabs>
              <w:suppressAutoHyphens/>
              <w:spacing w:after="120"/>
              <w:ind w:left="891"/>
              <w:rPr>
                <w:szCs w:val="20"/>
                <w:lang w:val="fr-CH"/>
              </w:rPr>
            </w:pPr>
            <w:r w:rsidRPr="002F493A">
              <w:rPr>
                <w:szCs w:val="20"/>
                <w:lang w:val="fr-CH"/>
              </w:rPr>
              <w:t>II.</w:t>
            </w:r>
            <w:r w:rsidR="00B33E19">
              <w:rPr>
                <w:szCs w:val="20"/>
                <w:lang w:val="fr-CH"/>
              </w:rPr>
              <w:tab/>
            </w:r>
            <w:r w:rsidR="00B33E19" w:rsidRPr="00066C50">
              <w:rPr>
                <w:lang w:val="fr-CH"/>
              </w:rPr>
              <w:t>Rapport des Sous-Comités</w:t>
            </w:r>
            <w:r w:rsidR="00B33E19">
              <w:rPr>
                <w:lang w:val="fr-CH"/>
              </w:rPr>
              <w:t xml:space="preserve"> </w:t>
            </w:r>
            <w:r w:rsidR="00B33E19" w:rsidRPr="00066C50">
              <w:rPr>
                <w:lang w:val="fr-CH"/>
              </w:rPr>
              <w:t>TMD et SGH sur leur première session conjointe</w:t>
            </w:r>
            <w:r w:rsidRPr="002F493A">
              <w:rPr>
                <w:szCs w:val="20"/>
                <w:lang w:val="fr-CH"/>
              </w:rPr>
              <w:tab/>
            </w:r>
          </w:p>
        </w:tc>
        <w:tc>
          <w:tcPr>
            <w:tcW w:w="994" w:type="dxa"/>
            <w:shd w:val="clear" w:color="auto" w:fill="auto"/>
            <w:vAlign w:val="bottom"/>
          </w:tcPr>
          <w:p w:rsidR="00956713" w:rsidRPr="002F493A" w:rsidRDefault="00956713" w:rsidP="001528C0">
            <w:pPr>
              <w:spacing w:after="120"/>
              <w:jc w:val="right"/>
              <w:rPr>
                <w:szCs w:val="20"/>
                <w:lang w:val="fr-CH"/>
              </w:rPr>
            </w:pPr>
          </w:p>
        </w:tc>
        <w:tc>
          <w:tcPr>
            <w:tcW w:w="666" w:type="dxa"/>
            <w:shd w:val="clear" w:color="auto" w:fill="auto"/>
            <w:vAlign w:val="bottom"/>
          </w:tcPr>
          <w:p w:rsidR="00956713" w:rsidRPr="002F493A" w:rsidRDefault="00FD40E5" w:rsidP="001528C0">
            <w:pPr>
              <w:spacing w:after="120"/>
              <w:jc w:val="right"/>
              <w:rPr>
                <w:szCs w:val="20"/>
                <w:lang w:val="fr-CH"/>
              </w:rPr>
            </w:pPr>
            <w:r>
              <w:rPr>
                <w:szCs w:val="20"/>
                <w:lang w:val="fr-CH"/>
              </w:rPr>
              <w:t>14</w:t>
            </w:r>
          </w:p>
        </w:tc>
      </w:tr>
      <w:tr w:rsidR="00956713" w:rsidRPr="002F493A" w:rsidTr="001528C0">
        <w:tc>
          <w:tcPr>
            <w:tcW w:w="8375" w:type="dxa"/>
            <w:gridSpan w:val="2"/>
            <w:shd w:val="clear" w:color="auto" w:fill="auto"/>
          </w:tcPr>
          <w:p w:rsidR="00956713" w:rsidRPr="002F493A" w:rsidRDefault="00B33E19" w:rsidP="002A07B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Utilisation du Manuel d</w:t>
            </w:r>
            <w:r>
              <w:rPr>
                <w:lang w:val="fr-CH"/>
              </w:rPr>
              <w:t>’</w:t>
            </w:r>
            <w:r w:rsidRPr="00066C50">
              <w:rPr>
                <w:lang w:val="fr-CH"/>
              </w:rPr>
              <w:t xml:space="preserve">épreuves et de critères dans le contexte </w:t>
            </w:r>
            <w:r>
              <w:rPr>
                <w:lang w:val="fr-CH"/>
              </w:rPr>
              <w:br/>
            </w:r>
            <w:r w:rsidRPr="00066C50">
              <w:rPr>
                <w:lang w:val="fr-CH"/>
              </w:rPr>
              <w:t>du SGH</w:t>
            </w:r>
            <w:r w:rsidR="00956713" w:rsidRPr="002F493A">
              <w:rPr>
                <w:szCs w:val="20"/>
                <w:lang w:val="fr-CH"/>
              </w:rPr>
              <w:tab/>
            </w:r>
          </w:p>
        </w:tc>
        <w:tc>
          <w:tcPr>
            <w:tcW w:w="994" w:type="dxa"/>
            <w:shd w:val="clear" w:color="auto" w:fill="auto"/>
            <w:vAlign w:val="bottom"/>
          </w:tcPr>
          <w:p w:rsidR="00956713" w:rsidRPr="002F493A" w:rsidRDefault="00956713" w:rsidP="001528C0">
            <w:pPr>
              <w:spacing w:after="120"/>
              <w:jc w:val="right"/>
              <w:rPr>
                <w:szCs w:val="20"/>
                <w:lang w:val="fr-CH"/>
              </w:rPr>
            </w:pPr>
          </w:p>
        </w:tc>
        <w:tc>
          <w:tcPr>
            <w:tcW w:w="666" w:type="dxa"/>
            <w:shd w:val="clear" w:color="auto" w:fill="auto"/>
            <w:vAlign w:val="bottom"/>
          </w:tcPr>
          <w:p w:rsidR="00956713" w:rsidRPr="002F493A" w:rsidRDefault="00FD40E5" w:rsidP="001528C0">
            <w:pPr>
              <w:spacing w:after="120"/>
              <w:jc w:val="right"/>
              <w:rPr>
                <w:szCs w:val="20"/>
                <w:lang w:val="fr-CH"/>
              </w:rPr>
            </w:pPr>
            <w:r>
              <w:rPr>
                <w:szCs w:val="20"/>
                <w:lang w:val="fr-CH"/>
              </w:rPr>
              <w:t>14</w:t>
            </w:r>
          </w:p>
        </w:tc>
      </w:tr>
      <w:tr w:rsidR="00956713" w:rsidRPr="002F493A" w:rsidTr="001528C0">
        <w:tc>
          <w:tcPr>
            <w:tcW w:w="8375" w:type="dxa"/>
            <w:gridSpan w:val="2"/>
            <w:shd w:val="clear" w:color="auto" w:fill="auto"/>
          </w:tcPr>
          <w:p w:rsidR="00956713" w:rsidRPr="002F493A" w:rsidRDefault="00B33E19" w:rsidP="002A07B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Classement et communication de dangers des gaz inflammables</w:t>
            </w:r>
            <w:r w:rsidR="00956713" w:rsidRPr="002F493A">
              <w:rPr>
                <w:szCs w:val="20"/>
                <w:lang w:val="fr-CH"/>
              </w:rPr>
              <w:tab/>
            </w:r>
          </w:p>
        </w:tc>
        <w:tc>
          <w:tcPr>
            <w:tcW w:w="994" w:type="dxa"/>
            <w:shd w:val="clear" w:color="auto" w:fill="auto"/>
            <w:vAlign w:val="bottom"/>
          </w:tcPr>
          <w:p w:rsidR="00956713" w:rsidRPr="002F493A" w:rsidRDefault="00956713" w:rsidP="001528C0">
            <w:pPr>
              <w:spacing w:after="120"/>
              <w:jc w:val="right"/>
              <w:rPr>
                <w:szCs w:val="20"/>
                <w:lang w:val="fr-CH"/>
              </w:rPr>
            </w:pPr>
          </w:p>
        </w:tc>
        <w:tc>
          <w:tcPr>
            <w:tcW w:w="666" w:type="dxa"/>
            <w:shd w:val="clear" w:color="auto" w:fill="auto"/>
            <w:vAlign w:val="bottom"/>
          </w:tcPr>
          <w:p w:rsidR="00956713" w:rsidRPr="002F493A" w:rsidRDefault="00FD40E5" w:rsidP="001528C0">
            <w:pPr>
              <w:spacing w:after="120"/>
              <w:jc w:val="right"/>
              <w:rPr>
                <w:szCs w:val="20"/>
                <w:lang w:val="fr-CH"/>
              </w:rPr>
            </w:pPr>
            <w:r>
              <w:rPr>
                <w:szCs w:val="20"/>
                <w:lang w:val="fr-CH"/>
              </w:rPr>
              <w:t>14</w:t>
            </w:r>
          </w:p>
        </w:tc>
      </w:tr>
      <w:tr w:rsidR="00956713" w:rsidRPr="002F493A" w:rsidTr="001528C0">
        <w:tc>
          <w:tcPr>
            <w:tcW w:w="8375" w:type="dxa"/>
            <w:gridSpan w:val="2"/>
            <w:shd w:val="clear" w:color="auto" w:fill="auto"/>
          </w:tcPr>
          <w:p w:rsidR="00956713" w:rsidRPr="002F493A" w:rsidRDefault="00B33E19" w:rsidP="002A07B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Révision du chapitre 2.1 du SGH</w:t>
            </w:r>
            <w:r w:rsidR="002A07B8" w:rsidRPr="002F493A">
              <w:rPr>
                <w:szCs w:val="20"/>
                <w:lang w:val="fr-CH"/>
              </w:rPr>
              <w:tab/>
            </w:r>
          </w:p>
        </w:tc>
        <w:tc>
          <w:tcPr>
            <w:tcW w:w="994" w:type="dxa"/>
            <w:shd w:val="clear" w:color="auto" w:fill="auto"/>
            <w:vAlign w:val="bottom"/>
          </w:tcPr>
          <w:p w:rsidR="00956713" w:rsidRPr="002F493A" w:rsidRDefault="00956713" w:rsidP="001528C0">
            <w:pPr>
              <w:spacing w:after="120"/>
              <w:jc w:val="right"/>
              <w:rPr>
                <w:szCs w:val="20"/>
                <w:lang w:val="fr-CH"/>
              </w:rPr>
            </w:pPr>
          </w:p>
        </w:tc>
        <w:tc>
          <w:tcPr>
            <w:tcW w:w="666" w:type="dxa"/>
            <w:shd w:val="clear" w:color="auto" w:fill="auto"/>
            <w:vAlign w:val="bottom"/>
          </w:tcPr>
          <w:p w:rsidR="00956713" w:rsidRPr="002F493A" w:rsidRDefault="00FD40E5" w:rsidP="001528C0">
            <w:pPr>
              <w:spacing w:after="120"/>
              <w:jc w:val="right"/>
              <w:rPr>
                <w:szCs w:val="20"/>
                <w:lang w:val="fr-CH"/>
              </w:rPr>
            </w:pPr>
            <w:r>
              <w:rPr>
                <w:szCs w:val="20"/>
                <w:lang w:val="fr-CH"/>
              </w:rPr>
              <w:t>15</w:t>
            </w:r>
          </w:p>
        </w:tc>
      </w:tr>
      <w:tr w:rsidR="002A07B8" w:rsidRPr="002F493A" w:rsidTr="001528C0">
        <w:tc>
          <w:tcPr>
            <w:tcW w:w="8375" w:type="dxa"/>
            <w:gridSpan w:val="2"/>
            <w:shd w:val="clear" w:color="auto" w:fill="auto"/>
          </w:tcPr>
          <w:p w:rsidR="002A07B8" w:rsidRPr="002F493A" w:rsidRDefault="00B33E19" w:rsidP="002A07B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lastRenderedPageBreak/>
              <w:t xml:space="preserve">Épreuves et critères pour les matières liquides comburantes (épreuve O.2) </w:t>
            </w:r>
            <w:r>
              <w:rPr>
                <w:lang w:val="fr-CH"/>
              </w:rPr>
              <w:br/>
            </w:r>
            <w:r w:rsidRPr="00066C50">
              <w:rPr>
                <w:lang w:val="fr-CH"/>
              </w:rPr>
              <w:t>et solides comburantes (épreuve O.3)</w:t>
            </w:r>
            <w:r w:rsidR="002A07B8" w:rsidRPr="002F493A">
              <w:rPr>
                <w:szCs w:val="20"/>
                <w:lang w:val="fr-CH"/>
              </w:rPr>
              <w:tab/>
            </w:r>
          </w:p>
        </w:tc>
        <w:tc>
          <w:tcPr>
            <w:tcW w:w="994" w:type="dxa"/>
            <w:shd w:val="clear" w:color="auto" w:fill="auto"/>
            <w:vAlign w:val="bottom"/>
          </w:tcPr>
          <w:p w:rsidR="002A07B8" w:rsidRPr="002F493A" w:rsidRDefault="002A07B8" w:rsidP="001528C0">
            <w:pPr>
              <w:spacing w:after="120"/>
              <w:jc w:val="right"/>
              <w:rPr>
                <w:szCs w:val="20"/>
                <w:lang w:val="fr-CH"/>
              </w:rPr>
            </w:pPr>
          </w:p>
        </w:tc>
        <w:tc>
          <w:tcPr>
            <w:tcW w:w="666" w:type="dxa"/>
            <w:shd w:val="clear" w:color="auto" w:fill="auto"/>
            <w:vAlign w:val="bottom"/>
          </w:tcPr>
          <w:p w:rsidR="002A07B8" w:rsidRPr="002F493A" w:rsidRDefault="00FD40E5" w:rsidP="001528C0">
            <w:pPr>
              <w:spacing w:after="120"/>
              <w:jc w:val="right"/>
              <w:rPr>
                <w:szCs w:val="20"/>
                <w:lang w:val="fr-CH"/>
              </w:rPr>
            </w:pPr>
            <w:r>
              <w:rPr>
                <w:szCs w:val="20"/>
                <w:lang w:val="fr-CH"/>
              </w:rPr>
              <w:t>16</w:t>
            </w:r>
          </w:p>
        </w:tc>
      </w:tr>
      <w:tr w:rsidR="002A07B8" w:rsidRPr="002F493A" w:rsidTr="001528C0">
        <w:tc>
          <w:tcPr>
            <w:tcW w:w="8375" w:type="dxa"/>
            <w:gridSpan w:val="2"/>
            <w:shd w:val="clear" w:color="auto" w:fill="auto"/>
          </w:tcPr>
          <w:p w:rsidR="002A07B8" w:rsidRPr="002F493A" w:rsidRDefault="00B33E19" w:rsidP="0093368C">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Interdiction d</w:t>
            </w:r>
            <w:r>
              <w:rPr>
                <w:lang w:val="fr-CH"/>
              </w:rPr>
              <w:t>’</w:t>
            </w:r>
            <w:r w:rsidRPr="00066C50">
              <w:rPr>
                <w:lang w:val="fr-CH"/>
              </w:rPr>
              <w:t xml:space="preserve">utiliser, lors du transport, des pictogrammes SGH </w:t>
            </w:r>
            <w:r>
              <w:rPr>
                <w:lang w:val="fr-CH"/>
              </w:rPr>
              <w:br/>
            </w:r>
            <w:r w:rsidRPr="00066C50">
              <w:rPr>
                <w:lang w:val="fr-CH"/>
              </w:rPr>
              <w:t>non liés aux transports lorsqu</w:t>
            </w:r>
            <w:r>
              <w:rPr>
                <w:lang w:val="fr-CH"/>
              </w:rPr>
              <w:t>’</w:t>
            </w:r>
            <w:r w:rsidRPr="00066C50">
              <w:rPr>
                <w:lang w:val="fr-CH"/>
              </w:rPr>
              <w:t xml:space="preserve">ils ne font pas partie </w:t>
            </w:r>
            <w:r>
              <w:rPr>
                <w:lang w:val="fr-CH"/>
              </w:rPr>
              <w:br/>
            </w:r>
            <w:r w:rsidRPr="00066C50">
              <w:rPr>
                <w:lang w:val="fr-CH"/>
              </w:rPr>
              <w:t>d</w:t>
            </w:r>
            <w:r>
              <w:rPr>
                <w:lang w:val="fr-CH"/>
              </w:rPr>
              <w:t>’</w:t>
            </w:r>
            <w:r w:rsidRPr="00066C50">
              <w:rPr>
                <w:lang w:val="fr-CH"/>
              </w:rPr>
              <w:t>une étiquette SGH complète</w:t>
            </w:r>
            <w:r w:rsidR="002A07B8" w:rsidRPr="002F493A">
              <w:rPr>
                <w:szCs w:val="20"/>
                <w:lang w:val="fr-CH"/>
              </w:rPr>
              <w:tab/>
            </w:r>
          </w:p>
        </w:tc>
        <w:tc>
          <w:tcPr>
            <w:tcW w:w="994" w:type="dxa"/>
            <w:shd w:val="clear" w:color="auto" w:fill="auto"/>
            <w:vAlign w:val="bottom"/>
          </w:tcPr>
          <w:p w:rsidR="002A07B8" w:rsidRPr="002F493A" w:rsidRDefault="002A07B8" w:rsidP="001528C0">
            <w:pPr>
              <w:spacing w:after="120"/>
              <w:jc w:val="right"/>
              <w:rPr>
                <w:szCs w:val="20"/>
                <w:lang w:val="fr-CH"/>
              </w:rPr>
            </w:pPr>
          </w:p>
        </w:tc>
        <w:tc>
          <w:tcPr>
            <w:tcW w:w="666" w:type="dxa"/>
            <w:shd w:val="clear" w:color="auto" w:fill="auto"/>
            <w:vAlign w:val="bottom"/>
          </w:tcPr>
          <w:p w:rsidR="002A07B8" w:rsidRPr="002F493A" w:rsidRDefault="00FD40E5" w:rsidP="001528C0">
            <w:pPr>
              <w:spacing w:after="120"/>
              <w:jc w:val="right"/>
              <w:rPr>
                <w:szCs w:val="20"/>
                <w:lang w:val="fr-CH"/>
              </w:rPr>
            </w:pPr>
            <w:r>
              <w:rPr>
                <w:szCs w:val="20"/>
                <w:lang w:val="fr-CH"/>
              </w:rPr>
              <w:t>16</w:t>
            </w:r>
          </w:p>
        </w:tc>
      </w:tr>
      <w:tr w:rsidR="002A07B8" w:rsidRPr="002F493A" w:rsidTr="001528C0">
        <w:tc>
          <w:tcPr>
            <w:tcW w:w="8375" w:type="dxa"/>
            <w:gridSpan w:val="2"/>
            <w:shd w:val="clear" w:color="auto" w:fill="auto"/>
          </w:tcPr>
          <w:p w:rsidR="002A07B8" w:rsidRPr="002F493A" w:rsidRDefault="00B33E19" w:rsidP="002A07B8">
            <w:pPr>
              <w:pStyle w:val="ListParagraph"/>
              <w:numPr>
                <w:ilvl w:val="1"/>
                <w:numId w:val="6"/>
              </w:numPr>
              <w:tabs>
                <w:tab w:val="left" w:pos="1296"/>
                <w:tab w:val="left" w:pos="1728"/>
                <w:tab w:val="right" w:leader="dot" w:pos="8381"/>
              </w:tabs>
              <w:suppressAutoHyphens/>
              <w:spacing w:after="120"/>
              <w:rPr>
                <w:szCs w:val="20"/>
                <w:lang w:val="fr-CH"/>
              </w:rPr>
            </w:pPr>
            <w:r w:rsidRPr="00066C50">
              <w:rPr>
                <w:lang w:val="fr-CH"/>
              </w:rPr>
              <w:t>Critères de corrosivité</w:t>
            </w:r>
            <w:r w:rsidR="002A07B8" w:rsidRPr="002F493A">
              <w:rPr>
                <w:szCs w:val="20"/>
                <w:lang w:val="fr-CH"/>
              </w:rPr>
              <w:tab/>
            </w:r>
          </w:p>
        </w:tc>
        <w:tc>
          <w:tcPr>
            <w:tcW w:w="994" w:type="dxa"/>
            <w:shd w:val="clear" w:color="auto" w:fill="auto"/>
            <w:vAlign w:val="bottom"/>
          </w:tcPr>
          <w:p w:rsidR="002A07B8" w:rsidRPr="002F493A" w:rsidRDefault="002A07B8" w:rsidP="001528C0">
            <w:pPr>
              <w:spacing w:after="120"/>
              <w:jc w:val="right"/>
              <w:rPr>
                <w:szCs w:val="20"/>
                <w:lang w:val="fr-CH"/>
              </w:rPr>
            </w:pPr>
          </w:p>
        </w:tc>
        <w:tc>
          <w:tcPr>
            <w:tcW w:w="666" w:type="dxa"/>
            <w:shd w:val="clear" w:color="auto" w:fill="auto"/>
            <w:vAlign w:val="bottom"/>
          </w:tcPr>
          <w:p w:rsidR="002A07B8" w:rsidRPr="002F493A" w:rsidRDefault="00FD40E5" w:rsidP="001528C0">
            <w:pPr>
              <w:spacing w:after="120"/>
              <w:jc w:val="right"/>
              <w:rPr>
                <w:szCs w:val="20"/>
                <w:lang w:val="fr-CH"/>
              </w:rPr>
            </w:pPr>
            <w:r>
              <w:rPr>
                <w:szCs w:val="20"/>
                <w:lang w:val="fr-CH"/>
              </w:rPr>
              <w:t>16</w:t>
            </w:r>
          </w:p>
        </w:tc>
      </w:tr>
    </w:tbl>
    <w:p w:rsidR="00C479DB" w:rsidRDefault="00C479DB" w:rsidP="001528C0">
      <w:pPr>
        <w:rPr>
          <w:lang w:val="fr-CH"/>
        </w:rPr>
      </w:pPr>
    </w:p>
    <w:p w:rsidR="00C479DB" w:rsidRDefault="00C479DB">
      <w:pPr>
        <w:spacing w:line="240" w:lineRule="auto"/>
        <w:rPr>
          <w:lang w:val="fr-CH"/>
        </w:rPr>
      </w:pPr>
      <w:r>
        <w:rPr>
          <w:lang w:val="fr-CH"/>
        </w:rPr>
        <w:br w:type="page"/>
      </w:r>
    </w:p>
    <w:p w:rsidR="00066C50" w:rsidRDefault="00066C50" w:rsidP="00C479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I.</w:t>
      </w:r>
      <w:r w:rsidRPr="00066C50">
        <w:rPr>
          <w:lang w:val="fr-CH"/>
        </w:rPr>
        <w:tab/>
        <w:t>Participation</w:t>
      </w:r>
    </w:p>
    <w:p w:rsidR="00C479DB" w:rsidRPr="00C479DB" w:rsidRDefault="00C479DB" w:rsidP="00C479DB">
      <w:pPr>
        <w:pStyle w:val="SingleTxt"/>
        <w:spacing w:after="0" w:line="120" w:lineRule="exact"/>
        <w:rPr>
          <w:sz w:val="10"/>
          <w:lang w:val="fr-CH"/>
        </w:rPr>
      </w:pPr>
    </w:p>
    <w:p w:rsidR="00C479DB" w:rsidRPr="00C479DB" w:rsidRDefault="00C479DB" w:rsidP="00C479DB">
      <w:pPr>
        <w:pStyle w:val="SingleTxt"/>
        <w:spacing w:after="0" w:line="120" w:lineRule="exact"/>
        <w:rPr>
          <w:sz w:val="10"/>
          <w:lang w:val="fr-CH"/>
        </w:rPr>
      </w:pPr>
    </w:p>
    <w:p w:rsidR="00066C50" w:rsidRPr="00066C50" w:rsidRDefault="00066C50" w:rsidP="00C479DB">
      <w:pPr>
        <w:pStyle w:val="SingleTxt"/>
        <w:numPr>
          <w:ilvl w:val="0"/>
          <w:numId w:val="8"/>
        </w:numPr>
        <w:tabs>
          <w:tab w:val="clear" w:pos="475"/>
          <w:tab w:val="num" w:pos="1742"/>
        </w:tabs>
        <w:ind w:left="1267"/>
        <w:rPr>
          <w:lang w:val="fr-CH"/>
        </w:rPr>
      </w:pPr>
      <w:r w:rsidRPr="00066C50">
        <w:rPr>
          <w:lang w:val="fr-CH"/>
        </w:rPr>
        <w:t>Le Sous-Comité d</w:t>
      </w:r>
      <w:r w:rsidR="00322F95">
        <w:rPr>
          <w:lang w:val="fr-CH"/>
        </w:rPr>
        <w:t>’</w:t>
      </w:r>
      <w:r w:rsidRPr="00066C50">
        <w:rPr>
          <w:lang w:val="fr-CH"/>
        </w:rPr>
        <w:t>experts du Système général harmonisé de classification et d</w:t>
      </w:r>
      <w:r w:rsidR="00322F95">
        <w:rPr>
          <w:lang w:val="fr-CH"/>
        </w:rPr>
        <w:t>’</w:t>
      </w:r>
      <w:r w:rsidRPr="00066C50">
        <w:rPr>
          <w:lang w:val="fr-CH"/>
        </w:rPr>
        <w:t>étiquetage des produits chimiques a tenu sa trentième session du 9 au 11</w:t>
      </w:r>
      <w:r w:rsidR="001F0501">
        <w:rPr>
          <w:lang w:val="fr-CH"/>
        </w:rPr>
        <w:t> </w:t>
      </w:r>
      <w:r w:rsidRPr="00066C50">
        <w:rPr>
          <w:lang w:val="fr-CH"/>
        </w:rPr>
        <w:t>décembre 2015, sous la présidence de M</w:t>
      </w:r>
      <w:r w:rsidRPr="00322F95">
        <w:rPr>
          <w:vertAlign w:val="superscript"/>
          <w:lang w:val="fr-CH"/>
        </w:rPr>
        <w:t>me</w:t>
      </w:r>
      <w:r w:rsidR="00322F95" w:rsidRPr="001F0501">
        <w:rPr>
          <w:lang w:val="fr-CH"/>
        </w:rPr>
        <w:t> </w:t>
      </w:r>
      <w:r w:rsidRPr="00066C50">
        <w:rPr>
          <w:lang w:val="fr-CH"/>
        </w:rPr>
        <w:t>Maureen Ruskin (États-Unis d</w:t>
      </w:r>
      <w:r w:rsidR="00322F95">
        <w:rPr>
          <w:lang w:val="fr-CH"/>
        </w:rPr>
        <w:t>’</w:t>
      </w:r>
      <w:r w:rsidRPr="00066C50">
        <w:rPr>
          <w:lang w:val="fr-CH"/>
        </w:rPr>
        <w:t>Amérique) et la vice-présidence de M.</w:t>
      </w:r>
      <w:r w:rsidR="001F0501">
        <w:rPr>
          <w:lang w:val="fr-CH"/>
        </w:rPr>
        <w:t> </w:t>
      </w:r>
      <w:r w:rsidRPr="00066C50">
        <w:rPr>
          <w:lang w:val="fr-CH"/>
        </w:rPr>
        <w:t>Robin Foster (Royaume-Uni).</w:t>
      </w:r>
    </w:p>
    <w:p w:rsidR="00066C50" w:rsidRPr="00066C50" w:rsidRDefault="00066C50" w:rsidP="002E6E45">
      <w:pPr>
        <w:pStyle w:val="SingleTxt"/>
        <w:numPr>
          <w:ilvl w:val="0"/>
          <w:numId w:val="8"/>
        </w:numPr>
        <w:tabs>
          <w:tab w:val="clear" w:pos="475"/>
          <w:tab w:val="num" w:pos="1742"/>
        </w:tabs>
        <w:ind w:left="1267"/>
        <w:rPr>
          <w:lang w:val="fr-CH"/>
        </w:rPr>
      </w:pPr>
      <w:r w:rsidRPr="00066C50">
        <w:rPr>
          <w:lang w:val="fr-CH"/>
        </w:rPr>
        <w:t>Ont participé à cette session des experts des pays suivants</w:t>
      </w:r>
      <w:r w:rsidR="001F0501">
        <w:rPr>
          <w:lang w:val="fr-CH"/>
        </w:rPr>
        <w:t> </w:t>
      </w:r>
      <w:r w:rsidR="002E6E45">
        <w:rPr>
          <w:lang w:val="fr-CH"/>
        </w:rPr>
        <w:t>: Allemagne,</w:t>
      </w:r>
      <w:r w:rsidRPr="00066C50">
        <w:rPr>
          <w:lang w:val="fr-CH"/>
        </w:rPr>
        <w:t xml:space="preserve"> Afrique du Sud</w:t>
      </w:r>
      <w:r w:rsidR="002E6E45">
        <w:rPr>
          <w:lang w:val="fr-CH"/>
        </w:rPr>
        <w:t>,</w:t>
      </w:r>
      <w:r w:rsidRPr="00066C50">
        <w:rPr>
          <w:lang w:val="fr-CH"/>
        </w:rPr>
        <w:t xml:space="preserve"> Argentine</w:t>
      </w:r>
      <w:r w:rsidR="002E6E45">
        <w:rPr>
          <w:lang w:val="fr-CH"/>
        </w:rPr>
        <w:t>,</w:t>
      </w:r>
      <w:r w:rsidRPr="00066C50">
        <w:rPr>
          <w:lang w:val="fr-CH"/>
        </w:rPr>
        <w:t xml:space="preserve"> Australie</w:t>
      </w:r>
      <w:r w:rsidR="002E6E45">
        <w:rPr>
          <w:lang w:val="fr-CH"/>
        </w:rPr>
        <w:t>,</w:t>
      </w:r>
      <w:r w:rsidRPr="00066C50">
        <w:rPr>
          <w:lang w:val="fr-CH"/>
        </w:rPr>
        <w:t xml:space="preserve"> </w:t>
      </w:r>
      <w:r w:rsidR="002E6E45">
        <w:rPr>
          <w:lang w:val="fr-CH"/>
        </w:rPr>
        <w:t>Belgique,</w:t>
      </w:r>
      <w:r w:rsidRPr="00066C50">
        <w:rPr>
          <w:lang w:val="fr-CH"/>
        </w:rPr>
        <w:t xml:space="preserve"> Brésil</w:t>
      </w:r>
      <w:r w:rsidR="002E6E45">
        <w:rPr>
          <w:lang w:val="fr-CH"/>
        </w:rPr>
        <w:t>,</w:t>
      </w:r>
      <w:r w:rsidRPr="00066C50">
        <w:rPr>
          <w:lang w:val="fr-CH"/>
        </w:rPr>
        <w:t xml:space="preserve"> Canada</w:t>
      </w:r>
      <w:r w:rsidR="002E6E45">
        <w:rPr>
          <w:lang w:val="fr-CH"/>
        </w:rPr>
        <w:t>,</w:t>
      </w:r>
      <w:r w:rsidRPr="00066C50">
        <w:rPr>
          <w:lang w:val="fr-CH"/>
        </w:rPr>
        <w:t xml:space="preserve"> Chine</w:t>
      </w:r>
      <w:r w:rsidR="002E6E45">
        <w:rPr>
          <w:lang w:val="fr-CH"/>
        </w:rPr>
        <w:t>,</w:t>
      </w:r>
      <w:r w:rsidR="00E67F85">
        <w:rPr>
          <w:lang w:val="fr-CH"/>
        </w:rPr>
        <w:t xml:space="preserve"> </w:t>
      </w:r>
      <w:r w:rsidRPr="00066C50">
        <w:rPr>
          <w:lang w:val="fr-CH"/>
        </w:rPr>
        <w:t>États-Unis d</w:t>
      </w:r>
      <w:r w:rsidR="00322F95">
        <w:rPr>
          <w:lang w:val="fr-CH"/>
        </w:rPr>
        <w:t>’</w:t>
      </w:r>
      <w:r w:rsidRPr="00066C50">
        <w:rPr>
          <w:lang w:val="fr-CH"/>
        </w:rPr>
        <w:t>Amérique</w:t>
      </w:r>
      <w:r w:rsidR="002E6E45">
        <w:rPr>
          <w:lang w:val="fr-CH"/>
        </w:rPr>
        <w:t>,</w:t>
      </w:r>
      <w:r w:rsidRPr="00066C50">
        <w:rPr>
          <w:lang w:val="fr-CH"/>
        </w:rPr>
        <w:t xml:space="preserve"> Fédération de Russie</w:t>
      </w:r>
      <w:r w:rsidR="002E6E45">
        <w:rPr>
          <w:lang w:val="fr-CH"/>
        </w:rPr>
        <w:t>,</w:t>
      </w:r>
      <w:r w:rsidRPr="00066C50">
        <w:rPr>
          <w:lang w:val="fr-CH"/>
        </w:rPr>
        <w:t xml:space="preserve"> Finlande</w:t>
      </w:r>
      <w:r w:rsidR="002E6E45">
        <w:rPr>
          <w:lang w:val="fr-CH"/>
        </w:rPr>
        <w:t>,</w:t>
      </w:r>
      <w:r w:rsidRPr="00066C50">
        <w:rPr>
          <w:lang w:val="fr-CH"/>
        </w:rPr>
        <w:t xml:space="preserve"> </w:t>
      </w:r>
      <w:r w:rsidR="002E6E45">
        <w:rPr>
          <w:lang w:val="fr-CH"/>
        </w:rPr>
        <w:t>France,</w:t>
      </w:r>
      <w:r w:rsidRPr="00066C50">
        <w:rPr>
          <w:lang w:val="fr-CH"/>
        </w:rPr>
        <w:t xml:space="preserve"> </w:t>
      </w:r>
      <w:r w:rsidR="002E6E45">
        <w:rPr>
          <w:lang w:val="fr-CH"/>
        </w:rPr>
        <w:t>Italie,</w:t>
      </w:r>
      <w:r w:rsidRPr="00066C50">
        <w:rPr>
          <w:lang w:val="fr-CH"/>
        </w:rPr>
        <w:t xml:space="preserve"> Japon</w:t>
      </w:r>
      <w:r w:rsidR="002E6E45">
        <w:rPr>
          <w:lang w:val="fr-CH"/>
        </w:rPr>
        <w:t>,</w:t>
      </w:r>
      <w:r w:rsidRPr="00066C50">
        <w:rPr>
          <w:lang w:val="fr-CH"/>
        </w:rPr>
        <w:t xml:space="preserve"> Kenya, Norvège, Pays-Bas, Pol</w:t>
      </w:r>
      <w:r w:rsidR="002E6E45">
        <w:rPr>
          <w:lang w:val="fr-CH"/>
        </w:rPr>
        <w:t>ogne, Qatar, République de Corée,</w:t>
      </w:r>
      <w:r w:rsidRPr="00066C50">
        <w:rPr>
          <w:lang w:val="fr-CH"/>
        </w:rPr>
        <w:t xml:space="preserve"> Royaume-Uni et Suède.</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En vertu de l</w:t>
      </w:r>
      <w:r w:rsidR="00322F95">
        <w:rPr>
          <w:lang w:val="fr-CH"/>
        </w:rPr>
        <w:t>’</w:t>
      </w:r>
      <w:r w:rsidRPr="00066C50">
        <w:rPr>
          <w:lang w:val="fr-CH"/>
        </w:rPr>
        <w:t>article</w:t>
      </w:r>
      <w:r w:rsidR="001F0501">
        <w:rPr>
          <w:lang w:val="fr-CH"/>
        </w:rPr>
        <w:t> </w:t>
      </w:r>
      <w:r w:rsidRPr="00066C50">
        <w:rPr>
          <w:lang w:val="fr-CH"/>
        </w:rPr>
        <w:t>72 du Règlement intérieur du Conseil économique et social, les observateurs des pays suivants y ont également participé</w:t>
      </w:r>
      <w:r w:rsidR="001F0501">
        <w:rPr>
          <w:lang w:val="fr-CH"/>
        </w:rPr>
        <w:t> </w:t>
      </w:r>
      <w:r w:rsidRPr="00066C50">
        <w:rPr>
          <w:lang w:val="fr-CH"/>
        </w:rPr>
        <w:t>: Roumanie et Suisse.</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Étaient aussi présents des représentants de l</w:t>
      </w:r>
      <w:r w:rsidR="00322F95">
        <w:rPr>
          <w:lang w:val="fr-CH"/>
        </w:rPr>
        <w:t>’</w:t>
      </w:r>
      <w:r w:rsidRPr="00066C50">
        <w:rPr>
          <w:lang w:val="fr-CH"/>
        </w:rPr>
        <w:t>Organisation maritime internationale (OMI) et de l</w:t>
      </w:r>
      <w:r w:rsidR="00322F95">
        <w:rPr>
          <w:lang w:val="fr-CH"/>
        </w:rPr>
        <w:t>’</w:t>
      </w:r>
      <w:r w:rsidRPr="00066C50">
        <w:rPr>
          <w:lang w:val="fr-CH"/>
        </w:rPr>
        <w:t xml:space="preserve">Institut des Nations Unies pour la formation et la recherche (UNITAR). </w:t>
      </w:r>
    </w:p>
    <w:p w:rsidR="00066C50" w:rsidRPr="00890252" w:rsidRDefault="00066C50" w:rsidP="00E1038F">
      <w:pPr>
        <w:pStyle w:val="SingleTxt"/>
        <w:numPr>
          <w:ilvl w:val="0"/>
          <w:numId w:val="8"/>
        </w:numPr>
        <w:tabs>
          <w:tab w:val="clear" w:pos="475"/>
          <w:tab w:val="num" w:pos="1742"/>
        </w:tabs>
        <w:ind w:left="1267"/>
        <w:rPr>
          <w:spacing w:val="0"/>
          <w:lang w:val="fr-CH"/>
        </w:rPr>
      </w:pPr>
      <w:r w:rsidRPr="00890252">
        <w:rPr>
          <w:spacing w:val="0"/>
          <w:lang w:val="fr-CH"/>
        </w:rPr>
        <w:t>Deux organisations intergouvernementales étaient aussi représentées</w:t>
      </w:r>
      <w:r w:rsidR="001F0501" w:rsidRPr="00890252">
        <w:rPr>
          <w:spacing w:val="0"/>
          <w:lang w:val="fr-CH"/>
        </w:rPr>
        <w:t> </w:t>
      </w:r>
      <w:r w:rsidRPr="00890252">
        <w:rPr>
          <w:spacing w:val="0"/>
          <w:lang w:val="fr-CH"/>
        </w:rPr>
        <w:t>: l</w:t>
      </w:r>
      <w:r w:rsidR="00322F95" w:rsidRPr="00890252">
        <w:rPr>
          <w:spacing w:val="0"/>
          <w:lang w:val="fr-CH"/>
        </w:rPr>
        <w:t>’</w:t>
      </w:r>
      <w:r w:rsidRPr="00890252">
        <w:rPr>
          <w:spacing w:val="0"/>
          <w:lang w:val="fr-CH"/>
        </w:rPr>
        <w:t>Union européenne et l</w:t>
      </w:r>
      <w:r w:rsidR="00322F95" w:rsidRPr="00890252">
        <w:rPr>
          <w:spacing w:val="0"/>
          <w:lang w:val="fr-CH"/>
        </w:rPr>
        <w:t>’</w:t>
      </w:r>
      <w:r w:rsidRPr="00890252">
        <w:rPr>
          <w:spacing w:val="0"/>
          <w:lang w:val="fr-CH"/>
        </w:rPr>
        <w:t>Organisation de coopération et de développement économiques (OCDE).</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Des représentants des organisations non gouvernementales suivantes ont participé aux débats sur des points intéressant leur organisation</w:t>
      </w:r>
      <w:r w:rsidR="001F0501">
        <w:rPr>
          <w:lang w:val="fr-CH"/>
        </w:rPr>
        <w:t> </w:t>
      </w:r>
      <w:r w:rsidRPr="00066C50">
        <w:rPr>
          <w:lang w:val="fr-CH"/>
        </w:rPr>
        <w:t xml:space="preserve">: American </w:t>
      </w:r>
      <w:proofErr w:type="spellStart"/>
      <w:r w:rsidRPr="00066C50">
        <w:rPr>
          <w:lang w:val="fr-CH"/>
        </w:rPr>
        <w:t>Cleaning</w:t>
      </w:r>
      <w:proofErr w:type="spellEnd"/>
      <w:r w:rsidRPr="00066C50">
        <w:rPr>
          <w:lang w:val="fr-CH"/>
        </w:rPr>
        <w:t xml:space="preserve"> Institute (ACI), </w:t>
      </w:r>
      <w:proofErr w:type="spellStart"/>
      <w:r w:rsidRPr="00066C50">
        <w:rPr>
          <w:lang w:val="fr-CH"/>
        </w:rPr>
        <w:t>Australian</w:t>
      </w:r>
      <w:proofErr w:type="spellEnd"/>
      <w:r w:rsidRPr="00066C50">
        <w:rPr>
          <w:lang w:val="fr-CH"/>
        </w:rPr>
        <w:t xml:space="preserve"> Explosives </w:t>
      </w:r>
      <w:proofErr w:type="spellStart"/>
      <w:r w:rsidRPr="00066C50">
        <w:rPr>
          <w:lang w:val="fr-CH"/>
        </w:rPr>
        <w:t>Industry</w:t>
      </w:r>
      <w:proofErr w:type="spellEnd"/>
      <w:r w:rsidRPr="00066C50">
        <w:rPr>
          <w:lang w:val="fr-CH"/>
        </w:rPr>
        <w:t xml:space="preserve"> and </w:t>
      </w:r>
      <w:proofErr w:type="spellStart"/>
      <w:r w:rsidRPr="00066C50">
        <w:rPr>
          <w:lang w:val="fr-CH"/>
        </w:rPr>
        <w:t>Safety</w:t>
      </w:r>
      <w:proofErr w:type="spellEnd"/>
      <w:r w:rsidRPr="00066C50">
        <w:rPr>
          <w:lang w:val="fr-CH"/>
        </w:rPr>
        <w:t xml:space="preserve"> Group </w:t>
      </w:r>
      <w:proofErr w:type="spellStart"/>
      <w:r w:rsidRPr="00066C50">
        <w:rPr>
          <w:lang w:val="fr-CH"/>
        </w:rPr>
        <w:t>Incorporated</w:t>
      </w:r>
      <w:proofErr w:type="spellEnd"/>
      <w:r w:rsidRPr="00066C50">
        <w:rPr>
          <w:lang w:val="fr-CH"/>
        </w:rPr>
        <w:t xml:space="preserve"> (AEISG), Compressed </w:t>
      </w:r>
      <w:proofErr w:type="spellStart"/>
      <w:r w:rsidRPr="00066C50">
        <w:rPr>
          <w:lang w:val="fr-CH"/>
        </w:rPr>
        <w:t>Gas</w:t>
      </w:r>
      <w:proofErr w:type="spellEnd"/>
      <w:r w:rsidRPr="00066C50">
        <w:rPr>
          <w:lang w:val="fr-CH"/>
        </w:rPr>
        <w:t xml:space="preserve"> Association (CGA), </w:t>
      </w:r>
      <w:proofErr w:type="spellStart"/>
      <w:r w:rsidRPr="00066C50">
        <w:rPr>
          <w:lang w:val="fr-CH"/>
        </w:rPr>
        <w:t>CropLife</w:t>
      </w:r>
      <w:proofErr w:type="spellEnd"/>
      <w:r w:rsidRPr="00066C50">
        <w:rPr>
          <w:lang w:val="fr-CH"/>
        </w:rPr>
        <w:t xml:space="preserve"> International, Conseil consultatif des marchandises dangereuses (DGAC), Conseil européen de l</w:t>
      </w:r>
      <w:r w:rsidR="00322F95">
        <w:rPr>
          <w:lang w:val="fr-CH"/>
        </w:rPr>
        <w:t>’</w:t>
      </w:r>
      <w:r w:rsidRPr="00066C50">
        <w:rPr>
          <w:lang w:val="fr-CH"/>
        </w:rPr>
        <w:t xml:space="preserve">industrie chimique (CEFIC), Association européenne des gaz industriels (EIGA), Fédération européenne des aérosols (FEA), Grain and </w:t>
      </w:r>
      <w:proofErr w:type="spellStart"/>
      <w:r w:rsidRPr="00066C50">
        <w:rPr>
          <w:lang w:val="fr-CH"/>
        </w:rPr>
        <w:t>Feed</w:t>
      </w:r>
      <w:proofErr w:type="spellEnd"/>
      <w:r w:rsidRPr="00066C50">
        <w:rPr>
          <w:lang w:val="fr-CH"/>
        </w:rPr>
        <w:t xml:space="preserve"> Trade Association (GAFTA), </w:t>
      </w:r>
      <w:proofErr w:type="spellStart"/>
      <w:r w:rsidRPr="00066C50">
        <w:rPr>
          <w:lang w:val="fr-CH"/>
        </w:rPr>
        <w:t>Industrial</w:t>
      </w:r>
      <w:proofErr w:type="spellEnd"/>
      <w:r w:rsidRPr="00066C50">
        <w:rPr>
          <w:lang w:val="fr-CH"/>
        </w:rPr>
        <w:t xml:space="preserve"> </w:t>
      </w:r>
      <w:proofErr w:type="spellStart"/>
      <w:r w:rsidRPr="00066C50">
        <w:rPr>
          <w:lang w:val="fr-CH"/>
        </w:rPr>
        <w:t>Federation</w:t>
      </w:r>
      <w:proofErr w:type="spellEnd"/>
      <w:r w:rsidRPr="00066C50">
        <w:rPr>
          <w:lang w:val="fr-CH"/>
        </w:rPr>
        <w:t xml:space="preserve"> </w:t>
      </w:r>
      <w:proofErr w:type="spellStart"/>
      <w:r w:rsidRPr="00066C50">
        <w:rPr>
          <w:lang w:val="fr-CH"/>
        </w:rPr>
        <w:t>Paints</w:t>
      </w:r>
      <w:proofErr w:type="spellEnd"/>
      <w:r w:rsidRPr="00066C50">
        <w:rPr>
          <w:lang w:val="fr-CH"/>
        </w:rPr>
        <w:t xml:space="preserve"> and </w:t>
      </w:r>
      <w:proofErr w:type="spellStart"/>
      <w:r w:rsidRPr="00066C50">
        <w:rPr>
          <w:lang w:val="fr-CH"/>
        </w:rPr>
        <w:t>Coats</w:t>
      </w:r>
      <w:proofErr w:type="spellEnd"/>
      <w:r w:rsidRPr="00066C50">
        <w:rPr>
          <w:lang w:val="fr-CH"/>
        </w:rPr>
        <w:t xml:space="preserve"> of Mercosul (IFPCM); Association internationale de la savonnerie, de la détergence et des produits d</w:t>
      </w:r>
      <w:r w:rsidR="00322F95">
        <w:rPr>
          <w:lang w:val="fr-CH"/>
        </w:rPr>
        <w:t>’</w:t>
      </w:r>
      <w:r w:rsidRPr="00066C50">
        <w:rPr>
          <w:lang w:val="fr-CH"/>
        </w:rPr>
        <w:t xml:space="preserve">entretien (AISE); International </w:t>
      </w:r>
      <w:proofErr w:type="spellStart"/>
      <w:r w:rsidRPr="00066C50">
        <w:rPr>
          <w:lang w:val="fr-CH"/>
        </w:rPr>
        <w:t>Bulk</w:t>
      </w:r>
      <w:proofErr w:type="spellEnd"/>
      <w:r w:rsidRPr="00066C50">
        <w:rPr>
          <w:lang w:val="fr-CH"/>
        </w:rPr>
        <w:t xml:space="preserve"> </w:t>
      </w:r>
      <w:proofErr w:type="spellStart"/>
      <w:r w:rsidRPr="00066C50">
        <w:rPr>
          <w:lang w:val="fr-CH"/>
        </w:rPr>
        <w:t>Terminals</w:t>
      </w:r>
      <w:proofErr w:type="spellEnd"/>
      <w:r w:rsidRPr="00066C50">
        <w:rPr>
          <w:lang w:val="fr-CH"/>
        </w:rPr>
        <w:t xml:space="preserve"> Association (IBTA); International </w:t>
      </w:r>
      <w:proofErr w:type="spellStart"/>
      <w:r w:rsidRPr="00066C50">
        <w:rPr>
          <w:lang w:val="fr-CH"/>
        </w:rPr>
        <w:t>Confederation</w:t>
      </w:r>
      <w:proofErr w:type="spellEnd"/>
      <w:r w:rsidRPr="00066C50">
        <w:rPr>
          <w:lang w:val="fr-CH"/>
        </w:rPr>
        <w:t xml:space="preserve"> of Container </w:t>
      </w:r>
      <w:proofErr w:type="spellStart"/>
      <w:r w:rsidRPr="00066C50">
        <w:rPr>
          <w:lang w:val="fr-CH"/>
        </w:rPr>
        <w:t>Reconditioners</w:t>
      </w:r>
      <w:proofErr w:type="spellEnd"/>
      <w:r w:rsidRPr="00066C50">
        <w:rPr>
          <w:lang w:val="fr-CH"/>
        </w:rPr>
        <w:t xml:space="preserve"> (ICCR); Conseil international des associations chimiques (ICCA); International Paint and Printing </w:t>
      </w:r>
      <w:proofErr w:type="spellStart"/>
      <w:r w:rsidRPr="00066C50">
        <w:rPr>
          <w:lang w:val="fr-CH"/>
        </w:rPr>
        <w:t>Ink</w:t>
      </w:r>
      <w:proofErr w:type="spellEnd"/>
      <w:r w:rsidRPr="00066C50">
        <w:rPr>
          <w:lang w:val="fr-CH"/>
        </w:rPr>
        <w:t xml:space="preserve"> Council (IPPIC); Association internationale de l</w:t>
      </w:r>
      <w:r w:rsidR="00322F95">
        <w:rPr>
          <w:lang w:val="fr-CH"/>
        </w:rPr>
        <w:t>’</w:t>
      </w:r>
      <w:r w:rsidRPr="00066C50">
        <w:rPr>
          <w:lang w:val="fr-CH"/>
        </w:rPr>
        <w:t>industrie pétrolière pour la sauvegarde de l</w:t>
      </w:r>
      <w:r w:rsidR="00322F95">
        <w:rPr>
          <w:lang w:val="fr-CH"/>
        </w:rPr>
        <w:t>’</w:t>
      </w:r>
      <w:r w:rsidRPr="00066C50">
        <w:rPr>
          <w:lang w:val="fr-CH"/>
        </w:rPr>
        <w:t xml:space="preserve">environnement (IPIECA); Institute of </w:t>
      </w:r>
      <w:proofErr w:type="spellStart"/>
      <w:r w:rsidRPr="00066C50">
        <w:rPr>
          <w:lang w:val="fr-CH"/>
        </w:rPr>
        <w:t>Makers</w:t>
      </w:r>
      <w:proofErr w:type="spellEnd"/>
      <w:r w:rsidRPr="00066C50">
        <w:rPr>
          <w:lang w:val="fr-CH"/>
        </w:rPr>
        <w:t xml:space="preserve"> of Explosives (IME); </w:t>
      </w:r>
      <w:proofErr w:type="spellStart"/>
      <w:r w:rsidRPr="00066C50">
        <w:rPr>
          <w:lang w:val="fr-CH"/>
        </w:rPr>
        <w:t>Responsible</w:t>
      </w:r>
      <w:proofErr w:type="spellEnd"/>
      <w:r w:rsidRPr="00066C50">
        <w:rPr>
          <w:lang w:val="fr-CH"/>
        </w:rPr>
        <w:t xml:space="preserve"> Packaging Management Association of </w:t>
      </w:r>
      <w:proofErr w:type="spellStart"/>
      <w:r w:rsidRPr="00066C50">
        <w:rPr>
          <w:lang w:val="fr-CH"/>
        </w:rPr>
        <w:t>Southern</w:t>
      </w:r>
      <w:proofErr w:type="spellEnd"/>
      <w:r w:rsidRPr="00066C50">
        <w:rPr>
          <w:lang w:val="fr-CH"/>
        </w:rPr>
        <w:t xml:space="preserve"> </w:t>
      </w:r>
      <w:proofErr w:type="spellStart"/>
      <w:r w:rsidRPr="00066C50">
        <w:rPr>
          <w:lang w:val="fr-CH"/>
        </w:rPr>
        <w:t>Africa</w:t>
      </w:r>
      <w:proofErr w:type="spellEnd"/>
      <w:r w:rsidRPr="00066C50">
        <w:rPr>
          <w:lang w:val="fr-CH"/>
        </w:rPr>
        <w:t xml:space="preserve"> (RPMASA); and </w:t>
      </w:r>
      <w:proofErr w:type="spellStart"/>
      <w:r w:rsidRPr="00066C50">
        <w:rPr>
          <w:lang w:val="fr-CH"/>
        </w:rPr>
        <w:t>Sporting</w:t>
      </w:r>
      <w:proofErr w:type="spellEnd"/>
      <w:r w:rsidRPr="00066C50">
        <w:rPr>
          <w:lang w:val="fr-CH"/>
        </w:rPr>
        <w:t xml:space="preserve"> </w:t>
      </w:r>
      <w:proofErr w:type="spellStart"/>
      <w:r w:rsidRPr="00066C50">
        <w:rPr>
          <w:lang w:val="fr-CH"/>
        </w:rPr>
        <w:t>Arms</w:t>
      </w:r>
      <w:proofErr w:type="spellEnd"/>
      <w:r w:rsidRPr="00066C50">
        <w:rPr>
          <w:lang w:val="fr-CH"/>
        </w:rPr>
        <w:t xml:space="preserve"> and </w:t>
      </w:r>
      <w:proofErr w:type="spellStart"/>
      <w:r w:rsidRPr="00066C50">
        <w:rPr>
          <w:lang w:val="fr-CH"/>
        </w:rPr>
        <w:t>Ammunition</w:t>
      </w:r>
      <w:proofErr w:type="spellEnd"/>
      <w:r w:rsidRPr="00066C50">
        <w:rPr>
          <w:lang w:val="fr-CH"/>
        </w:rPr>
        <w:t xml:space="preserve"> </w:t>
      </w:r>
      <w:proofErr w:type="spellStart"/>
      <w:r w:rsidRPr="00066C50">
        <w:rPr>
          <w:lang w:val="fr-CH"/>
        </w:rPr>
        <w:t>Manufacturers</w:t>
      </w:r>
      <w:proofErr w:type="spellEnd"/>
      <w:r w:rsidR="00322F95">
        <w:rPr>
          <w:lang w:val="fr-CH"/>
        </w:rPr>
        <w:t>’</w:t>
      </w:r>
      <w:r w:rsidRPr="00066C50">
        <w:rPr>
          <w:lang w:val="fr-CH"/>
        </w:rPr>
        <w:t xml:space="preserve"> Institute (SAAMI).</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II.</w:t>
      </w:r>
      <w:r w:rsidRPr="00066C50">
        <w:rPr>
          <w:lang w:val="fr-CH"/>
        </w:rPr>
        <w:tab/>
        <w:t>Adoption de l</w:t>
      </w:r>
      <w:r w:rsidR="00322F95">
        <w:rPr>
          <w:lang w:val="fr-CH"/>
        </w:rPr>
        <w:t>’</w:t>
      </w:r>
      <w:r w:rsidRPr="00066C50">
        <w:rPr>
          <w:lang w:val="fr-CH"/>
        </w:rPr>
        <w:t>ordre du jour (point 1 de l</w:t>
      </w:r>
      <w:r w:rsidR="00322F95">
        <w:rPr>
          <w:lang w:val="fr-CH"/>
        </w:rPr>
        <w:t>’</w:t>
      </w:r>
      <w:r w:rsidRPr="00066C50">
        <w:rPr>
          <w:lang w:val="fr-CH"/>
        </w:rPr>
        <w:t>ordre du jour)</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9379F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w:t>
      </w:r>
      <w:r w:rsidR="009379FF">
        <w:rPr>
          <w:i/>
          <w:lang w:val="fr-CH"/>
        </w:rPr>
        <w:t> </w:t>
      </w:r>
      <w:r w:rsidRPr="009379FF">
        <w:rPr>
          <w:lang w:val="fr-CH"/>
        </w:rPr>
        <w:t xml:space="preserve">: </w:t>
      </w:r>
      <w:r w:rsidR="009379FF">
        <w:rPr>
          <w:lang w:val="fr-CH"/>
        </w:rPr>
        <w:tab/>
      </w:r>
      <w:r w:rsidRPr="00066C50">
        <w:rPr>
          <w:lang w:val="fr-CH"/>
        </w:rPr>
        <w:t>ST/SG/AC.10/C.4/59 et Add.1 (Secrétariat)</w:t>
      </w:r>
      <w:r w:rsidR="009379FF">
        <w:rPr>
          <w:lang w:val="fr-CH"/>
        </w:rPr>
        <w:t>.</w:t>
      </w:r>
    </w:p>
    <w:p w:rsidR="00066C50" w:rsidRPr="00066C50" w:rsidRDefault="00066C50" w:rsidP="009379F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9379FF">
        <w:rPr>
          <w:i/>
          <w:lang w:val="fr-CH"/>
        </w:rPr>
        <w:t> </w:t>
      </w:r>
      <w:r w:rsidR="009379FF">
        <w:rPr>
          <w:lang w:val="fr-CH"/>
        </w:rPr>
        <w:t>:</w:t>
      </w:r>
      <w:r w:rsidRPr="00066C50">
        <w:rPr>
          <w:lang w:val="fr-CH"/>
        </w:rPr>
        <w:tab/>
        <w:t>INF.1, INF.2 et INF.5 (Secrétariat)</w:t>
      </w:r>
      <w:r w:rsidR="009379FF">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adopté l</w:t>
      </w:r>
      <w:r w:rsidR="00322F95">
        <w:rPr>
          <w:lang w:val="fr-CH"/>
        </w:rPr>
        <w:t>’</w:t>
      </w:r>
      <w:r w:rsidRPr="00066C50">
        <w:rPr>
          <w:lang w:val="fr-CH"/>
        </w:rPr>
        <w:t>ordre du jour provisoire établi par le secrétariat, après l</w:t>
      </w:r>
      <w:r w:rsidR="00322F95">
        <w:rPr>
          <w:lang w:val="fr-CH"/>
        </w:rPr>
        <w:t>’</w:t>
      </w:r>
      <w:r w:rsidRPr="00066C50">
        <w:rPr>
          <w:lang w:val="fr-CH"/>
        </w:rPr>
        <w:t>avoir modifié afin de tenir compte des documents informels INF.1 à INF.33.</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III.</w:t>
      </w:r>
      <w:r w:rsidRPr="00066C50">
        <w:rPr>
          <w:lang w:val="fr-CH"/>
        </w:rPr>
        <w:tab/>
        <w:t>Travaux à mener conjointement avec le Sous-Comité d</w:t>
      </w:r>
      <w:r w:rsidR="00322F95">
        <w:rPr>
          <w:lang w:val="fr-CH"/>
        </w:rPr>
        <w:t>’</w:t>
      </w:r>
      <w:r w:rsidRPr="00066C50">
        <w:rPr>
          <w:lang w:val="fr-CH"/>
        </w:rPr>
        <w:t xml:space="preserve">experts du transport des marchandises dangereuses </w:t>
      </w:r>
      <w:r w:rsidR="009379FF">
        <w:rPr>
          <w:lang w:val="fr-CH"/>
        </w:rPr>
        <w:br/>
      </w:r>
      <w:r w:rsidRPr="00066C50">
        <w:rPr>
          <w:lang w:val="fr-CH"/>
        </w:rPr>
        <w:t>(Sous-Comité TMD) (point 2 de l</w:t>
      </w:r>
      <w:r w:rsidR="00322F95">
        <w:rPr>
          <w:lang w:val="fr-CH"/>
        </w:rPr>
        <w:t>’</w:t>
      </w:r>
      <w:r w:rsidRPr="00066C50">
        <w:rPr>
          <w:lang w:val="fr-CH"/>
        </w:rPr>
        <w:t>ordre du jour)</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A5E1D" w:rsidRDefault="00066C50" w:rsidP="00E1038F">
      <w:pPr>
        <w:pStyle w:val="SingleTxt"/>
        <w:numPr>
          <w:ilvl w:val="0"/>
          <w:numId w:val="8"/>
        </w:numPr>
        <w:tabs>
          <w:tab w:val="clear" w:pos="475"/>
          <w:tab w:val="num" w:pos="1742"/>
        </w:tabs>
        <w:ind w:left="1267"/>
        <w:rPr>
          <w:spacing w:val="2"/>
          <w:lang w:val="fr-CH"/>
        </w:rPr>
      </w:pPr>
      <w:r w:rsidRPr="000A5E1D">
        <w:rPr>
          <w:spacing w:val="2"/>
          <w:lang w:val="fr-CH"/>
        </w:rPr>
        <w:t>Les Sous-Comités TMD et SGH ont tenu leur première session conjointe</w:t>
      </w:r>
      <w:r w:rsidR="000A5E1D" w:rsidRPr="000A5E1D">
        <w:rPr>
          <w:rStyle w:val="FootnoteReference"/>
          <w:spacing w:val="2"/>
          <w:lang w:val="fr-CH"/>
        </w:rPr>
        <w:footnoteReference w:id="1"/>
      </w:r>
      <w:r w:rsidRPr="000A5E1D">
        <w:rPr>
          <w:spacing w:val="2"/>
          <w:lang w:val="fr-CH"/>
        </w:rPr>
        <w:t xml:space="preserve"> dans l</w:t>
      </w:r>
      <w:r w:rsidR="00322F95" w:rsidRPr="000A5E1D">
        <w:rPr>
          <w:spacing w:val="2"/>
          <w:lang w:val="fr-CH"/>
        </w:rPr>
        <w:t>’</w:t>
      </w:r>
      <w:r w:rsidRPr="000A5E1D">
        <w:rPr>
          <w:spacing w:val="2"/>
          <w:lang w:val="fr-CH"/>
        </w:rPr>
        <w:t>après-midi du 9 décembre sous la présidence de M</w:t>
      </w:r>
      <w:r w:rsidRPr="000A5E1D">
        <w:rPr>
          <w:spacing w:val="2"/>
          <w:vertAlign w:val="superscript"/>
          <w:lang w:val="fr-CH"/>
        </w:rPr>
        <w:t>me</w:t>
      </w:r>
      <w:r w:rsidR="00322F95" w:rsidRPr="000A5E1D">
        <w:rPr>
          <w:spacing w:val="2"/>
          <w:vertAlign w:val="superscript"/>
          <w:lang w:val="fr-CH"/>
        </w:rPr>
        <w:t> </w:t>
      </w:r>
      <w:r w:rsidRPr="000A5E1D">
        <w:rPr>
          <w:spacing w:val="2"/>
          <w:lang w:val="fr-CH"/>
        </w:rPr>
        <w:t>Maureen Ruskin (Présidente du Sous-Comité SGH). Le rapport de cette session conjointe est reproduit en annexe II. Faute de temps, certaines questions n</w:t>
      </w:r>
      <w:r w:rsidR="00322F95" w:rsidRPr="000A5E1D">
        <w:rPr>
          <w:spacing w:val="2"/>
          <w:lang w:val="fr-CH"/>
        </w:rPr>
        <w:t>’</w:t>
      </w:r>
      <w:r w:rsidRPr="000A5E1D">
        <w:rPr>
          <w:spacing w:val="2"/>
          <w:lang w:val="fr-CH"/>
        </w:rPr>
        <w:t>ont pas pu être abordées durant cette session conjointe et ont été examinées au cours de la session du Sous-Comité SGH comme suit</w:t>
      </w:r>
      <w:r w:rsidR="008C2E85">
        <w:rPr>
          <w:spacing w:val="2"/>
          <w:lang w:val="fr-CH"/>
        </w:rPr>
        <w:t>.</w:t>
      </w:r>
      <w:r w:rsidRPr="000A5E1D">
        <w:rPr>
          <w:spacing w:val="2"/>
          <w:lang w:val="fr-CH"/>
        </w:rPr>
        <w:t xml:space="preserve"> </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A.</w:t>
      </w:r>
      <w:r w:rsidRPr="00066C50">
        <w:rPr>
          <w:lang w:val="fr-CH"/>
        </w:rPr>
        <w:tab/>
        <w:t>Apposition d</w:t>
      </w:r>
      <w:r w:rsidR="00322F95">
        <w:rPr>
          <w:lang w:val="fr-CH"/>
        </w:rPr>
        <w:t>’</w:t>
      </w:r>
      <w:r w:rsidRPr="00066C50">
        <w:rPr>
          <w:lang w:val="fr-CH"/>
        </w:rPr>
        <w:t xml:space="preserve">étiquettes SGH sur des emballages extérieurs </w:t>
      </w:r>
      <w:r w:rsidR="009379FF">
        <w:rPr>
          <w:lang w:val="fr-CH"/>
        </w:rPr>
        <w:br/>
      </w:r>
      <w:r w:rsidRPr="00066C50">
        <w:rPr>
          <w:lang w:val="fr-CH"/>
        </w:rPr>
        <w:t xml:space="preserve">non soumis aux règlements de transport </w:t>
      </w:r>
      <w:r w:rsidR="009379FF">
        <w:rPr>
          <w:lang w:val="fr-CH"/>
        </w:rPr>
        <w:br/>
      </w:r>
      <w:r w:rsidRPr="00066C50">
        <w:rPr>
          <w:lang w:val="fr-CH"/>
        </w:rPr>
        <w:t>des marchandises dangereuses</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9379F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9379FF">
        <w:rPr>
          <w:i/>
          <w:lang w:val="fr-CH"/>
        </w:rPr>
        <w:t> </w:t>
      </w:r>
      <w:r w:rsidR="009379FF">
        <w:rPr>
          <w:lang w:val="fr-CH"/>
        </w:rPr>
        <w:t>:</w:t>
      </w:r>
      <w:r w:rsidRPr="00066C50">
        <w:rPr>
          <w:i/>
          <w:lang w:val="fr-CH"/>
        </w:rPr>
        <w:tab/>
      </w:r>
      <w:r w:rsidRPr="00066C50">
        <w:rPr>
          <w:lang w:val="fr-CH"/>
        </w:rPr>
        <w:t>ST/SG/AC.10/C.4/2015/16 (DGAC)</w:t>
      </w:r>
      <w:r w:rsidR="009379FF">
        <w:rPr>
          <w:lang w:val="fr-CH"/>
        </w:rPr>
        <w:t>.</w:t>
      </w:r>
    </w:p>
    <w:p w:rsidR="00066C50" w:rsidRPr="00066C50" w:rsidRDefault="00066C50" w:rsidP="009379F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9379FF">
        <w:rPr>
          <w:i/>
          <w:lang w:val="fr-CH"/>
        </w:rPr>
        <w:t> </w:t>
      </w:r>
      <w:r w:rsidR="009379FF">
        <w:rPr>
          <w:lang w:val="fr-CH"/>
        </w:rPr>
        <w:t>:</w:t>
      </w:r>
      <w:r w:rsidRPr="00066C50">
        <w:rPr>
          <w:i/>
          <w:lang w:val="fr-CH"/>
        </w:rPr>
        <w:tab/>
      </w:r>
      <w:r w:rsidRPr="00066C50">
        <w:rPr>
          <w:lang w:val="fr-CH"/>
        </w:rPr>
        <w:t>INF.30, question 12 (Secrétariat)</w:t>
      </w:r>
      <w:r w:rsidR="009379FF">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reconnu l</w:t>
      </w:r>
      <w:r w:rsidR="00322F95">
        <w:rPr>
          <w:lang w:val="fr-CH"/>
        </w:rPr>
        <w:t>’</w:t>
      </w:r>
      <w:r w:rsidRPr="00066C50">
        <w:rPr>
          <w:lang w:val="fr-CH"/>
        </w:rPr>
        <w:t>existence du problème soulevé par le DGAC mais n</w:t>
      </w:r>
      <w:r w:rsidR="00322F95">
        <w:rPr>
          <w:lang w:val="fr-CH"/>
        </w:rPr>
        <w:t>’</w:t>
      </w:r>
      <w:r w:rsidRPr="00066C50">
        <w:rPr>
          <w:lang w:val="fr-CH"/>
        </w:rPr>
        <w:t>a pas soutenu la proposition. Certains experts ont estimé que le SGH devait continuer à autoriser l</w:t>
      </w:r>
      <w:r w:rsidR="00322F95">
        <w:rPr>
          <w:lang w:val="fr-CH"/>
        </w:rPr>
        <w:t>’</w:t>
      </w:r>
      <w:r w:rsidRPr="00066C50">
        <w:rPr>
          <w:lang w:val="fr-CH"/>
        </w:rPr>
        <w:t>apposition d</w:t>
      </w:r>
      <w:r w:rsidR="00322F95">
        <w:rPr>
          <w:lang w:val="fr-CH"/>
        </w:rPr>
        <w:t>’</w:t>
      </w:r>
      <w:r w:rsidRPr="00066C50">
        <w:rPr>
          <w:lang w:val="fr-CH"/>
        </w:rPr>
        <w:t>étiquettes sur les emballages extérieurs, par exemple lorsqu</w:t>
      </w:r>
      <w:r w:rsidR="00322F95">
        <w:rPr>
          <w:lang w:val="fr-CH"/>
        </w:rPr>
        <w:t>’</w:t>
      </w:r>
      <w:r w:rsidRPr="00066C50">
        <w:rPr>
          <w:lang w:val="fr-CH"/>
        </w:rPr>
        <w:t>il n</w:t>
      </w:r>
      <w:r w:rsidR="00322F95">
        <w:rPr>
          <w:lang w:val="fr-CH"/>
        </w:rPr>
        <w:t>’</w:t>
      </w:r>
      <w:r w:rsidRPr="00066C50">
        <w:rPr>
          <w:lang w:val="fr-CH"/>
        </w:rPr>
        <w:t>y a pas assez d</w:t>
      </w:r>
      <w:r w:rsidR="00322F95">
        <w:rPr>
          <w:lang w:val="fr-CH"/>
        </w:rPr>
        <w:t>’</w:t>
      </w:r>
      <w:r w:rsidRPr="00066C50">
        <w:rPr>
          <w:lang w:val="fr-CH"/>
        </w:rPr>
        <w:t>espace sur l</w:t>
      </w:r>
      <w:r w:rsidR="00322F95">
        <w:rPr>
          <w:lang w:val="fr-CH"/>
        </w:rPr>
        <w:t>’</w:t>
      </w:r>
      <w:r w:rsidRPr="00066C50">
        <w:rPr>
          <w:lang w:val="fr-CH"/>
        </w:rPr>
        <w:t>emballage intérieur, car cette disposition permet l</w:t>
      </w:r>
      <w:r w:rsidR="00322F95">
        <w:rPr>
          <w:lang w:val="fr-CH"/>
        </w:rPr>
        <w:t>’</w:t>
      </w:r>
      <w:r w:rsidRPr="00066C50">
        <w:rPr>
          <w:lang w:val="fr-CH"/>
        </w:rPr>
        <w:t>étiquetage de petits colis ou de capsules solubles de détergent à lessive, à propos desquelles des problèmes avaient été signalés dans certains pays. Dans certains pays également, le fait de ne plus laisser le choix de décider à l</w:t>
      </w:r>
      <w:r w:rsidR="00322F95">
        <w:rPr>
          <w:lang w:val="fr-CH"/>
        </w:rPr>
        <w:t>’</w:t>
      </w:r>
      <w:r w:rsidRPr="00066C50">
        <w:rPr>
          <w:lang w:val="fr-CH"/>
        </w:rPr>
        <w:t xml:space="preserve">autorité compétente risque de réduire les niveaux existants de protection des travailleurs. Il a été relevé que la question soulevée par le DGAC était traitée de manières différentes selon les parties du monde. </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Les experts du Sous-Comité ont été invités à communiquer au représentant du DGAC des informations sur les mesures prises dans leurs pays pour régler cette question, afin qu</w:t>
      </w:r>
      <w:r w:rsidR="00322F95">
        <w:rPr>
          <w:lang w:val="fr-CH"/>
        </w:rPr>
        <w:t>’</w:t>
      </w:r>
      <w:r w:rsidRPr="00066C50">
        <w:rPr>
          <w:lang w:val="fr-CH"/>
        </w:rPr>
        <w:t>il puisse élaborer une proposition qui ne compromette pas ce qui se fait déjà ailleurs.</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B.</w:t>
      </w:r>
      <w:r w:rsidRPr="00066C50">
        <w:rPr>
          <w:lang w:val="fr-CH"/>
        </w:rPr>
        <w:tab/>
        <w:t xml:space="preserve">Classement du pétrole brut </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9379F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832975">
        <w:rPr>
          <w:i/>
          <w:lang w:val="fr-CH"/>
        </w:rPr>
        <w:t>s</w:t>
      </w:r>
      <w:r w:rsidRPr="00066C50">
        <w:rPr>
          <w:i/>
          <w:lang w:val="fr-CH"/>
        </w:rPr>
        <w:t xml:space="preserve"> informel</w:t>
      </w:r>
      <w:r w:rsidR="00832975">
        <w:rPr>
          <w:i/>
          <w:lang w:val="fr-CH"/>
        </w:rPr>
        <w:t>s</w:t>
      </w:r>
      <w:r w:rsidR="009379FF">
        <w:rPr>
          <w:i/>
          <w:lang w:val="fr-CH"/>
        </w:rPr>
        <w:t> </w:t>
      </w:r>
      <w:r w:rsidRPr="009379FF">
        <w:rPr>
          <w:lang w:val="fr-CH"/>
        </w:rPr>
        <w:t>:</w:t>
      </w:r>
      <w:r w:rsidRPr="00066C50">
        <w:rPr>
          <w:i/>
          <w:lang w:val="fr-CH"/>
        </w:rPr>
        <w:tab/>
      </w:r>
      <w:r w:rsidRPr="00066C50">
        <w:rPr>
          <w:lang w:val="fr-CH"/>
        </w:rPr>
        <w:t xml:space="preserve">INF.23 et </w:t>
      </w:r>
      <w:r w:rsidR="009379FF">
        <w:rPr>
          <w:lang w:val="fr-CH"/>
        </w:rPr>
        <w:t>-</w:t>
      </w:r>
      <w:r w:rsidRPr="00066C50">
        <w:rPr>
          <w:lang w:val="fr-CH"/>
        </w:rPr>
        <w:t xml:space="preserve">23/Add.1 (Canada) </w:t>
      </w:r>
      <w:r w:rsidR="009379FF">
        <w:rPr>
          <w:lang w:val="fr-CH"/>
        </w:rPr>
        <w:br/>
      </w:r>
      <w:r w:rsidRPr="00066C50">
        <w:rPr>
          <w:lang w:val="fr-CH"/>
        </w:rPr>
        <w:t>INF.30, question 13 (Secrétariat)</w:t>
      </w:r>
      <w:r w:rsidR="009379FF">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pris note des informations fournies par l</w:t>
      </w:r>
      <w:r w:rsidR="00322F95">
        <w:rPr>
          <w:lang w:val="fr-CH"/>
        </w:rPr>
        <w:t>’</w:t>
      </w:r>
      <w:r w:rsidRPr="00066C50">
        <w:rPr>
          <w:lang w:val="fr-CH"/>
        </w:rPr>
        <w:t>expert du Canada ainsi que des efforts entrepris en vue de classer et d</w:t>
      </w:r>
      <w:r w:rsidR="00322F95">
        <w:rPr>
          <w:lang w:val="fr-CH"/>
        </w:rPr>
        <w:t>’</w:t>
      </w:r>
      <w:r w:rsidRPr="00066C50">
        <w:rPr>
          <w:lang w:val="fr-CH"/>
        </w:rPr>
        <w:t>éprouver p</w:t>
      </w:r>
      <w:r w:rsidR="00CE2827">
        <w:rPr>
          <w:lang w:val="fr-CH"/>
        </w:rPr>
        <w:t>lusieurs types de pétrole brut.</w:t>
      </w:r>
      <w:r w:rsidRPr="00066C50">
        <w:rPr>
          <w:lang w:val="fr-CH"/>
        </w:rPr>
        <w:t xml:space="preserve"> Les experts ont été invités à échanger des informations sur cette question avec l</w:t>
      </w:r>
      <w:r w:rsidR="00322F95">
        <w:rPr>
          <w:lang w:val="fr-CH"/>
        </w:rPr>
        <w:t>’</w:t>
      </w:r>
      <w:r w:rsidRPr="00066C50">
        <w:rPr>
          <w:lang w:val="fr-CH"/>
        </w:rPr>
        <w:t>expert du Canada, qui continuera à communiquer les résultats de la recherche aux deux sous-comités au fur et à mesure qu</w:t>
      </w:r>
      <w:r w:rsidR="00322F95">
        <w:rPr>
          <w:lang w:val="fr-CH"/>
        </w:rPr>
        <w:t>’</w:t>
      </w:r>
      <w:r w:rsidRPr="00066C50">
        <w:rPr>
          <w:lang w:val="fr-CH"/>
        </w:rPr>
        <w:t>ils seront disponibles. Le représentant de l</w:t>
      </w:r>
      <w:r w:rsidR="00322F95">
        <w:rPr>
          <w:lang w:val="fr-CH"/>
        </w:rPr>
        <w:t>’</w:t>
      </w:r>
      <w:r w:rsidRPr="00066C50">
        <w:rPr>
          <w:lang w:val="fr-CH"/>
        </w:rPr>
        <w:t>IPIECA a annoncé qu</w:t>
      </w:r>
      <w:r w:rsidR="00322F95">
        <w:rPr>
          <w:lang w:val="fr-CH"/>
        </w:rPr>
        <w:t>’</w:t>
      </w:r>
      <w:r w:rsidRPr="00066C50">
        <w:rPr>
          <w:lang w:val="fr-CH"/>
        </w:rPr>
        <w:t>il fournirait un retour d</w:t>
      </w:r>
      <w:r w:rsidR="00322F95">
        <w:rPr>
          <w:lang w:val="fr-CH"/>
        </w:rPr>
        <w:t>’</w:t>
      </w:r>
      <w:r w:rsidRPr="00066C50">
        <w:rPr>
          <w:lang w:val="fr-CH"/>
        </w:rPr>
        <w:t>information à l</w:t>
      </w:r>
      <w:r w:rsidR="00322F95">
        <w:rPr>
          <w:lang w:val="fr-CH"/>
        </w:rPr>
        <w:t>’</w:t>
      </w:r>
      <w:r w:rsidRPr="00066C50">
        <w:rPr>
          <w:lang w:val="fr-CH"/>
        </w:rPr>
        <w:t xml:space="preserve">expert du Canada après examen des informations communiquées. </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C.</w:t>
      </w:r>
      <w:r w:rsidRPr="00066C50">
        <w:rPr>
          <w:lang w:val="fr-CH"/>
        </w:rPr>
        <w:tab/>
        <w:t>Autres questions présentant un intérêt pour le Sous-Comité examinées par le Sous-Comité TMD</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CE282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CE2827">
        <w:rPr>
          <w:i/>
          <w:lang w:val="fr-CH"/>
        </w:rPr>
        <w:t> </w:t>
      </w:r>
      <w:r w:rsidR="00CE2827">
        <w:rPr>
          <w:lang w:val="fr-CH"/>
        </w:rPr>
        <w:t>:</w:t>
      </w:r>
      <w:r w:rsidRPr="00066C50">
        <w:rPr>
          <w:i/>
          <w:lang w:val="fr-CH"/>
        </w:rPr>
        <w:tab/>
      </w:r>
      <w:r w:rsidRPr="00066C50">
        <w:rPr>
          <w:lang w:val="fr-CH"/>
        </w:rPr>
        <w:t>INF.30, questions 17 à 21 (Secrétariat)</w:t>
      </w:r>
      <w:r w:rsidR="00CE2827">
        <w:rPr>
          <w:lang w:val="fr-CH"/>
        </w:rPr>
        <w:t>.</w:t>
      </w:r>
    </w:p>
    <w:p w:rsidR="00066C50" w:rsidRDefault="00066C50" w:rsidP="00E1038F">
      <w:pPr>
        <w:pStyle w:val="SingleTxt"/>
        <w:numPr>
          <w:ilvl w:val="0"/>
          <w:numId w:val="8"/>
        </w:numPr>
        <w:tabs>
          <w:tab w:val="clear" w:pos="475"/>
          <w:tab w:val="num" w:pos="1742"/>
        </w:tabs>
        <w:ind w:left="1267"/>
        <w:rPr>
          <w:lang w:val="fr-CH"/>
        </w:rPr>
      </w:pPr>
      <w:r w:rsidRPr="00066C50">
        <w:rPr>
          <w:lang w:val="fr-CH"/>
        </w:rPr>
        <w:t>Le Sous-Comité a pris note des informations concernant les questions</w:t>
      </w:r>
      <w:r w:rsidR="00CE2827">
        <w:rPr>
          <w:lang w:val="fr-CH"/>
        </w:rPr>
        <w:t> </w:t>
      </w:r>
      <w:r w:rsidRPr="00066C50">
        <w:rPr>
          <w:lang w:val="fr-CH"/>
        </w:rPr>
        <w:t>17 à 21 du document INF.30. En ce qui concerne la question</w:t>
      </w:r>
      <w:r w:rsidR="00CE2827">
        <w:rPr>
          <w:lang w:val="fr-CH"/>
        </w:rPr>
        <w:t> </w:t>
      </w:r>
      <w:r w:rsidRPr="00066C50">
        <w:rPr>
          <w:lang w:val="fr-CH"/>
        </w:rPr>
        <w:t xml:space="preserve">20 </w:t>
      </w:r>
      <w:r w:rsidR="00CE2827">
        <w:rPr>
          <w:lang w:val="fr-CH"/>
        </w:rPr>
        <w:t>« </w:t>
      </w:r>
      <w:r w:rsidRPr="00066C50">
        <w:rPr>
          <w:lang w:val="fr-CH"/>
        </w:rPr>
        <w:t>fiches de données de sécurité et transport</w:t>
      </w:r>
      <w:r w:rsidR="00CE2827">
        <w:rPr>
          <w:lang w:val="fr-CH"/>
        </w:rPr>
        <w:t> »</w:t>
      </w:r>
      <w:r w:rsidRPr="00066C50">
        <w:rPr>
          <w:lang w:val="fr-CH"/>
        </w:rPr>
        <w:t xml:space="preserve">, le Sous-Comité a demandé que les prochains documents traitant de cette question soient soumis aux deux sous-comités. </w:t>
      </w:r>
    </w:p>
    <w:p w:rsidR="00812AD3" w:rsidRPr="00812AD3" w:rsidRDefault="00812AD3" w:rsidP="00812AD3">
      <w:pPr>
        <w:pStyle w:val="SingleTxt"/>
        <w:tabs>
          <w:tab w:val="clear" w:pos="1742"/>
        </w:tabs>
        <w:spacing w:after="0" w:line="120" w:lineRule="exact"/>
        <w:rPr>
          <w:sz w:val="10"/>
          <w:lang w:val="fr-CH"/>
        </w:rPr>
      </w:pPr>
    </w:p>
    <w:p w:rsidR="00812AD3" w:rsidRPr="00812AD3" w:rsidRDefault="00812AD3" w:rsidP="00812AD3">
      <w:pPr>
        <w:pStyle w:val="SingleTxt"/>
        <w:tabs>
          <w:tab w:val="clear" w:pos="1742"/>
        </w:tabs>
        <w:spacing w:after="0" w:line="120" w:lineRule="exact"/>
        <w:rPr>
          <w:sz w:val="10"/>
          <w:lang w:val="fr-CH"/>
        </w:rPr>
      </w:pPr>
    </w:p>
    <w:p w:rsidR="00066C50" w:rsidRDefault="00066C50" w:rsidP="00812A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IV.</w:t>
      </w:r>
      <w:r w:rsidRPr="00066C50">
        <w:rPr>
          <w:lang w:val="fr-CH"/>
        </w:rPr>
        <w:tab/>
        <w:t xml:space="preserve">Critères de classement et communication des dangers </w:t>
      </w:r>
      <w:r w:rsidR="00862C91">
        <w:rPr>
          <w:lang w:val="fr-CH"/>
        </w:rPr>
        <w:br/>
      </w:r>
      <w:r w:rsidRPr="00066C50">
        <w:rPr>
          <w:lang w:val="fr-CH"/>
        </w:rPr>
        <w:t>(point 3 de l</w:t>
      </w:r>
      <w:r w:rsidR="00322F95">
        <w:rPr>
          <w:lang w:val="fr-CH"/>
        </w:rPr>
        <w:t>’</w:t>
      </w:r>
      <w:r w:rsidRPr="00066C50">
        <w:rPr>
          <w:lang w:val="fr-CH"/>
        </w:rPr>
        <w:t>ordre du jour)</w:t>
      </w:r>
    </w:p>
    <w:p w:rsidR="00F06437" w:rsidRPr="00F06437" w:rsidRDefault="00F06437" w:rsidP="00812AD3">
      <w:pPr>
        <w:pStyle w:val="SingleTxt"/>
        <w:keepNext/>
        <w:keepLines/>
        <w:spacing w:after="0" w:line="120" w:lineRule="exact"/>
        <w:rPr>
          <w:sz w:val="10"/>
          <w:lang w:val="fr-CH"/>
        </w:rPr>
      </w:pPr>
    </w:p>
    <w:p w:rsidR="00F06437" w:rsidRPr="00F06437" w:rsidRDefault="00F06437" w:rsidP="00812AD3">
      <w:pPr>
        <w:pStyle w:val="SingleTxt"/>
        <w:keepNext/>
        <w:keepLines/>
        <w:spacing w:after="0" w:line="120" w:lineRule="exact"/>
        <w:rPr>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A.</w:t>
      </w:r>
      <w:r w:rsidRPr="00066C50">
        <w:rPr>
          <w:lang w:val="fr-CH"/>
        </w:rPr>
        <w:tab/>
        <w:t>Dang</w:t>
      </w:r>
      <w:r w:rsidR="00F06437">
        <w:rPr>
          <w:lang w:val="fr-CH"/>
        </w:rPr>
        <w:t>ers d</w:t>
      </w:r>
      <w:r w:rsidR="00322F95">
        <w:rPr>
          <w:lang w:val="fr-CH"/>
        </w:rPr>
        <w:t>’</w:t>
      </w:r>
      <w:r w:rsidR="00F06437">
        <w:rPr>
          <w:lang w:val="fr-CH"/>
        </w:rPr>
        <w:t>explosion des poussières</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862C9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862C91">
        <w:rPr>
          <w:i/>
          <w:lang w:val="fr-CH"/>
        </w:rPr>
        <w:t> </w:t>
      </w:r>
      <w:r w:rsidRPr="00862C91">
        <w:rPr>
          <w:lang w:val="fr-CH"/>
        </w:rPr>
        <w:t>:</w:t>
      </w:r>
      <w:r w:rsidRPr="00066C50">
        <w:rPr>
          <w:i/>
          <w:lang w:val="fr-CH"/>
        </w:rPr>
        <w:tab/>
      </w:r>
      <w:r w:rsidRPr="00066C50">
        <w:rPr>
          <w:lang w:val="fr-CH"/>
        </w:rPr>
        <w:t>INF.22 (États-Unis d</w:t>
      </w:r>
      <w:r w:rsidR="00322F95">
        <w:rPr>
          <w:lang w:val="fr-CH"/>
        </w:rPr>
        <w:t>’</w:t>
      </w:r>
      <w:r w:rsidRPr="00066C50">
        <w:rPr>
          <w:lang w:val="fr-CH"/>
        </w:rPr>
        <w:t>Amérique)</w:t>
      </w:r>
      <w:r w:rsidR="00862C91">
        <w:rPr>
          <w:lang w:val="fr-CH"/>
        </w:rPr>
        <w:t xml:space="preserve"> </w:t>
      </w:r>
      <w:r w:rsidR="00862C91">
        <w:rPr>
          <w:lang w:val="fr-CH"/>
        </w:rPr>
        <w:br/>
      </w:r>
      <w:r w:rsidRPr="00066C50">
        <w:rPr>
          <w:lang w:val="fr-CH"/>
        </w:rPr>
        <w:t>INF.31 (Fédération de Russie)</w:t>
      </w:r>
      <w:r w:rsidR="00862C91" w:rsidRPr="00066C50">
        <w:rPr>
          <w:lang w:val="fr-CH"/>
        </w:rPr>
        <w:t xml:space="preserve"> </w:t>
      </w:r>
      <w:r w:rsidR="00862C91">
        <w:rPr>
          <w:lang w:val="fr-CH"/>
        </w:rPr>
        <w:br/>
      </w:r>
      <w:r w:rsidRPr="00066C50">
        <w:rPr>
          <w:lang w:val="fr-CH"/>
        </w:rPr>
        <w:t>INF.32 (États-Unis d</w:t>
      </w:r>
      <w:r w:rsidR="00322F95">
        <w:rPr>
          <w:lang w:val="fr-CH"/>
        </w:rPr>
        <w:t>’</w:t>
      </w:r>
      <w:r w:rsidRPr="00066C50">
        <w:rPr>
          <w:lang w:val="fr-CH"/>
        </w:rPr>
        <w:t>Amérique)</w:t>
      </w:r>
      <w:r w:rsidR="00862C91">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pris note des résultats de la réunion du groupe de travail informel par correspondance qui s</w:t>
      </w:r>
      <w:r w:rsidR="00322F95">
        <w:rPr>
          <w:lang w:val="fr-CH"/>
        </w:rPr>
        <w:t>’</w:t>
      </w:r>
      <w:r w:rsidRPr="00066C50">
        <w:rPr>
          <w:lang w:val="fr-CH"/>
        </w:rPr>
        <w:t>est tenue le mercredi 9</w:t>
      </w:r>
      <w:r w:rsidR="00862C91">
        <w:rPr>
          <w:lang w:val="fr-CH"/>
        </w:rPr>
        <w:t> </w:t>
      </w:r>
      <w:r w:rsidRPr="00066C50">
        <w:rPr>
          <w:lang w:val="fr-CH"/>
        </w:rPr>
        <w:t>décembre.</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Il a été noté en particulier que le groupe de travail informel par correspond</w:t>
      </w:r>
      <w:r w:rsidR="00862C91">
        <w:rPr>
          <w:lang w:val="fr-CH"/>
        </w:rPr>
        <w:t>ance avait examiné la filière n</w:t>
      </w:r>
      <w:r w:rsidR="00862C91" w:rsidRPr="00862C91">
        <w:rPr>
          <w:vertAlign w:val="superscript"/>
          <w:lang w:val="fr-CH"/>
        </w:rPr>
        <w:t>o</w:t>
      </w:r>
      <w:r w:rsidR="00862C91">
        <w:rPr>
          <w:lang w:val="fr-CH"/>
        </w:rPr>
        <w:t> </w:t>
      </w:r>
      <w:r w:rsidRPr="00066C50">
        <w:rPr>
          <w:lang w:val="fr-CH"/>
        </w:rPr>
        <w:t>3 de son programme de travail et décidé de traiter les dangers d</w:t>
      </w:r>
      <w:r w:rsidR="00322F95">
        <w:rPr>
          <w:lang w:val="fr-CH"/>
        </w:rPr>
        <w:t>’</w:t>
      </w:r>
      <w:r w:rsidRPr="00066C50">
        <w:rPr>
          <w:lang w:val="fr-CH"/>
        </w:rPr>
        <w:t>explosion des poussières en tant que ligne directrice dans une annexe au SGH. Cette annexe serait élaborée sur la base du document de réflexion fourni par l</w:t>
      </w:r>
      <w:r w:rsidR="00322F95">
        <w:rPr>
          <w:lang w:val="fr-CH"/>
        </w:rPr>
        <w:t>’</w:t>
      </w:r>
      <w:r w:rsidRPr="00066C50">
        <w:rPr>
          <w:lang w:val="fr-CH"/>
        </w:rPr>
        <w:t>expert de l</w:t>
      </w:r>
      <w:r w:rsidR="00322F95">
        <w:rPr>
          <w:lang w:val="fr-CH"/>
        </w:rPr>
        <w:t>’</w:t>
      </w:r>
      <w:r w:rsidRPr="00066C50">
        <w:rPr>
          <w:lang w:val="fr-CH"/>
        </w:rPr>
        <w:t>Allemagne. On y trouverait des définitions et des critères d</w:t>
      </w:r>
      <w:r w:rsidR="00322F95">
        <w:rPr>
          <w:lang w:val="fr-CH"/>
        </w:rPr>
        <w:t>’</w:t>
      </w:r>
      <w:r w:rsidRPr="00066C50">
        <w:rPr>
          <w:lang w:val="fr-CH"/>
        </w:rPr>
        <w:t>identification des dangers ainsi que des solutions en matière de gestion des risques et des lignes directrices pour harmoniser la communication des dangers à l</w:t>
      </w:r>
      <w:r w:rsidR="00322F95">
        <w:rPr>
          <w:lang w:val="fr-CH"/>
        </w:rPr>
        <w:t>’</w:t>
      </w:r>
      <w:r w:rsidRPr="00066C50">
        <w:rPr>
          <w:lang w:val="fr-CH"/>
        </w:rPr>
        <w:t xml:space="preserve">intention des autorités compétentes qui en auraient besoin. </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En ce qui concerne les conditions requises pour qu</w:t>
      </w:r>
      <w:r w:rsidR="00322F95">
        <w:rPr>
          <w:lang w:val="fr-CH"/>
        </w:rPr>
        <w:t>’</w:t>
      </w:r>
      <w:r w:rsidRPr="00066C50">
        <w:rPr>
          <w:lang w:val="fr-CH"/>
        </w:rPr>
        <w:t>une explosion de poussières se produise, le groupe a convenu qu</w:t>
      </w:r>
      <w:r w:rsidR="00322F95">
        <w:rPr>
          <w:lang w:val="fr-CH"/>
        </w:rPr>
        <w:t>’</w:t>
      </w:r>
      <w:r w:rsidRPr="00066C50">
        <w:rPr>
          <w:lang w:val="fr-CH"/>
        </w:rPr>
        <w:t>une concentration suffisante de combustible (poussières), l</w:t>
      </w:r>
      <w:r w:rsidR="00322F95">
        <w:rPr>
          <w:lang w:val="fr-CH"/>
        </w:rPr>
        <w:t>’</w:t>
      </w:r>
      <w:r w:rsidRPr="00066C50">
        <w:rPr>
          <w:lang w:val="fr-CH"/>
        </w:rPr>
        <w:t>existence d</w:t>
      </w:r>
      <w:r w:rsidR="00322F95">
        <w:rPr>
          <w:lang w:val="fr-CH"/>
        </w:rPr>
        <w:t>’</w:t>
      </w:r>
      <w:r w:rsidRPr="00066C50">
        <w:rPr>
          <w:lang w:val="fr-CH"/>
        </w:rPr>
        <w:t>une source d</w:t>
      </w:r>
      <w:r w:rsidR="00322F95">
        <w:rPr>
          <w:lang w:val="fr-CH"/>
        </w:rPr>
        <w:t>’</w:t>
      </w:r>
      <w:r w:rsidRPr="00066C50">
        <w:rPr>
          <w:lang w:val="fr-CH"/>
        </w:rPr>
        <w:t>inflammation et la dispersion des poussières dans l</w:t>
      </w:r>
      <w:r w:rsidR="00322F95">
        <w:rPr>
          <w:lang w:val="fr-CH"/>
        </w:rPr>
        <w:t>’</w:t>
      </w:r>
      <w:r w:rsidRPr="00066C50">
        <w:rPr>
          <w:lang w:val="fr-CH"/>
        </w:rPr>
        <w:t>air étaient nécessaires. Le groupe a aussi examiné ce que pourrait être la définition d</w:t>
      </w:r>
      <w:r w:rsidR="00322F95">
        <w:rPr>
          <w:lang w:val="fr-CH"/>
        </w:rPr>
        <w:t>’</w:t>
      </w:r>
      <w:r w:rsidRPr="00066C50">
        <w:rPr>
          <w:lang w:val="fr-CH"/>
        </w:rPr>
        <w:t xml:space="preserve">une </w:t>
      </w:r>
      <w:r w:rsidR="00862C91">
        <w:rPr>
          <w:lang w:val="fr-CH"/>
        </w:rPr>
        <w:t>« </w:t>
      </w:r>
      <w:r w:rsidRPr="00066C50">
        <w:rPr>
          <w:lang w:val="fr-CH"/>
        </w:rPr>
        <w:t>atmosphère poussiéreuse explosive</w:t>
      </w:r>
      <w:r w:rsidR="00862C91">
        <w:rPr>
          <w:lang w:val="fr-CH"/>
        </w:rPr>
        <w:t> »</w:t>
      </w:r>
      <w:r w:rsidRPr="00066C50">
        <w:rPr>
          <w:lang w:val="fr-CH"/>
        </w:rPr>
        <w:t xml:space="preserve"> et il a convenu que les déflagrations sans confinement ainsi que d</w:t>
      </w:r>
      <w:r w:rsidR="00322F95">
        <w:rPr>
          <w:lang w:val="fr-CH"/>
        </w:rPr>
        <w:t>’</w:t>
      </w:r>
      <w:r w:rsidRPr="00066C50">
        <w:rPr>
          <w:lang w:val="fr-CH"/>
        </w:rPr>
        <w:t>autres conditions</w:t>
      </w:r>
      <w:r w:rsidR="00E67F85">
        <w:rPr>
          <w:lang w:val="fr-CH"/>
        </w:rPr>
        <w:t xml:space="preserve"> </w:t>
      </w:r>
      <w:r w:rsidRPr="00066C50">
        <w:rPr>
          <w:lang w:val="fr-CH"/>
        </w:rPr>
        <w:t>résultant du confinement devaient également être prise</w:t>
      </w:r>
      <w:r w:rsidR="00481B28">
        <w:rPr>
          <w:lang w:val="fr-CH"/>
        </w:rPr>
        <w:t>s</w:t>
      </w:r>
      <w:r w:rsidRPr="00066C50">
        <w:rPr>
          <w:lang w:val="fr-CH"/>
        </w:rPr>
        <w:t xml:space="preserve"> en considération. </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Un projet d</w:t>
      </w:r>
      <w:r w:rsidR="00322F95">
        <w:rPr>
          <w:lang w:val="fr-CH"/>
        </w:rPr>
        <w:t>’</w:t>
      </w:r>
      <w:r w:rsidRPr="00066C50">
        <w:rPr>
          <w:lang w:val="fr-CH"/>
        </w:rPr>
        <w:t>ébauche de l</w:t>
      </w:r>
      <w:r w:rsidR="00322F95">
        <w:rPr>
          <w:lang w:val="fr-CH"/>
        </w:rPr>
        <w:t>’</w:t>
      </w:r>
      <w:r w:rsidRPr="00066C50">
        <w:rPr>
          <w:lang w:val="fr-CH"/>
        </w:rPr>
        <w:t>annexe, qui devrait être distribué au groupe d</w:t>
      </w:r>
      <w:r w:rsidR="00322F95">
        <w:rPr>
          <w:lang w:val="fr-CH"/>
        </w:rPr>
        <w:t>’</w:t>
      </w:r>
      <w:r w:rsidRPr="00066C50">
        <w:rPr>
          <w:lang w:val="fr-CH"/>
        </w:rPr>
        <w:t xml:space="preserve">ici la mi-février, servira de base de discussion au sein du groupe. </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w:t>
      </w:r>
      <w:r w:rsidR="00322F95">
        <w:rPr>
          <w:lang w:val="fr-CH"/>
        </w:rPr>
        <w:t>’</w:t>
      </w:r>
      <w:r w:rsidRPr="00066C50">
        <w:rPr>
          <w:lang w:val="fr-CH"/>
        </w:rPr>
        <w:t>expert de l</w:t>
      </w:r>
      <w:r w:rsidR="00322F95">
        <w:rPr>
          <w:lang w:val="fr-CH"/>
        </w:rPr>
        <w:t>’</w:t>
      </w:r>
      <w:r w:rsidRPr="00066C50">
        <w:rPr>
          <w:lang w:val="fr-CH"/>
        </w:rPr>
        <w:t>Argentine a répété que conformément au mandat donné au groupe e</w:t>
      </w:r>
      <w:r w:rsidR="00862C91">
        <w:rPr>
          <w:lang w:val="fr-CH"/>
        </w:rPr>
        <w:t>n ce qui concerne la filière n</w:t>
      </w:r>
      <w:r w:rsidR="00862C91" w:rsidRPr="00862C91">
        <w:rPr>
          <w:vertAlign w:val="superscript"/>
          <w:lang w:val="fr-CH"/>
        </w:rPr>
        <w:t>o</w:t>
      </w:r>
      <w:r w:rsidR="00862C91">
        <w:rPr>
          <w:lang w:val="fr-CH"/>
        </w:rPr>
        <w:t> </w:t>
      </w:r>
      <w:r w:rsidRPr="00066C50">
        <w:rPr>
          <w:lang w:val="fr-CH"/>
        </w:rPr>
        <w:t>3, le travail devait à ce stade se concentrer sur la définition des conditions dans lesquelles un danger d</w:t>
      </w:r>
      <w:r w:rsidR="00322F95">
        <w:rPr>
          <w:lang w:val="fr-CH"/>
        </w:rPr>
        <w:t>’</w:t>
      </w:r>
      <w:r w:rsidRPr="00066C50">
        <w:rPr>
          <w:lang w:val="fr-CH"/>
        </w:rPr>
        <w:t>explosion des poussières pouvait exister, plutôt que sur la caractérisation d</w:t>
      </w:r>
      <w:r w:rsidR="00322F95">
        <w:rPr>
          <w:lang w:val="fr-CH"/>
        </w:rPr>
        <w:t>’</w:t>
      </w:r>
      <w:r w:rsidRPr="00066C50">
        <w:rPr>
          <w:lang w:val="fr-CH"/>
        </w:rPr>
        <w:t>une matière ou d</w:t>
      </w:r>
      <w:r w:rsidR="00322F95">
        <w:rPr>
          <w:lang w:val="fr-CH"/>
        </w:rPr>
        <w:t>’</w:t>
      </w:r>
      <w:r w:rsidR="00862C91">
        <w:rPr>
          <w:lang w:val="fr-CH"/>
        </w:rPr>
        <w:t>un mélange particulier.</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Un expert a souligné que la question soulevée par l</w:t>
      </w:r>
      <w:r w:rsidR="00322F95">
        <w:rPr>
          <w:lang w:val="fr-CH"/>
        </w:rPr>
        <w:t>’</w:t>
      </w:r>
      <w:r w:rsidRPr="00066C50">
        <w:rPr>
          <w:lang w:val="fr-CH"/>
        </w:rPr>
        <w:t>Argentine était désormais couverte par les accords intervenus au sein du groupe au</w:t>
      </w:r>
      <w:r w:rsidR="00862C91">
        <w:rPr>
          <w:lang w:val="fr-CH"/>
        </w:rPr>
        <w:t xml:space="preserve"> cours de la dernière réunion.</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pris note des informations fournies par l</w:t>
      </w:r>
      <w:r w:rsidR="00322F95">
        <w:rPr>
          <w:lang w:val="fr-CH"/>
        </w:rPr>
        <w:t>’</w:t>
      </w:r>
      <w:r w:rsidRPr="00066C50">
        <w:rPr>
          <w:lang w:val="fr-CH"/>
        </w:rPr>
        <w:t>expert de la Fédération de Russie dans le document INF.31 en faveur de l</w:t>
      </w:r>
      <w:r w:rsidR="00322F95">
        <w:rPr>
          <w:lang w:val="fr-CH"/>
        </w:rPr>
        <w:t>’</w:t>
      </w:r>
      <w:r w:rsidRPr="00066C50">
        <w:rPr>
          <w:lang w:val="fr-CH"/>
        </w:rPr>
        <w:t>élaboration de lignes directrices concernant les dangers d</w:t>
      </w:r>
      <w:r w:rsidR="00322F95">
        <w:rPr>
          <w:lang w:val="fr-CH"/>
        </w:rPr>
        <w:t>’</w:t>
      </w:r>
      <w:r w:rsidRPr="00066C50">
        <w:rPr>
          <w:lang w:val="fr-CH"/>
        </w:rPr>
        <w:t xml:space="preserve">explosion des poussières. </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B.</w:t>
      </w:r>
      <w:r w:rsidRPr="00066C50">
        <w:rPr>
          <w:lang w:val="fr-CH"/>
        </w:rPr>
        <w:tab/>
        <w:t>Questions pratiques de classification</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862C9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862C91">
        <w:rPr>
          <w:i/>
          <w:lang w:val="fr-CH"/>
        </w:rPr>
        <w:t> </w:t>
      </w:r>
      <w:r w:rsidRPr="00862C91">
        <w:rPr>
          <w:lang w:val="fr-CH"/>
        </w:rPr>
        <w:t>:</w:t>
      </w:r>
      <w:r w:rsidRPr="00066C50">
        <w:rPr>
          <w:i/>
          <w:lang w:val="fr-CH"/>
        </w:rPr>
        <w:tab/>
      </w:r>
      <w:r w:rsidRPr="00066C50">
        <w:rPr>
          <w:lang w:val="fr-CH"/>
        </w:rPr>
        <w:t>INF.16 (États-Unis d</w:t>
      </w:r>
      <w:r w:rsidR="00322F95">
        <w:rPr>
          <w:lang w:val="fr-CH"/>
        </w:rPr>
        <w:t>’</w:t>
      </w:r>
      <w:r w:rsidRPr="00066C50">
        <w:rPr>
          <w:lang w:val="fr-CH"/>
        </w:rPr>
        <w:t>Amérique)</w:t>
      </w:r>
      <w:r w:rsidR="00862C91">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w:t>
      </w:r>
      <w:r w:rsidR="00734DD3">
        <w:rPr>
          <w:lang w:val="fr-CH"/>
        </w:rPr>
        <w:t xml:space="preserve">us-Comité a noté que le groupe </w:t>
      </w:r>
      <w:r w:rsidRPr="00066C50">
        <w:rPr>
          <w:lang w:val="fr-CH"/>
        </w:rPr>
        <w:t>de travail informel par correspondance chargé des questions pratiques de classification avait examiné les points énumérés dans le document INF.16 et avait adopté les propositions faites (dans certains cas avec des modifications rédactionnelles supplémentaires). Une proposition officielle devait être soumise pour examen au Sous-Comité à sa prochaine session. Les experts du Sous-Comité ont été invités à examiner les modifications proposées et à communiquer leurs observations éventuelles à l</w:t>
      </w:r>
      <w:r w:rsidR="00322F95">
        <w:rPr>
          <w:lang w:val="fr-CH"/>
        </w:rPr>
        <w:t>’</w:t>
      </w:r>
      <w:r w:rsidR="00734DD3">
        <w:rPr>
          <w:lang w:val="fr-CH"/>
        </w:rPr>
        <w:t xml:space="preserve">experte des </w:t>
      </w:r>
      <w:r w:rsidRPr="00066C50">
        <w:rPr>
          <w:lang w:val="fr-CH"/>
        </w:rPr>
        <w:t>États-Unis d</w:t>
      </w:r>
      <w:r w:rsidR="00322F95">
        <w:rPr>
          <w:lang w:val="fr-CH"/>
        </w:rPr>
        <w:t>’</w:t>
      </w:r>
      <w:r w:rsidRPr="00066C50">
        <w:rPr>
          <w:lang w:val="fr-CH"/>
        </w:rPr>
        <w:t>Amérique.</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w:t>
      </w:r>
      <w:r w:rsidR="00322F95">
        <w:rPr>
          <w:lang w:val="fr-CH"/>
        </w:rPr>
        <w:t>’</w:t>
      </w:r>
      <w:r w:rsidRPr="00066C50">
        <w:rPr>
          <w:lang w:val="fr-CH"/>
        </w:rPr>
        <w:t>experte des</w:t>
      </w:r>
      <w:r w:rsidR="00E67F85">
        <w:rPr>
          <w:lang w:val="fr-CH"/>
        </w:rPr>
        <w:t xml:space="preserve"> </w:t>
      </w:r>
      <w:r w:rsidRPr="00066C50">
        <w:rPr>
          <w:lang w:val="fr-CH"/>
        </w:rPr>
        <w:t>États-Unis d</w:t>
      </w:r>
      <w:r w:rsidR="00322F95">
        <w:rPr>
          <w:lang w:val="fr-CH"/>
        </w:rPr>
        <w:t>’</w:t>
      </w:r>
      <w:r w:rsidRPr="00066C50">
        <w:rPr>
          <w:lang w:val="fr-CH"/>
        </w:rPr>
        <w:t>Amérique a expliqué que le groupe informel avait identifié deux points susceptibles d</w:t>
      </w:r>
      <w:r w:rsidR="00322F95">
        <w:rPr>
          <w:lang w:val="fr-CH"/>
        </w:rPr>
        <w:t>’</w:t>
      </w:r>
      <w:r w:rsidRPr="00066C50">
        <w:rPr>
          <w:lang w:val="fr-CH"/>
        </w:rPr>
        <w:t>être améliorés au chapitre</w:t>
      </w:r>
      <w:r w:rsidR="00734DD3">
        <w:rPr>
          <w:lang w:val="fr-CH"/>
        </w:rPr>
        <w:t> </w:t>
      </w:r>
      <w:r w:rsidRPr="00066C50">
        <w:rPr>
          <w:lang w:val="fr-CH"/>
        </w:rPr>
        <w:t>1.5 du SGH (à savoir la valeur seuil pour établir une fiche de données de sécurité concernant les dangers par aspiration au tableau</w:t>
      </w:r>
      <w:r w:rsidR="00734DD3">
        <w:rPr>
          <w:lang w:val="fr-CH"/>
        </w:rPr>
        <w:t> </w:t>
      </w:r>
      <w:r w:rsidRPr="00066C50">
        <w:rPr>
          <w:lang w:val="fr-CH"/>
        </w:rPr>
        <w:t>1.5.1 et les renvois à des normes internationalement reconnues au paragraphe</w:t>
      </w:r>
      <w:r w:rsidR="00734DD3">
        <w:rPr>
          <w:lang w:val="fr-CH"/>
        </w:rPr>
        <w:t> </w:t>
      </w:r>
      <w:r w:rsidRPr="00066C50">
        <w:rPr>
          <w:lang w:val="fr-CH"/>
        </w:rPr>
        <w:t>1.5.3.3.3). Il a déclaré que les modifications du chapitre</w:t>
      </w:r>
      <w:r w:rsidR="00734DD3">
        <w:rPr>
          <w:lang w:val="fr-CH"/>
        </w:rPr>
        <w:t> </w:t>
      </w:r>
      <w:r w:rsidRPr="00066C50">
        <w:rPr>
          <w:lang w:val="fr-CH"/>
        </w:rPr>
        <w:t>1.5 du SGH que le groupe de travail informel a accepté d</w:t>
      </w:r>
      <w:r w:rsidR="00322F95">
        <w:rPr>
          <w:lang w:val="fr-CH"/>
        </w:rPr>
        <w:t>’</w:t>
      </w:r>
      <w:r w:rsidRPr="00066C50">
        <w:rPr>
          <w:lang w:val="fr-CH"/>
        </w:rPr>
        <w:t>examiner seraient incluses dans le document officiel à soumettre au Sous-Comité pour examen à sa prochaine session.</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également noté que l</w:t>
      </w:r>
      <w:r w:rsidR="00322F95">
        <w:rPr>
          <w:lang w:val="fr-CH"/>
        </w:rPr>
        <w:t>’</w:t>
      </w:r>
      <w:r w:rsidRPr="00066C50">
        <w:rPr>
          <w:lang w:val="fr-CH"/>
        </w:rPr>
        <w:t>IPIECA avait été invitée à fournir des exemples illustrant les conséquences des interprétations divergentes des critères de classement du SGH par différentes autorités compétentes lorsqu</w:t>
      </w:r>
      <w:r w:rsidR="00322F95">
        <w:rPr>
          <w:lang w:val="fr-CH"/>
        </w:rPr>
        <w:t>’</w:t>
      </w:r>
      <w:r w:rsidRPr="00066C50">
        <w:rPr>
          <w:lang w:val="fr-CH"/>
        </w:rPr>
        <w:t>il s</w:t>
      </w:r>
      <w:r w:rsidR="00322F95">
        <w:rPr>
          <w:lang w:val="fr-CH"/>
        </w:rPr>
        <w:t>’</w:t>
      </w:r>
      <w:r w:rsidRPr="00066C50">
        <w:rPr>
          <w:lang w:val="fr-CH"/>
        </w:rPr>
        <w:t>agit de matières de composition inconnue ou variable, de produits issus de procédés complexes ou de matériels biologiques (UVCB).</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C.</w:t>
      </w:r>
      <w:r w:rsidRPr="00066C50">
        <w:rPr>
          <w:lang w:val="fr-CH"/>
        </w:rPr>
        <w:tab/>
        <w:t>Toxicité par aspiration</w:t>
      </w:r>
      <w:r w:rsidR="00734DD3">
        <w:rPr>
          <w:lang w:val="fr-CH"/>
        </w:rPr>
        <w:t> </w:t>
      </w:r>
      <w:r w:rsidRPr="00066C50">
        <w:rPr>
          <w:lang w:val="fr-CH"/>
        </w:rPr>
        <w:t xml:space="preserve">: critère de viscosité pour le classement </w:t>
      </w:r>
      <w:r w:rsidR="00734DD3">
        <w:rPr>
          <w:lang w:val="fr-CH"/>
        </w:rPr>
        <w:br/>
      </w:r>
      <w:r w:rsidRPr="00066C50">
        <w:rPr>
          <w:lang w:val="fr-CH"/>
        </w:rPr>
        <w:t>des mélanges</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734D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734DD3">
        <w:rPr>
          <w:i/>
          <w:lang w:val="fr-CH"/>
        </w:rPr>
        <w:t> </w:t>
      </w:r>
      <w:r w:rsidRPr="00734DD3">
        <w:rPr>
          <w:lang w:val="fr-CH"/>
        </w:rPr>
        <w:t>:</w:t>
      </w:r>
      <w:r w:rsidRPr="00066C50">
        <w:rPr>
          <w:i/>
          <w:lang w:val="fr-CH"/>
        </w:rPr>
        <w:tab/>
      </w:r>
      <w:r w:rsidRPr="00066C50">
        <w:rPr>
          <w:lang w:val="fr-CH"/>
        </w:rPr>
        <w:t>ST/SG/AC.10/C.4/2015/8 (OMI)</w:t>
      </w:r>
      <w:r w:rsidR="00734DD3">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invité l</w:t>
      </w:r>
      <w:r w:rsidR="00322F95">
        <w:rPr>
          <w:lang w:val="fr-CH"/>
        </w:rPr>
        <w:t>’</w:t>
      </w:r>
      <w:r w:rsidRPr="00066C50">
        <w:rPr>
          <w:lang w:val="fr-CH"/>
        </w:rPr>
        <w:t>expert de la Finlande, qui avait admis que la question soulevée par l</w:t>
      </w:r>
      <w:r w:rsidR="00322F95">
        <w:rPr>
          <w:lang w:val="fr-CH"/>
        </w:rPr>
        <w:t>’</w:t>
      </w:r>
      <w:r w:rsidRPr="00066C50">
        <w:rPr>
          <w:lang w:val="fr-CH"/>
        </w:rPr>
        <w:t>OMI méritait quelques éclaircissements, à coopérer avec l</w:t>
      </w:r>
      <w:r w:rsidR="00322F95">
        <w:rPr>
          <w:lang w:val="fr-CH"/>
        </w:rPr>
        <w:t>’</w:t>
      </w:r>
      <w:r w:rsidRPr="00066C50">
        <w:rPr>
          <w:lang w:val="fr-CH"/>
        </w:rPr>
        <w:t>OMI et tout autre expert intéressé en vue de l</w:t>
      </w:r>
      <w:r w:rsidR="00322F95">
        <w:rPr>
          <w:lang w:val="fr-CH"/>
        </w:rPr>
        <w:t>’</w:t>
      </w:r>
      <w:r w:rsidRPr="00066C50">
        <w:rPr>
          <w:lang w:val="fr-CH"/>
        </w:rPr>
        <w:t>élaboration d</w:t>
      </w:r>
      <w:r w:rsidR="00322F95">
        <w:rPr>
          <w:lang w:val="fr-CH"/>
        </w:rPr>
        <w:t>’</w:t>
      </w:r>
      <w:r w:rsidR="00734DD3">
        <w:rPr>
          <w:lang w:val="fr-CH"/>
        </w:rPr>
        <w:t>une proposition.</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D.</w:t>
      </w:r>
      <w:r w:rsidRPr="00066C50">
        <w:rPr>
          <w:lang w:val="fr-CH"/>
        </w:rPr>
        <w:tab/>
        <w:t>Nanomatériaux</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Pr="00066C50" w:rsidRDefault="00066C50" w:rsidP="00734D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371BCB">
        <w:rPr>
          <w:i/>
          <w:lang w:val="fr-CH"/>
        </w:rPr>
        <w:t>s</w:t>
      </w:r>
      <w:r w:rsidRPr="00066C50">
        <w:rPr>
          <w:i/>
          <w:lang w:val="fr-CH"/>
        </w:rPr>
        <w:t xml:space="preserve"> informels</w:t>
      </w:r>
      <w:r w:rsidR="00734DD3">
        <w:rPr>
          <w:i/>
          <w:lang w:val="fr-CH"/>
        </w:rPr>
        <w:t> </w:t>
      </w:r>
      <w:r w:rsidRPr="00734DD3">
        <w:rPr>
          <w:lang w:val="fr-CH"/>
        </w:rPr>
        <w:t>:</w:t>
      </w:r>
      <w:r w:rsidRPr="00066C50">
        <w:rPr>
          <w:i/>
          <w:lang w:val="fr-CH"/>
        </w:rPr>
        <w:tab/>
      </w:r>
      <w:r w:rsidRPr="00066C50">
        <w:rPr>
          <w:lang w:val="fr-CH"/>
        </w:rPr>
        <w:t>INF.20 (France)</w:t>
      </w:r>
      <w:r w:rsidR="00734DD3" w:rsidRPr="00066C50">
        <w:rPr>
          <w:lang w:val="fr-CH"/>
        </w:rPr>
        <w:t xml:space="preserve"> </w:t>
      </w:r>
      <w:r w:rsidR="00734DD3">
        <w:rPr>
          <w:lang w:val="fr-CH"/>
        </w:rPr>
        <w:br/>
      </w:r>
      <w:r w:rsidRPr="00066C50">
        <w:rPr>
          <w:lang w:val="fr-CH"/>
        </w:rPr>
        <w:t>INF.30, question 14 (Secrétariat)</w:t>
      </w:r>
      <w:r w:rsidR="00734DD3">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Sous-Comité a noté que le groupe informel sur les nanomatériaux avait examiné, lors de sa réunion du 9</w:t>
      </w:r>
      <w:r w:rsidR="00734DD3">
        <w:rPr>
          <w:lang w:val="fr-CH"/>
        </w:rPr>
        <w:t> </w:t>
      </w:r>
      <w:r w:rsidRPr="00066C50">
        <w:rPr>
          <w:lang w:val="fr-CH"/>
        </w:rPr>
        <w:t>décembre, les résultats d</w:t>
      </w:r>
      <w:r w:rsidR="00322F95">
        <w:rPr>
          <w:lang w:val="fr-CH"/>
        </w:rPr>
        <w:t>’</w:t>
      </w:r>
      <w:r w:rsidRPr="00066C50">
        <w:rPr>
          <w:lang w:val="fr-CH"/>
        </w:rPr>
        <w:t>un exercice de classement des dangers pour l</w:t>
      </w:r>
      <w:r w:rsidR="00322F95">
        <w:rPr>
          <w:lang w:val="fr-CH"/>
        </w:rPr>
        <w:t>’</w:t>
      </w:r>
      <w:r w:rsidRPr="00066C50">
        <w:rPr>
          <w:lang w:val="fr-CH"/>
        </w:rPr>
        <w:t>environnent mené par la Finlande à l</w:t>
      </w:r>
      <w:r w:rsidR="00322F95">
        <w:rPr>
          <w:lang w:val="fr-CH"/>
        </w:rPr>
        <w:t>’</w:t>
      </w:r>
      <w:r w:rsidRPr="00066C50">
        <w:rPr>
          <w:lang w:val="fr-CH"/>
        </w:rPr>
        <w:t>aide de données sur les nanotubes de carbone et de dioxyde de titane et qu</w:t>
      </w:r>
      <w:r w:rsidR="00322F95">
        <w:rPr>
          <w:lang w:val="fr-CH"/>
        </w:rPr>
        <w:t>’</w:t>
      </w:r>
      <w:r w:rsidRPr="00066C50">
        <w:rPr>
          <w:lang w:val="fr-CH"/>
        </w:rPr>
        <w:t>il avait examiné certaines questions identifiées par la France en ce qui concerne l</w:t>
      </w:r>
      <w:r w:rsidR="00322F95">
        <w:rPr>
          <w:lang w:val="fr-CH"/>
        </w:rPr>
        <w:t>’</w:t>
      </w:r>
      <w:r w:rsidRPr="00066C50">
        <w:rPr>
          <w:lang w:val="fr-CH"/>
        </w:rPr>
        <w:t>évaluation des dangers physiques des nanomatériaux ainsi que celle des propriétés canc</w:t>
      </w:r>
      <w:r w:rsidR="00734DD3">
        <w:rPr>
          <w:lang w:val="fr-CH"/>
        </w:rPr>
        <w:t>érogènes du dioxyde de titane.</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w:t>
      </w:r>
      <w:r w:rsidR="00322F95">
        <w:rPr>
          <w:lang w:val="fr-CH"/>
        </w:rPr>
        <w:t>’</w:t>
      </w:r>
      <w:r w:rsidRPr="00066C50">
        <w:rPr>
          <w:lang w:val="fr-CH"/>
        </w:rPr>
        <w:t>expert de la France a indiqué que, sur la base des travaux déjà effectués, le groupe informel par correspondance était arrivé à la conclusion que les critères du SGH pouvaient être appliqués dans une certaine mesure au classement des nanomatériaux et que certains aspects de ce classement pourraient concerner l</w:t>
      </w:r>
      <w:r w:rsidR="00322F95">
        <w:rPr>
          <w:lang w:val="fr-CH"/>
        </w:rPr>
        <w:t>’</w:t>
      </w:r>
      <w:r w:rsidR="00734DD3">
        <w:rPr>
          <w:lang w:val="fr-CH"/>
        </w:rPr>
        <w:t xml:space="preserve">OCDE. </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S</w:t>
      </w:r>
      <w:r w:rsidR="00322F95">
        <w:rPr>
          <w:lang w:val="fr-CH"/>
        </w:rPr>
        <w:t>’</w:t>
      </w:r>
      <w:r w:rsidRPr="00066C50">
        <w:rPr>
          <w:lang w:val="fr-CH"/>
        </w:rPr>
        <w:t>agissant de l</w:t>
      </w:r>
      <w:r w:rsidR="00322F95">
        <w:rPr>
          <w:lang w:val="fr-CH"/>
        </w:rPr>
        <w:t>’</w:t>
      </w:r>
      <w:r w:rsidRPr="00066C50">
        <w:rPr>
          <w:lang w:val="fr-CH"/>
        </w:rPr>
        <w:t>applicabilité des méthodes d</w:t>
      </w:r>
      <w:r w:rsidR="00322F95">
        <w:rPr>
          <w:lang w:val="fr-CH"/>
        </w:rPr>
        <w:t>’</w:t>
      </w:r>
      <w:r w:rsidRPr="00066C50">
        <w:rPr>
          <w:lang w:val="fr-CH"/>
        </w:rPr>
        <w:t>évaluation des dangers physiques, l</w:t>
      </w:r>
      <w:r w:rsidR="00322F95">
        <w:rPr>
          <w:lang w:val="fr-CH"/>
        </w:rPr>
        <w:t>’</w:t>
      </w:r>
      <w:r w:rsidRPr="00066C50">
        <w:rPr>
          <w:lang w:val="fr-CH"/>
        </w:rPr>
        <w:t>expert de la France a indiqué que certaines lacunes avaient été mises en évidence, comme la nécessité d</w:t>
      </w:r>
      <w:r w:rsidR="00322F95">
        <w:rPr>
          <w:lang w:val="fr-CH"/>
        </w:rPr>
        <w:t>’</w:t>
      </w:r>
      <w:r w:rsidRPr="00066C50">
        <w:rPr>
          <w:lang w:val="fr-CH"/>
        </w:rPr>
        <w:t>une taille de particule minimale pour effectuer certaines épreuves ou l</w:t>
      </w:r>
      <w:r w:rsidR="00322F95">
        <w:rPr>
          <w:lang w:val="fr-CH"/>
        </w:rPr>
        <w:t>’</w:t>
      </w:r>
      <w:r w:rsidRPr="00066C50">
        <w:rPr>
          <w:lang w:val="fr-CH"/>
        </w:rPr>
        <w:t>impossibilité d</w:t>
      </w:r>
      <w:r w:rsidR="00322F95">
        <w:rPr>
          <w:lang w:val="fr-CH"/>
        </w:rPr>
        <w:t>’</w:t>
      </w:r>
      <w:r w:rsidRPr="00066C50">
        <w:rPr>
          <w:lang w:val="fr-CH"/>
        </w:rPr>
        <w:t>appliquer les conditions d</w:t>
      </w:r>
      <w:r w:rsidR="00322F95">
        <w:rPr>
          <w:lang w:val="fr-CH"/>
        </w:rPr>
        <w:t>’</w:t>
      </w:r>
      <w:r w:rsidRPr="00066C50">
        <w:rPr>
          <w:lang w:val="fr-CH"/>
        </w:rPr>
        <w:t>épreuve aux nanomatériaux. Il a estimé que ces questions méritaient d</w:t>
      </w:r>
      <w:r w:rsidR="00322F95">
        <w:rPr>
          <w:lang w:val="fr-CH"/>
        </w:rPr>
        <w:t>’</w:t>
      </w:r>
      <w:r w:rsidRPr="00066C50">
        <w:rPr>
          <w:lang w:val="fr-CH"/>
        </w:rPr>
        <w:t>être approfondies et assuré qu</w:t>
      </w:r>
      <w:r w:rsidR="00322F95">
        <w:rPr>
          <w:lang w:val="fr-CH"/>
        </w:rPr>
        <w:t>’</w:t>
      </w:r>
      <w:r w:rsidRPr="00066C50">
        <w:rPr>
          <w:lang w:val="fr-CH"/>
        </w:rPr>
        <w:t xml:space="preserve">il continuerait à tenir les deux sous-commissions informées à ce sujet. </w:t>
      </w:r>
    </w:p>
    <w:p w:rsidR="00F06437" w:rsidRPr="00F06437" w:rsidRDefault="00F06437" w:rsidP="00F06437">
      <w:pPr>
        <w:pStyle w:val="SingleTxt"/>
        <w:spacing w:after="0" w:line="120" w:lineRule="exact"/>
        <w:rPr>
          <w:b/>
          <w:sz w:val="10"/>
          <w:lang w:val="fr-CH"/>
        </w:rPr>
      </w:pPr>
    </w:p>
    <w:p w:rsidR="00F06437" w:rsidRPr="00F06437" w:rsidRDefault="00F06437" w:rsidP="00F06437">
      <w:pPr>
        <w:pStyle w:val="SingleTxt"/>
        <w:spacing w:after="0" w:line="120" w:lineRule="exact"/>
        <w:rPr>
          <w:b/>
          <w:sz w:val="10"/>
          <w:lang w:val="fr-CH"/>
        </w:rPr>
      </w:pPr>
    </w:p>
    <w:p w:rsidR="00066C50" w:rsidRDefault="00066C50" w:rsidP="00F064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E.</w:t>
      </w:r>
      <w:r w:rsidRPr="00066C50">
        <w:rPr>
          <w:lang w:val="fr-CH"/>
        </w:rPr>
        <w:tab/>
        <w:t>Divers</w:t>
      </w:r>
    </w:p>
    <w:p w:rsidR="00F06437" w:rsidRPr="00F06437" w:rsidRDefault="00F06437" w:rsidP="00F06437">
      <w:pPr>
        <w:pStyle w:val="SingleTxt"/>
        <w:spacing w:after="0" w:line="120" w:lineRule="exact"/>
        <w:rPr>
          <w:sz w:val="10"/>
          <w:lang w:val="fr-CH"/>
        </w:rPr>
      </w:pPr>
    </w:p>
    <w:p w:rsidR="00F06437" w:rsidRPr="00F06437" w:rsidRDefault="00F06437" w:rsidP="00F06437">
      <w:pPr>
        <w:pStyle w:val="SingleTxt"/>
        <w:spacing w:after="0" w:line="120" w:lineRule="exact"/>
        <w:rPr>
          <w:sz w:val="10"/>
          <w:lang w:val="fr-CH"/>
        </w:rPr>
      </w:pPr>
    </w:p>
    <w:p w:rsidR="00066C50" w:rsidRDefault="00094C31" w:rsidP="00094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66C50" w:rsidRPr="00066C50">
        <w:rPr>
          <w:lang w:val="fr-CH"/>
        </w:rPr>
        <w:t>1.</w:t>
      </w:r>
      <w:r w:rsidR="00066C50" w:rsidRPr="00066C50">
        <w:rPr>
          <w:lang w:val="fr-CH"/>
        </w:rPr>
        <w:tab/>
        <w:t>Utilisation de méthodes d</w:t>
      </w:r>
      <w:r w:rsidR="00322F95">
        <w:rPr>
          <w:lang w:val="fr-CH"/>
        </w:rPr>
        <w:t>’</w:t>
      </w:r>
      <w:r w:rsidR="00066C50" w:rsidRPr="00066C50">
        <w:rPr>
          <w:lang w:val="fr-CH"/>
        </w:rPr>
        <w:t xml:space="preserve">expérimentation non animales pour le classement </w:t>
      </w:r>
      <w:r>
        <w:rPr>
          <w:lang w:val="fr-CH"/>
        </w:rPr>
        <w:br/>
      </w:r>
      <w:r w:rsidR="00066C50" w:rsidRPr="00066C50">
        <w:rPr>
          <w:lang w:val="fr-CH"/>
        </w:rPr>
        <w:t>des dangers pour la santé</w:t>
      </w:r>
    </w:p>
    <w:p w:rsidR="00094C31" w:rsidRPr="00094C31" w:rsidRDefault="00094C31" w:rsidP="00094C31">
      <w:pPr>
        <w:pStyle w:val="SingleTxt"/>
        <w:spacing w:after="0" w:line="120" w:lineRule="exact"/>
        <w:rPr>
          <w:sz w:val="10"/>
          <w:lang w:val="fr-CH"/>
        </w:rPr>
      </w:pPr>
    </w:p>
    <w:p w:rsidR="00094C31" w:rsidRPr="00094C31" w:rsidRDefault="00094C31" w:rsidP="00094C31">
      <w:pPr>
        <w:pStyle w:val="SingleTxt"/>
        <w:spacing w:after="0" w:line="120" w:lineRule="exact"/>
        <w:rPr>
          <w:sz w:val="10"/>
          <w:lang w:val="fr-CH"/>
        </w:rPr>
      </w:pPr>
    </w:p>
    <w:p w:rsidR="00066C50" w:rsidRPr="00066C50" w:rsidRDefault="00066C50" w:rsidP="00734D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4D024E">
        <w:rPr>
          <w:i/>
          <w:lang w:val="fr-CH"/>
        </w:rPr>
        <w:t> </w:t>
      </w:r>
      <w:r w:rsidRPr="004D024E">
        <w:rPr>
          <w:lang w:val="fr-CH"/>
        </w:rPr>
        <w:t>:</w:t>
      </w:r>
      <w:r w:rsidRPr="00066C50">
        <w:rPr>
          <w:lang w:val="fr-CH"/>
        </w:rPr>
        <w:tab/>
        <w:t>ST/SG/AC.10/C.4/2015/13 (Pays-Bas et Royaume-Uni)</w:t>
      </w:r>
      <w:r w:rsidR="00932D0F">
        <w:rPr>
          <w:lang w:val="fr-CH"/>
        </w:rPr>
        <w:t>.</w:t>
      </w:r>
    </w:p>
    <w:p w:rsidR="00066C50" w:rsidRPr="00066C50" w:rsidRDefault="00066C50" w:rsidP="00734D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4D024E">
        <w:rPr>
          <w:i/>
          <w:lang w:val="fr-CH"/>
        </w:rPr>
        <w:t> </w:t>
      </w:r>
      <w:r w:rsidRPr="004D024E">
        <w:rPr>
          <w:lang w:val="fr-CH"/>
        </w:rPr>
        <w:t>:</w:t>
      </w:r>
      <w:r w:rsidR="004D024E">
        <w:rPr>
          <w:i/>
          <w:lang w:val="fr-CH"/>
        </w:rPr>
        <w:tab/>
      </w:r>
      <w:r w:rsidRPr="00066C50">
        <w:rPr>
          <w:lang w:val="fr-CH"/>
        </w:rPr>
        <w:t>INF.19 (États-Unis d</w:t>
      </w:r>
      <w:r w:rsidR="00322F95">
        <w:rPr>
          <w:lang w:val="fr-CH"/>
        </w:rPr>
        <w:t>’</w:t>
      </w:r>
      <w:r w:rsidRPr="00066C50">
        <w:rPr>
          <w:lang w:val="fr-CH"/>
        </w:rPr>
        <w:t>Amérique)</w:t>
      </w:r>
      <w:r w:rsidR="004D024E">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Un soutien général des participants s</w:t>
      </w:r>
      <w:r w:rsidR="00322F95">
        <w:rPr>
          <w:lang w:val="fr-CH"/>
        </w:rPr>
        <w:t>’</w:t>
      </w:r>
      <w:r w:rsidRPr="00066C50">
        <w:rPr>
          <w:lang w:val="fr-CH"/>
        </w:rPr>
        <w:t>est manifesté en faveur de l</w:t>
      </w:r>
      <w:r w:rsidR="00322F95">
        <w:rPr>
          <w:lang w:val="fr-CH"/>
        </w:rPr>
        <w:t>’</w:t>
      </w:r>
      <w:r w:rsidRPr="00066C50">
        <w:rPr>
          <w:lang w:val="fr-CH"/>
        </w:rPr>
        <w:t>examen des efforts internationaux visant à mettre au point des méthodes de remplacement de l</w:t>
      </w:r>
      <w:r w:rsidR="00322F95">
        <w:rPr>
          <w:lang w:val="fr-CH"/>
        </w:rPr>
        <w:t>’</w:t>
      </w:r>
      <w:r w:rsidRPr="00066C50">
        <w:rPr>
          <w:lang w:val="fr-CH"/>
        </w:rPr>
        <w:t xml:space="preserve">expérimentation animale, notamment des méthodes </w:t>
      </w:r>
      <w:r w:rsidRPr="00066C50">
        <w:rPr>
          <w:i/>
          <w:lang w:val="fr-CH"/>
        </w:rPr>
        <w:t>in vitro</w:t>
      </w:r>
      <w:r w:rsidRPr="00066C50">
        <w:rPr>
          <w:lang w:val="fr-CH"/>
        </w:rPr>
        <w:t xml:space="preserve"> et </w:t>
      </w:r>
      <w:r w:rsidRPr="00066C50">
        <w:rPr>
          <w:i/>
          <w:lang w:val="fr-CH"/>
        </w:rPr>
        <w:t xml:space="preserve">in </w:t>
      </w:r>
      <w:proofErr w:type="spellStart"/>
      <w:r w:rsidRPr="00066C50">
        <w:rPr>
          <w:i/>
          <w:lang w:val="fr-CH"/>
        </w:rPr>
        <w:t>chemico</w:t>
      </w:r>
      <w:proofErr w:type="spellEnd"/>
      <w:r w:rsidRPr="00066C50">
        <w:rPr>
          <w:i/>
          <w:lang w:val="fr-CH"/>
        </w:rPr>
        <w:t>,</w:t>
      </w:r>
      <w:r w:rsidRPr="00066C50">
        <w:rPr>
          <w:lang w:val="fr-CH"/>
        </w:rPr>
        <w:t xml:space="preserve"> pour procéder au classement. Ils ont également appuyé la discussion portant sur la question de savoir comment incorporer ces méthodes, compte tenu des limites et ambiguïtés relevées, parmi les méthodes utilisées pour évaluer les dangers pour la santé conformément au SGH. </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Les experts des Pays-Bas, du Royaume-Uni et des États-Unis d</w:t>
      </w:r>
      <w:r w:rsidR="00322F95">
        <w:rPr>
          <w:lang w:val="fr-CH"/>
        </w:rPr>
        <w:t>’</w:t>
      </w:r>
      <w:r w:rsidRPr="00066C50">
        <w:rPr>
          <w:lang w:val="fr-CH"/>
        </w:rPr>
        <w:t>Amérique se sont déclarés prêts à travailler au mandat qui sera soumis au Sous-Comité pour approbation à sa prochaine session. Il a été reconnu que deux approches différentes pourraient être nécessaires pour traiter les questions soulevées</w:t>
      </w:r>
      <w:r w:rsidR="00084F1C">
        <w:rPr>
          <w:lang w:val="fr-CH"/>
        </w:rPr>
        <w:t> </w:t>
      </w:r>
      <w:r w:rsidRPr="00066C50">
        <w:rPr>
          <w:lang w:val="fr-CH"/>
        </w:rPr>
        <w:t xml:space="preserve">: </w:t>
      </w:r>
    </w:p>
    <w:p w:rsidR="00066C50" w:rsidRPr="00066C50" w:rsidRDefault="00932D0F" w:rsidP="00932D0F">
      <w:pPr>
        <w:pStyle w:val="Bullet1"/>
        <w:rPr>
          <w:lang w:val="fr-CH"/>
        </w:rPr>
      </w:pPr>
      <w:r w:rsidRPr="00066C50">
        <w:rPr>
          <w:lang w:val="fr-CH"/>
        </w:rPr>
        <w:t xml:space="preserve">Évaluation </w:t>
      </w:r>
      <w:r w:rsidR="00066C50" w:rsidRPr="00066C50">
        <w:rPr>
          <w:lang w:val="fr-CH"/>
        </w:rPr>
        <w:t>des méthodes de lecture croisée; et</w:t>
      </w:r>
    </w:p>
    <w:p w:rsidR="00066C50" w:rsidRPr="00066C50" w:rsidRDefault="00932D0F" w:rsidP="00932D0F">
      <w:pPr>
        <w:pStyle w:val="Bullet1"/>
        <w:rPr>
          <w:lang w:val="fr-CH"/>
        </w:rPr>
      </w:pPr>
      <w:r w:rsidRPr="00066C50">
        <w:rPr>
          <w:lang w:val="fr-CH"/>
        </w:rPr>
        <w:t xml:space="preserve">Évaluation </w:t>
      </w:r>
      <w:r w:rsidR="00066C50" w:rsidRPr="00066C50">
        <w:rPr>
          <w:lang w:val="fr-CH"/>
        </w:rPr>
        <w:t xml:space="preserve">des méthodes </w:t>
      </w:r>
      <w:r w:rsidR="00066C50" w:rsidRPr="00066C50">
        <w:rPr>
          <w:i/>
          <w:lang w:val="fr-CH"/>
        </w:rPr>
        <w:t>in vitro</w:t>
      </w:r>
      <w:r w:rsidR="00066C50" w:rsidRPr="00066C50">
        <w:rPr>
          <w:lang w:val="fr-CH"/>
        </w:rPr>
        <w:t xml:space="preserve"> et </w:t>
      </w:r>
      <w:r w:rsidR="00066C50" w:rsidRPr="00066C50">
        <w:rPr>
          <w:i/>
          <w:lang w:val="fr-CH"/>
        </w:rPr>
        <w:t xml:space="preserve">in </w:t>
      </w:r>
      <w:proofErr w:type="spellStart"/>
      <w:r w:rsidR="00066C50" w:rsidRPr="00066C50">
        <w:rPr>
          <w:i/>
          <w:lang w:val="fr-CH"/>
        </w:rPr>
        <w:t>chemico</w:t>
      </w:r>
      <w:proofErr w:type="spellEnd"/>
      <w:r w:rsidR="00BE6CA5">
        <w:rPr>
          <w:lang w:val="fr-CH"/>
        </w:rPr>
        <w:t>.</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Plusieurs experts ont proposé qu</w:t>
      </w:r>
      <w:r w:rsidR="00322F95">
        <w:rPr>
          <w:lang w:val="fr-CH"/>
        </w:rPr>
        <w:t>’</w:t>
      </w:r>
      <w:r w:rsidRPr="00066C50">
        <w:rPr>
          <w:lang w:val="fr-CH"/>
        </w:rPr>
        <w:t xml:space="preserve">une classe de danger </w:t>
      </w:r>
      <w:r w:rsidR="00932D0F">
        <w:rPr>
          <w:lang w:val="fr-CH"/>
        </w:rPr>
        <w:t>« </w:t>
      </w:r>
      <w:r w:rsidRPr="00066C50">
        <w:rPr>
          <w:lang w:val="fr-CH"/>
        </w:rPr>
        <w:t>pilote</w:t>
      </w:r>
      <w:r w:rsidR="00932D0F">
        <w:rPr>
          <w:lang w:val="fr-CH"/>
        </w:rPr>
        <w:t> »</w:t>
      </w:r>
      <w:r w:rsidRPr="00066C50">
        <w:rPr>
          <w:lang w:val="fr-CH"/>
        </w:rPr>
        <w:t xml:space="preserve"> soit choisie pour l</w:t>
      </w:r>
      <w:r w:rsidR="00322F95">
        <w:rPr>
          <w:lang w:val="fr-CH"/>
        </w:rPr>
        <w:t>’</w:t>
      </w:r>
      <w:r w:rsidRPr="00066C50">
        <w:rPr>
          <w:lang w:val="fr-CH"/>
        </w:rPr>
        <w:t>évaluation des méthodes d</w:t>
      </w:r>
      <w:r w:rsidR="00322F95">
        <w:rPr>
          <w:lang w:val="fr-CH"/>
        </w:rPr>
        <w:t>’</w:t>
      </w:r>
      <w:r w:rsidRPr="00066C50">
        <w:rPr>
          <w:lang w:val="fr-CH"/>
        </w:rPr>
        <w:t>épreuve et estimé qu</w:t>
      </w:r>
      <w:r w:rsidR="00322F95">
        <w:rPr>
          <w:lang w:val="fr-CH"/>
        </w:rPr>
        <w:t>’</w:t>
      </w:r>
      <w:r w:rsidRPr="00066C50">
        <w:rPr>
          <w:lang w:val="fr-CH"/>
        </w:rPr>
        <w:t>une fois l</w:t>
      </w:r>
      <w:r w:rsidR="00322F95">
        <w:rPr>
          <w:lang w:val="fr-CH"/>
        </w:rPr>
        <w:t>’</w:t>
      </w:r>
      <w:r w:rsidRPr="00066C50">
        <w:rPr>
          <w:lang w:val="fr-CH"/>
        </w:rPr>
        <w:t>évaluation terminée pour cette classe de danger l</w:t>
      </w:r>
      <w:r w:rsidR="00322F95">
        <w:rPr>
          <w:lang w:val="fr-CH"/>
        </w:rPr>
        <w:t>’</w:t>
      </w:r>
      <w:r w:rsidRPr="00066C50">
        <w:rPr>
          <w:lang w:val="fr-CH"/>
        </w:rPr>
        <w:t>exercice pourrait être étendu à d</w:t>
      </w:r>
      <w:r w:rsidR="00322F95">
        <w:rPr>
          <w:lang w:val="fr-CH"/>
        </w:rPr>
        <w:t>’</w:t>
      </w:r>
      <w:r w:rsidRPr="00066C50">
        <w:rPr>
          <w:lang w:val="fr-CH"/>
        </w:rPr>
        <w:t>autres classes.</w:t>
      </w:r>
    </w:p>
    <w:p w:rsidR="00066C50" w:rsidRPr="00066C50" w:rsidRDefault="00066C50" w:rsidP="00E1038F">
      <w:pPr>
        <w:pStyle w:val="SingleTxt"/>
        <w:numPr>
          <w:ilvl w:val="0"/>
          <w:numId w:val="8"/>
        </w:numPr>
        <w:tabs>
          <w:tab w:val="clear" w:pos="475"/>
          <w:tab w:val="num" w:pos="1742"/>
        </w:tabs>
        <w:ind w:left="1267"/>
        <w:rPr>
          <w:lang w:val="fr-CH"/>
        </w:rPr>
      </w:pPr>
      <w:r w:rsidRPr="00066C50">
        <w:rPr>
          <w:lang w:val="fr-CH"/>
        </w:rPr>
        <w:t>Le Président du Sous-Comité TMD a insisté pour qu</w:t>
      </w:r>
      <w:r w:rsidR="00322F95">
        <w:rPr>
          <w:lang w:val="fr-CH"/>
        </w:rPr>
        <w:t>’</w:t>
      </w:r>
      <w:r w:rsidRPr="00066C50">
        <w:rPr>
          <w:lang w:val="fr-CH"/>
        </w:rPr>
        <w:t>il soit tenu compte des besoins du transport des marchandises dangereuses au cours de ce travail.</w:t>
      </w:r>
    </w:p>
    <w:p w:rsidR="00094C31" w:rsidRPr="00094C31" w:rsidRDefault="00094C31" w:rsidP="00094C31">
      <w:pPr>
        <w:pStyle w:val="SingleTxt"/>
        <w:spacing w:after="0" w:line="120" w:lineRule="exact"/>
        <w:rPr>
          <w:b/>
          <w:sz w:val="10"/>
          <w:lang w:val="fr-CH"/>
        </w:rPr>
      </w:pPr>
    </w:p>
    <w:p w:rsidR="00094C31" w:rsidRPr="00094C31" w:rsidRDefault="00094C31" w:rsidP="00094C31">
      <w:pPr>
        <w:pStyle w:val="SingleTxt"/>
        <w:spacing w:after="0" w:line="120" w:lineRule="exact"/>
        <w:rPr>
          <w:b/>
          <w:sz w:val="10"/>
          <w:lang w:val="fr-CH"/>
        </w:rPr>
      </w:pPr>
    </w:p>
    <w:p w:rsidR="00066C50" w:rsidRDefault="00094C31" w:rsidP="00094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66C50" w:rsidRPr="00066C50">
        <w:rPr>
          <w:lang w:val="fr-CH"/>
        </w:rPr>
        <w:t>2.</w:t>
      </w:r>
      <w:r w:rsidR="00066C50" w:rsidRPr="00066C50">
        <w:rPr>
          <w:lang w:val="fr-CH"/>
        </w:rPr>
        <w:tab/>
        <w:t xml:space="preserve">Classement des flotteurs </w:t>
      </w:r>
    </w:p>
    <w:p w:rsidR="00094C31" w:rsidRPr="00094C31" w:rsidRDefault="00094C31" w:rsidP="00094C31">
      <w:pPr>
        <w:pStyle w:val="SingleTxt"/>
        <w:spacing w:after="0" w:line="120" w:lineRule="exact"/>
        <w:rPr>
          <w:sz w:val="10"/>
          <w:lang w:val="fr-CH"/>
        </w:rPr>
      </w:pPr>
    </w:p>
    <w:p w:rsidR="00094C31" w:rsidRPr="00094C31" w:rsidRDefault="00094C31" w:rsidP="00094C31">
      <w:pPr>
        <w:pStyle w:val="SingleTxt"/>
        <w:spacing w:after="0" w:line="120" w:lineRule="exact"/>
        <w:rPr>
          <w:sz w:val="10"/>
          <w:lang w:val="fr-CH"/>
        </w:rPr>
      </w:pPr>
    </w:p>
    <w:p w:rsidR="00066C50" w:rsidRPr="00066C50" w:rsidRDefault="00066C50" w:rsidP="00084F1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spacing w:after="80"/>
        <w:ind w:left="3369" w:hanging="2102"/>
        <w:jc w:val="left"/>
        <w:rPr>
          <w:lang w:val="fr-CH"/>
        </w:rPr>
      </w:pPr>
      <w:r w:rsidRPr="00066C50">
        <w:rPr>
          <w:i/>
          <w:lang w:val="fr-CH"/>
        </w:rPr>
        <w:t>Document informel</w:t>
      </w:r>
      <w:r w:rsidR="00932D0F">
        <w:rPr>
          <w:i/>
          <w:lang w:val="fr-CH"/>
        </w:rPr>
        <w:t> </w:t>
      </w:r>
      <w:r w:rsidRPr="00932D0F">
        <w:rPr>
          <w:lang w:val="fr-CH"/>
        </w:rPr>
        <w:t>:</w:t>
      </w:r>
      <w:r w:rsidRPr="00066C50">
        <w:rPr>
          <w:i/>
          <w:lang w:val="fr-CH"/>
        </w:rPr>
        <w:tab/>
      </w:r>
      <w:r w:rsidRPr="00066C50">
        <w:rPr>
          <w:lang w:val="fr-CH"/>
        </w:rPr>
        <w:t>INF.3 (IMO)</w:t>
      </w:r>
      <w:r w:rsidR="00932D0F">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pris note des informations communiquées par l</w:t>
      </w:r>
      <w:r w:rsidR="00322F95">
        <w:rPr>
          <w:lang w:val="fr-CH"/>
        </w:rPr>
        <w:t>’</w:t>
      </w:r>
      <w:r w:rsidRPr="00066C50">
        <w:rPr>
          <w:lang w:val="fr-CH"/>
        </w:rPr>
        <w:t>IMO.</w:t>
      </w:r>
    </w:p>
    <w:p w:rsidR="008F5476" w:rsidRPr="008F5476" w:rsidRDefault="008F5476" w:rsidP="008F5476">
      <w:pPr>
        <w:pStyle w:val="SingleTxt"/>
        <w:spacing w:after="0" w:line="120" w:lineRule="exact"/>
        <w:rPr>
          <w:b/>
          <w:sz w:val="10"/>
          <w:lang w:val="fr-CH"/>
        </w:rPr>
      </w:pPr>
    </w:p>
    <w:p w:rsidR="008F5476" w:rsidRPr="008F5476" w:rsidRDefault="008F5476" w:rsidP="008F5476">
      <w:pPr>
        <w:pStyle w:val="SingleTxt"/>
        <w:spacing w:after="0" w:line="120" w:lineRule="exact"/>
        <w:rPr>
          <w:b/>
          <w:sz w:val="10"/>
          <w:lang w:val="fr-CH"/>
        </w:rPr>
      </w:pPr>
    </w:p>
    <w:p w:rsidR="00066C50" w:rsidRDefault="00066C50" w:rsidP="008F54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V.</w:t>
      </w:r>
      <w:r w:rsidRPr="00066C50">
        <w:rPr>
          <w:lang w:val="fr-CH"/>
        </w:rPr>
        <w:tab/>
        <w:t xml:space="preserve">Questions relatives à la communication des dangers </w:t>
      </w:r>
      <w:r w:rsidR="00932D0F">
        <w:rPr>
          <w:lang w:val="fr-CH"/>
        </w:rPr>
        <w:br/>
      </w:r>
      <w:r w:rsidRPr="00066C50">
        <w:rPr>
          <w:lang w:val="fr-CH"/>
        </w:rPr>
        <w:t>(point 4 de l</w:t>
      </w:r>
      <w:r w:rsidR="00322F95">
        <w:rPr>
          <w:lang w:val="fr-CH"/>
        </w:rPr>
        <w:t>’</w:t>
      </w:r>
      <w:r w:rsidRPr="00066C50">
        <w:rPr>
          <w:lang w:val="fr-CH"/>
        </w:rPr>
        <w:t>ordre du jour)</w:t>
      </w:r>
    </w:p>
    <w:p w:rsidR="008F5476" w:rsidRPr="008F5476" w:rsidRDefault="008F5476" w:rsidP="008F5476">
      <w:pPr>
        <w:pStyle w:val="SingleTxt"/>
        <w:spacing w:after="0" w:line="120" w:lineRule="exact"/>
        <w:rPr>
          <w:sz w:val="10"/>
          <w:lang w:val="fr-CH"/>
        </w:rPr>
      </w:pPr>
    </w:p>
    <w:p w:rsidR="008F5476" w:rsidRPr="008F5476" w:rsidRDefault="008F5476" w:rsidP="008F5476">
      <w:pPr>
        <w:pStyle w:val="SingleTxt"/>
        <w:spacing w:after="0" w:line="120" w:lineRule="exact"/>
        <w:rPr>
          <w:sz w:val="10"/>
          <w:lang w:val="fr-CH"/>
        </w:rPr>
      </w:pPr>
    </w:p>
    <w:p w:rsidR="00066C50" w:rsidRDefault="00066C50" w:rsidP="008F54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A.</w:t>
      </w:r>
      <w:r w:rsidRPr="00066C50">
        <w:rPr>
          <w:lang w:val="fr-CH"/>
        </w:rPr>
        <w:tab/>
        <w:t>Étiquetage des petits emballages</w:t>
      </w:r>
    </w:p>
    <w:p w:rsidR="008F5476" w:rsidRPr="008F5476" w:rsidRDefault="008F5476" w:rsidP="008F5476">
      <w:pPr>
        <w:pStyle w:val="SingleTxt"/>
        <w:spacing w:after="0" w:line="120" w:lineRule="exact"/>
        <w:rPr>
          <w:sz w:val="10"/>
          <w:lang w:val="fr-CH"/>
        </w:rPr>
      </w:pPr>
    </w:p>
    <w:p w:rsidR="008F5476" w:rsidRPr="008F5476" w:rsidRDefault="008F5476" w:rsidP="008F5476">
      <w:pPr>
        <w:pStyle w:val="SingleTxt"/>
        <w:spacing w:after="0" w:line="120" w:lineRule="exact"/>
        <w:rPr>
          <w:sz w:val="10"/>
          <w:lang w:val="fr-CH"/>
        </w:rPr>
      </w:pPr>
    </w:p>
    <w:p w:rsidR="00066C50" w:rsidRPr="00066C50" w:rsidRDefault="00066C50" w:rsidP="00084F1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spacing w:after="80"/>
        <w:ind w:left="3369" w:hanging="2102"/>
        <w:jc w:val="left"/>
        <w:rPr>
          <w:lang w:val="fr-CH"/>
        </w:rPr>
      </w:pPr>
      <w:r w:rsidRPr="00066C50">
        <w:rPr>
          <w:i/>
          <w:lang w:val="fr-CH"/>
        </w:rPr>
        <w:t>Document</w:t>
      </w:r>
      <w:r w:rsidR="00932D0F">
        <w:rPr>
          <w:i/>
          <w:lang w:val="fr-CH"/>
        </w:rPr>
        <w:t> </w:t>
      </w:r>
      <w:r w:rsidRPr="00932D0F">
        <w:rPr>
          <w:lang w:val="fr-CH"/>
        </w:rPr>
        <w:t>:</w:t>
      </w:r>
      <w:r w:rsidRPr="00066C50">
        <w:rPr>
          <w:i/>
          <w:lang w:val="fr-CH"/>
        </w:rPr>
        <w:tab/>
      </w:r>
      <w:r w:rsidRPr="00066C50">
        <w:rPr>
          <w:lang w:val="fr-CH"/>
        </w:rPr>
        <w:t>ST/SG/AC.10/C.4/2015/14 (CEFIC)</w:t>
      </w:r>
      <w:r w:rsidR="00932D0F">
        <w:rPr>
          <w:lang w:val="fr-CH"/>
        </w:rPr>
        <w:t>.</w:t>
      </w:r>
    </w:p>
    <w:p w:rsidR="00066C50" w:rsidRPr="00066C50" w:rsidRDefault="00066C50" w:rsidP="00734D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932D0F">
        <w:rPr>
          <w:i/>
          <w:lang w:val="fr-CH"/>
        </w:rPr>
        <w:t> </w:t>
      </w:r>
      <w:r w:rsidRPr="00932D0F">
        <w:rPr>
          <w:lang w:val="fr-CH"/>
        </w:rPr>
        <w:t>:</w:t>
      </w:r>
      <w:r w:rsidRPr="00066C50">
        <w:rPr>
          <w:i/>
          <w:lang w:val="fr-CH"/>
        </w:rPr>
        <w:tab/>
      </w:r>
      <w:r w:rsidRPr="00066C50">
        <w:rPr>
          <w:lang w:val="fr-CH"/>
        </w:rPr>
        <w:t>INF.25 (CEFIC)</w:t>
      </w:r>
      <w:r w:rsidR="00932D0F">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noté que le groupe de travail informel sur l</w:t>
      </w:r>
      <w:r w:rsidR="00322F95">
        <w:rPr>
          <w:lang w:val="fr-CH"/>
        </w:rPr>
        <w:t>’</w:t>
      </w:r>
      <w:r w:rsidRPr="00066C50">
        <w:rPr>
          <w:lang w:val="fr-CH"/>
        </w:rPr>
        <w:t>étiquetage des petits emballages s</w:t>
      </w:r>
      <w:r w:rsidR="00322F95">
        <w:rPr>
          <w:lang w:val="fr-CH"/>
        </w:rPr>
        <w:t>’</w:t>
      </w:r>
      <w:r w:rsidRPr="00066C50">
        <w:rPr>
          <w:lang w:val="fr-CH"/>
        </w:rPr>
        <w:t>était penché sur l</w:t>
      </w:r>
      <w:r w:rsidR="00322F95">
        <w:rPr>
          <w:lang w:val="fr-CH"/>
        </w:rPr>
        <w:t>’</w:t>
      </w:r>
      <w:r w:rsidRPr="00066C50">
        <w:rPr>
          <w:lang w:val="fr-CH"/>
        </w:rPr>
        <w:t>exemple d</w:t>
      </w:r>
      <w:r w:rsidR="00322F95">
        <w:rPr>
          <w:lang w:val="fr-CH"/>
        </w:rPr>
        <w:t>’</w:t>
      </w:r>
      <w:r w:rsidRPr="00066C50">
        <w:rPr>
          <w:lang w:val="fr-CH"/>
        </w:rPr>
        <w:t>étiquettes dépliables présenté dans le document ST/SG/AC.10/C.4/2015/14 lors de sa réunion du 9</w:t>
      </w:r>
      <w:r w:rsidR="00932D0F">
        <w:rPr>
          <w:lang w:val="fr-CH"/>
        </w:rPr>
        <w:t> </w:t>
      </w:r>
      <w:r w:rsidRPr="00066C50">
        <w:rPr>
          <w:lang w:val="fr-CH"/>
        </w:rPr>
        <w:t>décembre et qu</w:t>
      </w:r>
      <w:r w:rsidR="00322F95">
        <w:rPr>
          <w:lang w:val="fr-CH"/>
        </w:rPr>
        <w:t>’</w:t>
      </w:r>
      <w:r w:rsidRPr="00066C50">
        <w:rPr>
          <w:lang w:val="fr-CH"/>
        </w:rPr>
        <w:t>une proposition révisée serait soumise pour la prochaine session. Les experts du Sous-Comité ont été invités à faire des observations sur les exemples contenus dans le document INF.25.</w:t>
      </w:r>
    </w:p>
    <w:p w:rsidR="008F5476" w:rsidRPr="008F5476" w:rsidRDefault="008F5476" w:rsidP="008F5476">
      <w:pPr>
        <w:pStyle w:val="SingleTxt"/>
        <w:spacing w:after="0" w:line="120" w:lineRule="exact"/>
        <w:rPr>
          <w:b/>
          <w:sz w:val="10"/>
          <w:lang w:val="fr-CH"/>
        </w:rPr>
      </w:pPr>
    </w:p>
    <w:p w:rsidR="008F5476" w:rsidRPr="008F5476" w:rsidRDefault="008F5476" w:rsidP="008F5476">
      <w:pPr>
        <w:pStyle w:val="SingleTxt"/>
        <w:spacing w:after="0" w:line="120" w:lineRule="exact"/>
        <w:rPr>
          <w:b/>
          <w:sz w:val="10"/>
          <w:lang w:val="fr-CH"/>
        </w:rPr>
      </w:pPr>
    </w:p>
    <w:p w:rsidR="00066C50" w:rsidRDefault="00066C50" w:rsidP="008F54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B.</w:t>
      </w:r>
      <w:r w:rsidRPr="00066C50">
        <w:rPr>
          <w:lang w:val="fr-CH"/>
        </w:rPr>
        <w:tab/>
        <w:t>Amélioration des annexes</w:t>
      </w:r>
      <w:r w:rsidR="00932D0F">
        <w:rPr>
          <w:lang w:val="fr-CH"/>
        </w:rPr>
        <w:t> </w:t>
      </w:r>
      <w:r w:rsidRPr="00066C50">
        <w:rPr>
          <w:lang w:val="fr-CH"/>
        </w:rPr>
        <w:t xml:space="preserve">1 à 3 et poursuite de la rationalisation </w:t>
      </w:r>
      <w:r w:rsidR="00932D0F">
        <w:rPr>
          <w:lang w:val="fr-CH"/>
        </w:rPr>
        <w:br/>
      </w:r>
      <w:r w:rsidRPr="00066C50">
        <w:rPr>
          <w:lang w:val="fr-CH"/>
        </w:rPr>
        <w:t>des conseils de prudence</w:t>
      </w:r>
    </w:p>
    <w:p w:rsidR="008F5476" w:rsidRPr="008F5476" w:rsidRDefault="008F5476" w:rsidP="008F5476">
      <w:pPr>
        <w:pStyle w:val="SingleTxt"/>
        <w:spacing w:after="0" w:line="120" w:lineRule="exact"/>
        <w:rPr>
          <w:sz w:val="10"/>
          <w:lang w:val="fr-CH"/>
        </w:rPr>
      </w:pPr>
    </w:p>
    <w:p w:rsidR="008F5476" w:rsidRPr="008F5476" w:rsidRDefault="008F5476" w:rsidP="008F5476">
      <w:pPr>
        <w:pStyle w:val="SingleTxt"/>
        <w:spacing w:after="0" w:line="120" w:lineRule="exact"/>
        <w:rPr>
          <w:sz w:val="10"/>
          <w:lang w:val="fr-CH"/>
        </w:rPr>
      </w:pPr>
    </w:p>
    <w:p w:rsidR="00066C50" w:rsidRDefault="008F5476" w:rsidP="008F54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w:t>
      </w:r>
      <w:r w:rsidR="00066C50" w:rsidRPr="00066C50">
        <w:rPr>
          <w:lang w:val="fr-CH"/>
        </w:rPr>
        <w:tab/>
        <w:t>Application du conseil de prudence P502 aux explosifs</w:t>
      </w:r>
    </w:p>
    <w:p w:rsidR="00DA05AF" w:rsidRPr="00DA05AF" w:rsidRDefault="00DA05AF" w:rsidP="00DA05AF">
      <w:pPr>
        <w:pStyle w:val="SingleTxt"/>
        <w:spacing w:after="0" w:line="120" w:lineRule="exact"/>
        <w:rPr>
          <w:sz w:val="10"/>
          <w:lang w:val="fr-CH"/>
        </w:rPr>
      </w:pPr>
    </w:p>
    <w:p w:rsidR="00932D0F" w:rsidRDefault="00066C50" w:rsidP="00084F1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spacing w:after="80"/>
        <w:ind w:left="3369" w:hanging="2102"/>
        <w:jc w:val="left"/>
        <w:rPr>
          <w:lang w:val="fr-CH"/>
        </w:rPr>
      </w:pPr>
      <w:r w:rsidRPr="00066C50">
        <w:rPr>
          <w:i/>
          <w:lang w:val="fr-CH"/>
        </w:rPr>
        <w:t>Document</w:t>
      </w:r>
      <w:r w:rsidR="00932D0F">
        <w:rPr>
          <w:i/>
          <w:lang w:val="fr-CH"/>
        </w:rPr>
        <w:t> </w:t>
      </w:r>
      <w:r w:rsidR="00932D0F">
        <w:rPr>
          <w:lang w:val="fr-CH"/>
        </w:rPr>
        <w:t>:</w:t>
      </w:r>
      <w:r w:rsidRPr="00066C50">
        <w:rPr>
          <w:i/>
          <w:lang w:val="fr-CH"/>
        </w:rPr>
        <w:tab/>
      </w:r>
      <w:r w:rsidRPr="00066C50">
        <w:rPr>
          <w:lang w:val="fr-CH"/>
        </w:rPr>
        <w:t>ST/SG/AC.10/C.4/2015/9 (Suède)</w:t>
      </w:r>
      <w:r w:rsidR="00932D0F">
        <w:rPr>
          <w:lang w:val="fr-CH"/>
        </w:rPr>
        <w:t>.</w:t>
      </w:r>
    </w:p>
    <w:p w:rsidR="00066C50" w:rsidRPr="00066C50" w:rsidRDefault="00066C50" w:rsidP="009B4A9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932D0F">
        <w:rPr>
          <w:i/>
          <w:lang w:val="fr-CH"/>
        </w:rPr>
        <w:t> </w:t>
      </w:r>
      <w:r w:rsidRPr="00932D0F">
        <w:rPr>
          <w:lang w:val="fr-CH"/>
        </w:rPr>
        <w:t>:</w:t>
      </w:r>
      <w:r w:rsidRPr="00066C50">
        <w:rPr>
          <w:i/>
          <w:lang w:val="fr-CH"/>
        </w:rPr>
        <w:tab/>
      </w:r>
      <w:r w:rsidRPr="00066C50">
        <w:rPr>
          <w:lang w:val="fr-CH"/>
        </w:rPr>
        <w:t>INF.11 (France)</w:t>
      </w:r>
      <w:r w:rsidR="00932D0F">
        <w:rPr>
          <w:lang w:val="fr-CH"/>
        </w:rPr>
        <w:t xml:space="preserve"> </w:t>
      </w:r>
      <w:r w:rsidR="00932D0F">
        <w:rPr>
          <w:lang w:val="fr-CH"/>
        </w:rPr>
        <w:br/>
      </w:r>
      <w:r w:rsidRPr="00066C50">
        <w:rPr>
          <w:lang w:val="fr-CH"/>
        </w:rPr>
        <w:t>INF.24 (SAAMI)</w:t>
      </w:r>
      <w:r w:rsidR="00932D0F">
        <w:rPr>
          <w:lang w:val="fr-CH"/>
        </w:rPr>
        <w:t xml:space="preserve"> </w:t>
      </w:r>
      <w:r w:rsidR="00932D0F">
        <w:rPr>
          <w:lang w:val="fr-CH"/>
        </w:rPr>
        <w:br/>
      </w:r>
      <w:r w:rsidRPr="00066C50">
        <w:rPr>
          <w:lang w:val="fr-CH"/>
        </w:rPr>
        <w:t>INF.26 (États-Unis d</w:t>
      </w:r>
      <w:r w:rsidR="00322F95">
        <w:rPr>
          <w:lang w:val="fr-CH"/>
        </w:rPr>
        <w:t>’</w:t>
      </w:r>
      <w:r w:rsidRPr="00066C50">
        <w:rPr>
          <w:lang w:val="fr-CH"/>
        </w:rPr>
        <w:t>Amérique)</w:t>
      </w:r>
      <w:r w:rsidR="00932D0F">
        <w:rPr>
          <w:lang w:val="fr-CH"/>
        </w:rPr>
        <w:t xml:space="preserve"> </w:t>
      </w:r>
      <w:r w:rsidR="00932D0F">
        <w:rPr>
          <w:lang w:val="fr-CH"/>
        </w:rPr>
        <w:br/>
      </w:r>
      <w:r w:rsidRPr="00066C50">
        <w:rPr>
          <w:lang w:val="fr-CH"/>
        </w:rPr>
        <w:t xml:space="preserve">INF.30, </w:t>
      </w:r>
      <w:r w:rsidR="009B4A9B">
        <w:rPr>
          <w:lang w:val="fr-CH"/>
        </w:rPr>
        <w:t>question</w:t>
      </w:r>
      <w:r w:rsidRPr="00066C50">
        <w:rPr>
          <w:lang w:val="fr-CH"/>
        </w:rPr>
        <w:t xml:space="preserve"> 15 (Secrétariat)</w:t>
      </w:r>
      <w:r w:rsidR="00932D0F">
        <w:rPr>
          <w:lang w:val="fr-CH"/>
        </w:rPr>
        <w:t xml:space="preserve"> </w:t>
      </w:r>
      <w:r w:rsidR="00932D0F">
        <w:rPr>
          <w:lang w:val="fr-CH"/>
        </w:rPr>
        <w:br/>
      </w:r>
      <w:r w:rsidRPr="00066C50">
        <w:rPr>
          <w:lang w:val="fr-CH"/>
        </w:rPr>
        <w:t>INF.28 (SAAMI, États-Unis d</w:t>
      </w:r>
      <w:r w:rsidR="00322F95">
        <w:rPr>
          <w:lang w:val="fr-CH"/>
        </w:rPr>
        <w:t>’</w:t>
      </w:r>
      <w:r w:rsidRPr="00066C50">
        <w:rPr>
          <w:lang w:val="fr-CH"/>
        </w:rPr>
        <w:t>Amérique</w:t>
      </w:r>
      <w:r w:rsidR="001C7C82">
        <w:rPr>
          <w:lang w:val="fr-CH"/>
        </w:rPr>
        <w:t>, Suède</w:t>
      </w:r>
      <w:r w:rsidRPr="00066C50">
        <w:rPr>
          <w:lang w:val="fr-CH"/>
        </w:rPr>
        <w:t>)</w:t>
      </w:r>
      <w:r w:rsidR="00932D0F">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La proposition de nouveau conseil de prudence P503 concernant les explosifs contenue dans le document INF.28 a été adoptée sans modification (voir annexe I). En conséquence, la décision prise à ce sujet par le Sous-Comité lors de sa vingt-neuvième session</w:t>
      </w:r>
      <w:r w:rsidR="005B3B04">
        <w:rPr>
          <w:rStyle w:val="FootnoteReference"/>
          <w:lang w:val="fr-CH"/>
        </w:rPr>
        <w:footnoteReference w:id="2"/>
      </w:r>
      <w:r w:rsidRPr="00066C50">
        <w:rPr>
          <w:lang w:val="fr-CH"/>
        </w:rPr>
        <w:t xml:space="preserve"> est dépassée. </w:t>
      </w:r>
    </w:p>
    <w:p w:rsidR="00DA05AF" w:rsidRPr="00DA05AF" w:rsidRDefault="00DA05AF" w:rsidP="00DA05AF">
      <w:pPr>
        <w:pStyle w:val="SingleTxt"/>
        <w:spacing w:after="0" w:line="120" w:lineRule="exact"/>
        <w:rPr>
          <w:sz w:val="10"/>
          <w:lang w:val="fr-CH"/>
        </w:rPr>
      </w:pPr>
    </w:p>
    <w:p w:rsidR="00066C50" w:rsidRDefault="00DA05AF" w:rsidP="00DA0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F76BD3">
        <w:rPr>
          <w:lang w:val="fr-CH"/>
        </w:rPr>
        <w:t>2.</w:t>
      </w:r>
      <w:r w:rsidR="00066C50" w:rsidRPr="00F76BD3">
        <w:rPr>
          <w:lang w:val="fr-CH"/>
        </w:rPr>
        <w:tab/>
        <w:t>Modification du conseil de prudence P28</w:t>
      </w:r>
      <w:r w:rsidR="00F76BD3">
        <w:rPr>
          <w:lang w:val="fr-CH"/>
        </w:rPr>
        <w:t xml:space="preserve">0 pour y inclure la protection </w:t>
      </w:r>
      <w:r w:rsidR="00F76BD3">
        <w:rPr>
          <w:lang w:val="fr-CH"/>
        </w:rPr>
        <w:br/>
      </w:r>
      <w:r w:rsidR="00066C50" w:rsidRPr="00F76BD3">
        <w:rPr>
          <w:lang w:val="fr-CH"/>
        </w:rPr>
        <w:t>de l</w:t>
      </w:r>
      <w:r w:rsidR="00322F95" w:rsidRPr="00F76BD3">
        <w:rPr>
          <w:lang w:val="fr-CH"/>
        </w:rPr>
        <w:t>’</w:t>
      </w:r>
      <w:r w:rsidR="00066C50" w:rsidRPr="00F76BD3">
        <w:rPr>
          <w:lang w:val="fr-CH"/>
        </w:rPr>
        <w:t>audition et des oreilles</w:t>
      </w:r>
    </w:p>
    <w:p w:rsidR="00DA05AF" w:rsidRPr="00DA05AF" w:rsidRDefault="00DA05AF" w:rsidP="00DA05AF">
      <w:pPr>
        <w:pStyle w:val="SingleTxt"/>
        <w:spacing w:after="0" w:line="120" w:lineRule="exact"/>
        <w:rPr>
          <w:sz w:val="10"/>
          <w:lang w:val="fr-CH"/>
        </w:rPr>
      </w:pPr>
    </w:p>
    <w:p w:rsidR="00066C50" w:rsidRPr="00066C50" w:rsidRDefault="00066C50" w:rsidP="00734D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F76BD3">
        <w:rPr>
          <w:i/>
          <w:lang w:val="fr-CH"/>
        </w:rPr>
        <w:t> </w:t>
      </w:r>
      <w:r w:rsidR="00F76BD3">
        <w:rPr>
          <w:lang w:val="fr-CH"/>
        </w:rPr>
        <w:t>:</w:t>
      </w:r>
      <w:r w:rsidR="00F76BD3">
        <w:rPr>
          <w:i/>
          <w:lang w:val="fr-CH"/>
        </w:rPr>
        <w:tab/>
      </w:r>
      <w:r w:rsidRPr="00066C50">
        <w:rPr>
          <w:lang w:val="fr-CH"/>
        </w:rPr>
        <w:t>ST/SG/AC.10/C.4/2015/15 (Suède)</w:t>
      </w:r>
      <w:r w:rsidR="00F76BD3">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Les participants ont dans leur ensemble appuyé l</w:t>
      </w:r>
      <w:r w:rsidR="00322F95">
        <w:rPr>
          <w:lang w:val="fr-CH"/>
        </w:rPr>
        <w:t>’</w:t>
      </w:r>
      <w:r w:rsidRPr="00066C50">
        <w:rPr>
          <w:lang w:val="fr-CH"/>
        </w:rPr>
        <w:t>option</w:t>
      </w:r>
      <w:r w:rsidR="00F76BD3">
        <w:rPr>
          <w:lang w:val="fr-CH"/>
        </w:rPr>
        <w:t> </w:t>
      </w:r>
      <w:r w:rsidRPr="00066C50">
        <w:rPr>
          <w:lang w:val="fr-CH"/>
        </w:rPr>
        <w:t>1. Toutefois, certains experts ont estimé qu</w:t>
      </w:r>
      <w:r w:rsidR="00322F95">
        <w:rPr>
          <w:lang w:val="fr-CH"/>
        </w:rPr>
        <w:t>’</w:t>
      </w:r>
      <w:r w:rsidRPr="00066C50">
        <w:rPr>
          <w:lang w:val="fr-CH"/>
        </w:rPr>
        <w:t>une condition d</w:t>
      </w:r>
      <w:r w:rsidR="00322F95">
        <w:rPr>
          <w:lang w:val="fr-CH"/>
        </w:rPr>
        <w:t>’</w:t>
      </w:r>
      <w:r w:rsidRPr="00066C50">
        <w:rPr>
          <w:lang w:val="fr-CH"/>
        </w:rPr>
        <w:t>utilisation devait être élaborée pour guider le choix des phrases appropriées en fonction des dangers concernés. Un autre expert a suggéré qu</w:t>
      </w:r>
      <w:r w:rsidR="00322F95">
        <w:rPr>
          <w:lang w:val="fr-CH"/>
        </w:rPr>
        <w:t>’</w:t>
      </w:r>
      <w:r w:rsidRPr="00066C50">
        <w:rPr>
          <w:lang w:val="fr-CH"/>
        </w:rPr>
        <w:t>au lieu d</w:t>
      </w:r>
      <w:r w:rsidR="00322F95">
        <w:rPr>
          <w:lang w:val="fr-CH"/>
        </w:rPr>
        <w:t>’</w:t>
      </w:r>
      <w:r w:rsidRPr="00066C50">
        <w:rPr>
          <w:lang w:val="fr-CH"/>
        </w:rPr>
        <w:t>ajouter un nouvel équipement de protection spécifique au texte actuel du conseil de prudenc</w:t>
      </w:r>
      <w:r w:rsidR="00DB406E">
        <w:rPr>
          <w:lang w:val="fr-CH"/>
        </w:rPr>
        <w:t xml:space="preserve">e P280, une </w:t>
      </w:r>
      <w:r w:rsidRPr="00066C50">
        <w:rPr>
          <w:lang w:val="fr-CH"/>
        </w:rPr>
        <w:t xml:space="preserve">option avec </w:t>
      </w:r>
      <w:r w:rsidR="00F76BD3">
        <w:rPr>
          <w:lang w:val="fr-CH"/>
        </w:rPr>
        <w:t>« </w:t>
      </w:r>
      <w:r w:rsidRPr="00066C50">
        <w:rPr>
          <w:lang w:val="fr-CH"/>
        </w:rPr>
        <w:t>/…</w:t>
      </w:r>
      <w:r w:rsidR="00F76BD3">
        <w:rPr>
          <w:lang w:val="fr-CH"/>
        </w:rPr>
        <w:t> »</w:t>
      </w:r>
      <w:r w:rsidRPr="00066C50">
        <w:rPr>
          <w:lang w:val="fr-CH"/>
        </w:rPr>
        <w:t xml:space="preserve"> soit envisagée. Le Sous-Comité a invité l</w:t>
      </w:r>
      <w:r w:rsidR="00322F95">
        <w:rPr>
          <w:lang w:val="fr-CH"/>
        </w:rPr>
        <w:t>’</w:t>
      </w:r>
      <w:r w:rsidRPr="00066C50">
        <w:rPr>
          <w:lang w:val="fr-CH"/>
        </w:rPr>
        <w:t>expert de la Suède à réviser sa proposition en tenant comp</w:t>
      </w:r>
      <w:r w:rsidR="00F76BD3">
        <w:rPr>
          <w:lang w:val="fr-CH"/>
        </w:rPr>
        <w:t>te des observations formulées.</w:t>
      </w:r>
    </w:p>
    <w:p w:rsidR="00DA05AF" w:rsidRPr="00DA05AF" w:rsidRDefault="00DA05AF" w:rsidP="00DA05AF">
      <w:pPr>
        <w:pStyle w:val="SingleTxt"/>
        <w:spacing w:after="0" w:line="120" w:lineRule="exact"/>
        <w:rPr>
          <w:b/>
          <w:sz w:val="10"/>
          <w:lang w:val="fr-CH"/>
        </w:rPr>
      </w:pPr>
    </w:p>
    <w:p w:rsidR="00066C50" w:rsidRDefault="00DA05AF" w:rsidP="00DA0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w:t>
      </w:r>
      <w:r w:rsidR="00066C50" w:rsidRPr="00066C50">
        <w:rPr>
          <w:lang w:val="fr-CH"/>
        </w:rPr>
        <w:tab/>
        <w:t>Travaux du groupe informel par correspondance chargé d</w:t>
      </w:r>
      <w:r w:rsidR="00322F95">
        <w:rPr>
          <w:lang w:val="fr-CH"/>
        </w:rPr>
        <w:t>’</w:t>
      </w:r>
      <w:r w:rsidR="00F76BD3">
        <w:rPr>
          <w:lang w:val="fr-CH"/>
        </w:rPr>
        <w:t xml:space="preserve">améliorer </w:t>
      </w:r>
      <w:r w:rsidR="00F76BD3">
        <w:rPr>
          <w:lang w:val="fr-CH"/>
        </w:rPr>
        <w:br/>
      </w:r>
      <w:r w:rsidR="00066C50" w:rsidRPr="00066C50">
        <w:rPr>
          <w:lang w:val="fr-CH"/>
        </w:rPr>
        <w:t>les annexes 1 à 3</w:t>
      </w:r>
    </w:p>
    <w:p w:rsidR="00DA05AF" w:rsidRPr="00DA05AF" w:rsidRDefault="00DA05AF" w:rsidP="00DA05AF">
      <w:pPr>
        <w:pStyle w:val="SingleTxt"/>
        <w:spacing w:after="0" w:line="120" w:lineRule="exact"/>
        <w:rPr>
          <w:sz w:val="10"/>
          <w:lang w:val="fr-CH"/>
        </w:rPr>
      </w:pPr>
    </w:p>
    <w:p w:rsidR="00066C50" w:rsidRPr="00066C50" w:rsidRDefault="00066C50" w:rsidP="00F76B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F76BD3">
        <w:rPr>
          <w:i/>
          <w:lang w:val="fr-CH"/>
        </w:rPr>
        <w:t> </w:t>
      </w:r>
      <w:r w:rsidRPr="00F76BD3">
        <w:rPr>
          <w:lang w:val="fr-CH"/>
        </w:rPr>
        <w:t>:</w:t>
      </w:r>
      <w:r w:rsidRPr="00066C50">
        <w:rPr>
          <w:i/>
          <w:lang w:val="fr-CH"/>
        </w:rPr>
        <w:tab/>
      </w:r>
      <w:r w:rsidRPr="00066C50">
        <w:rPr>
          <w:lang w:val="fr-CH"/>
        </w:rPr>
        <w:t>INF.17 (Royaume-Uni)</w:t>
      </w:r>
      <w:r w:rsidR="00F76BD3">
        <w:rPr>
          <w:lang w:val="fr-CH"/>
        </w:rPr>
        <w:t xml:space="preserve"> </w:t>
      </w:r>
      <w:r w:rsidR="00F76BD3">
        <w:rPr>
          <w:lang w:val="fr-CH"/>
        </w:rPr>
        <w:br/>
        <w:t>INF.33 (Royaume-Uni).</w:t>
      </w:r>
    </w:p>
    <w:p w:rsidR="00066C50" w:rsidRPr="00066C50" w:rsidRDefault="00066C50" w:rsidP="00147C90">
      <w:pPr>
        <w:pStyle w:val="SingleTxt"/>
        <w:numPr>
          <w:ilvl w:val="0"/>
          <w:numId w:val="8"/>
        </w:numPr>
        <w:tabs>
          <w:tab w:val="clear" w:pos="475"/>
          <w:tab w:val="num" w:pos="1742"/>
        </w:tabs>
        <w:ind w:left="1267"/>
        <w:rPr>
          <w:lang w:val="fr-CH"/>
        </w:rPr>
      </w:pPr>
      <w:r w:rsidRPr="00066C50">
        <w:rPr>
          <w:lang w:val="fr-CH"/>
        </w:rPr>
        <w:t>Le Sous-Comité a pris note du rapport sur l</w:t>
      </w:r>
      <w:r w:rsidR="00322F95">
        <w:rPr>
          <w:lang w:val="fr-CH"/>
        </w:rPr>
        <w:t>’</w:t>
      </w:r>
      <w:r w:rsidRPr="00066C50">
        <w:rPr>
          <w:lang w:val="fr-CH"/>
        </w:rPr>
        <w:t>état d</w:t>
      </w:r>
      <w:r w:rsidR="00322F95">
        <w:rPr>
          <w:lang w:val="fr-CH"/>
        </w:rPr>
        <w:t>’</w:t>
      </w:r>
      <w:r w:rsidRPr="00066C50">
        <w:rPr>
          <w:lang w:val="fr-CH"/>
        </w:rPr>
        <w:t>avancement des travaux du groupe informel chargé d</w:t>
      </w:r>
      <w:r w:rsidR="00322F95">
        <w:rPr>
          <w:lang w:val="fr-CH"/>
        </w:rPr>
        <w:t>’</w:t>
      </w:r>
      <w:r w:rsidRPr="00066C50">
        <w:rPr>
          <w:lang w:val="fr-CH"/>
        </w:rPr>
        <w:t>améliorer les annexes</w:t>
      </w:r>
      <w:r w:rsidR="00F76BD3">
        <w:rPr>
          <w:lang w:val="fr-CH"/>
        </w:rPr>
        <w:t> </w:t>
      </w:r>
      <w:r w:rsidRPr="00066C50">
        <w:rPr>
          <w:lang w:val="fr-CH"/>
        </w:rPr>
        <w:t>1 à 3 du SGH présenté dans le document INF.33.</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C.</w:t>
      </w:r>
      <w:r w:rsidRPr="00066C50">
        <w:rPr>
          <w:lang w:val="fr-CH"/>
        </w:rPr>
        <w:tab/>
        <w:t>Divers</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DA05AF" w:rsidP="00DA0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66C50" w:rsidRPr="00066C50">
        <w:rPr>
          <w:lang w:val="fr-CH"/>
        </w:rPr>
        <w:tab/>
        <w:t xml:space="preserve">Nouveaux exemples de citernes mobiles et de conteneurs </w:t>
      </w:r>
      <w:r w:rsidR="00F76BD3">
        <w:rPr>
          <w:lang w:val="fr-CH"/>
        </w:rPr>
        <w:br/>
      </w:r>
      <w:r w:rsidR="00066C50" w:rsidRPr="00066C50">
        <w:rPr>
          <w:lang w:val="fr-CH"/>
        </w:rPr>
        <w:t>à gaz</w:t>
      </w:r>
      <w:r w:rsidR="00F76BD3">
        <w:rPr>
          <w:lang w:val="fr-CH"/>
        </w:rPr>
        <w:t xml:space="preserve"> à </w:t>
      </w:r>
      <w:r w:rsidR="00066C50" w:rsidRPr="00066C50">
        <w:rPr>
          <w:lang w:val="fr-CH"/>
        </w:rPr>
        <w:t xml:space="preserve">éléments multiples </w:t>
      </w:r>
    </w:p>
    <w:p w:rsidR="00066C50" w:rsidRPr="00DA05AF" w:rsidRDefault="00066C50" w:rsidP="00DA05AF">
      <w:pPr>
        <w:pStyle w:val="SingleTxt"/>
        <w:spacing w:after="0" w:line="120" w:lineRule="exact"/>
        <w:rPr>
          <w:b/>
          <w:sz w:val="10"/>
          <w:lang w:val="fr-CH"/>
        </w:rPr>
      </w:pPr>
    </w:p>
    <w:p w:rsidR="00066C50" w:rsidRPr="00066C50" w:rsidRDefault="00066C50" w:rsidP="00F76B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F76BD3">
        <w:rPr>
          <w:i/>
          <w:lang w:val="fr-CH"/>
        </w:rPr>
        <w:t> </w:t>
      </w:r>
      <w:r w:rsidR="00F76BD3">
        <w:rPr>
          <w:lang w:val="fr-CH"/>
        </w:rPr>
        <w:t>:</w:t>
      </w:r>
      <w:r w:rsidR="00F76BD3">
        <w:rPr>
          <w:lang w:val="fr-CH"/>
        </w:rPr>
        <w:tab/>
        <w:t>INF.15 (DGAC).</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Un accord de principe a été donné à l</w:t>
      </w:r>
      <w:r w:rsidR="00322F95">
        <w:rPr>
          <w:lang w:val="fr-CH"/>
        </w:rPr>
        <w:t>’</w:t>
      </w:r>
      <w:r w:rsidRPr="00066C50">
        <w:rPr>
          <w:lang w:val="fr-CH"/>
        </w:rPr>
        <w:t>introduction d</w:t>
      </w:r>
      <w:r w:rsidR="00322F95">
        <w:rPr>
          <w:lang w:val="fr-CH"/>
        </w:rPr>
        <w:t>’</w:t>
      </w:r>
      <w:r w:rsidRPr="00066C50">
        <w:rPr>
          <w:lang w:val="fr-CH"/>
        </w:rPr>
        <w:t>un nouvel exemple dans l</w:t>
      </w:r>
      <w:r w:rsidR="00322F95">
        <w:rPr>
          <w:lang w:val="fr-CH"/>
        </w:rPr>
        <w:t>’</w:t>
      </w:r>
      <w:r w:rsidRPr="00066C50">
        <w:rPr>
          <w:lang w:val="fr-CH"/>
        </w:rPr>
        <w:t>annexe</w:t>
      </w:r>
      <w:r w:rsidR="00F76BD3">
        <w:rPr>
          <w:lang w:val="fr-CH"/>
        </w:rPr>
        <w:t> </w:t>
      </w:r>
      <w:r w:rsidRPr="00066C50">
        <w:rPr>
          <w:lang w:val="fr-CH"/>
        </w:rPr>
        <w:t>7 du SGH concernant l</w:t>
      </w:r>
      <w:r w:rsidR="00322F95">
        <w:rPr>
          <w:lang w:val="fr-CH"/>
        </w:rPr>
        <w:t>’</w:t>
      </w:r>
      <w:r w:rsidRPr="00066C50">
        <w:rPr>
          <w:lang w:val="fr-CH"/>
        </w:rPr>
        <w:t>étiquetage des citernes mobiles et conteneurs à gaz à éléments multiples (CGEM). Plusieurs experts ont toutefois fait part de leur préoccupation concernant l</w:t>
      </w:r>
      <w:r w:rsidR="00322F95">
        <w:rPr>
          <w:lang w:val="fr-CH"/>
        </w:rPr>
        <w:t>’</w:t>
      </w:r>
      <w:r w:rsidRPr="00066C50">
        <w:rPr>
          <w:lang w:val="fr-CH"/>
        </w:rPr>
        <w:t>option</w:t>
      </w:r>
      <w:r w:rsidR="00F76BD3">
        <w:rPr>
          <w:lang w:val="fr-CH"/>
        </w:rPr>
        <w:t> </w:t>
      </w:r>
      <w:r w:rsidRPr="00066C50">
        <w:rPr>
          <w:lang w:val="fr-CH"/>
        </w:rPr>
        <w:t>2 qui figure au</w:t>
      </w:r>
      <w:r w:rsidR="00E67F85">
        <w:rPr>
          <w:lang w:val="fr-CH"/>
        </w:rPr>
        <w:t xml:space="preserve"> </w:t>
      </w:r>
      <w:r w:rsidRPr="00066C50">
        <w:rPr>
          <w:lang w:val="fr-CH"/>
        </w:rPr>
        <w:t>paragraphe</w:t>
      </w:r>
      <w:r w:rsidR="00F76BD3">
        <w:rPr>
          <w:lang w:val="fr-CH"/>
        </w:rPr>
        <w:t> </w:t>
      </w:r>
      <w:r w:rsidRPr="00066C50">
        <w:rPr>
          <w:lang w:val="fr-CH"/>
        </w:rPr>
        <w:t>14 du document et en particulier concernant le paragraphe</w:t>
      </w:r>
      <w:r w:rsidR="00F76BD3">
        <w:rPr>
          <w:lang w:val="fr-CH"/>
        </w:rPr>
        <w:t> </w:t>
      </w:r>
      <w:r w:rsidRPr="00066C50">
        <w:rPr>
          <w:lang w:val="fr-CH"/>
        </w:rPr>
        <w:t xml:space="preserve">1.4.10.5.5.4 proposé, considérant que certains éléments de ce paragraphe étaient soit inappropriés soit en conflit avec la législation mettant en œuvre le SGH dans certains pays de la région. </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invité le représentant du DGAC à réviser la proposition en tenant compte des observations formulées à propos de cet exemple.</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VI.</w:t>
      </w:r>
      <w:r w:rsidRPr="00066C50">
        <w:rPr>
          <w:lang w:val="fr-CH"/>
        </w:rPr>
        <w:tab/>
        <w:t>Mise en œuvre du SGH (point 5 de l</w:t>
      </w:r>
      <w:r w:rsidR="00322F95">
        <w:rPr>
          <w:lang w:val="fr-CH"/>
        </w:rPr>
        <w:t>’</w:t>
      </w:r>
      <w:r w:rsidRPr="00066C50">
        <w:rPr>
          <w:lang w:val="fr-CH"/>
        </w:rPr>
        <w:t>ordre du jour)</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A.</w:t>
      </w:r>
      <w:r w:rsidRPr="00066C50">
        <w:rPr>
          <w:lang w:val="fr-CH"/>
        </w:rPr>
        <w:tab/>
        <w:t>Élaboration d</w:t>
      </w:r>
      <w:r w:rsidR="00322F95">
        <w:rPr>
          <w:lang w:val="fr-CH"/>
        </w:rPr>
        <w:t>’</w:t>
      </w:r>
      <w:r w:rsidRPr="00066C50">
        <w:rPr>
          <w:lang w:val="fr-CH"/>
        </w:rPr>
        <w:t>une liste des produits chimiques classés conformément au SGH</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F76BD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F76BD3">
        <w:rPr>
          <w:i/>
          <w:lang w:val="fr-CH"/>
        </w:rPr>
        <w:t> </w:t>
      </w:r>
      <w:r w:rsidRPr="00F76BD3">
        <w:rPr>
          <w:lang w:val="fr-CH"/>
        </w:rPr>
        <w:t>:</w:t>
      </w:r>
      <w:r w:rsidRPr="00066C50">
        <w:rPr>
          <w:i/>
          <w:lang w:val="fr-CH"/>
        </w:rPr>
        <w:tab/>
      </w:r>
      <w:r w:rsidRPr="00066C50">
        <w:rPr>
          <w:lang w:val="fr-CH"/>
        </w:rPr>
        <w:t>INF.18 (Canada)</w:t>
      </w:r>
      <w:r w:rsidR="00F76BD3">
        <w:rPr>
          <w:lang w:val="fr-CH"/>
        </w:rPr>
        <w:t xml:space="preserve"> </w:t>
      </w:r>
      <w:r w:rsidR="00F76BD3">
        <w:rPr>
          <w:lang w:val="fr-CH"/>
        </w:rPr>
        <w:br/>
      </w:r>
      <w:r w:rsidRPr="00066C50">
        <w:rPr>
          <w:lang w:val="fr-CH"/>
        </w:rPr>
        <w:t>INF.21 (États-Unis d</w:t>
      </w:r>
      <w:r w:rsidR="00322F95">
        <w:rPr>
          <w:lang w:val="fr-CH"/>
        </w:rPr>
        <w:t>’</w:t>
      </w:r>
      <w:r w:rsidR="00F76BD3">
        <w:rPr>
          <w:lang w:val="fr-CH"/>
        </w:rPr>
        <w:t>Amérique).</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groupe informel sur l</w:t>
      </w:r>
      <w:r w:rsidR="00322F95">
        <w:rPr>
          <w:lang w:val="fr-CH"/>
        </w:rPr>
        <w:t>’</w:t>
      </w:r>
      <w:r w:rsidRPr="00066C50">
        <w:rPr>
          <w:lang w:val="fr-CH"/>
        </w:rPr>
        <w:t>élaboration d</w:t>
      </w:r>
      <w:r w:rsidR="00322F95">
        <w:rPr>
          <w:lang w:val="fr-CH"/>
        </w:rPr>
        <w:t>’</w:t>
      </w:r>
      <w:r w:rsidRPr="00066C50">
        <w:rPr>
          <w:lang w:val="fr-CH"/>
        </w:rPr>
        <w:t>une liste de produits chimiques classés conformément au SGH s</w:t>
      </w:r>
      <w:r w:rsidR="00322F95">
        <w:rPr>
          <w:lang w:val="fr-CH"/>
        </w:rPr>
        <w:t>’</w:t>
      </w:r>
      <w:r w:rsidRPr="00066C50">
        <w:rPr>
          <w:lang w:val="fr-CH"/>
        </w:rPr>
        <w:t>est réuni le 10</w:t>
      </w:r>
      <w:r w:rsidR="00420613">
        <w:rPr>
          <w:lang w:val="fr-CH"/>
        </w:rPr>
        <w:t> </w:t>
      </w:r>
      <w:r w:rsidRPr="00066C50">
        <w:rPr>
          <w:lang w:val="fr-CH"/>
        </w:rPr>
        <w:t>décembre 2015. L</w:t>
      </w:r>
      <w:r w:rsidR="00322F95">
        <w:rPr>
          <w:lang w:val="fr-CH"/>
        </w:rPr>
        <w:t>’</w:t>
      </w:r>
      <w:r w:rsidRPr="00066C50">
        <w:rPr>
          <w:lang w:val="fr-CH"/>
        </w:rPr>
        <w:t>experte des</w:t>
      </w:r>
      <w:r w:rsidR="00E67F85">
        <w:rPr>
          <w:lang w:val="fr-CH"/>
        </w:rPr>
        <w:t xml:space="preserve"> </w:t>
      </w:r>
      <w:r w:rsidRPr="00066C50">
        <w:rPr>
          <w:lang w:val="fr-CH"/>
        </w:rPr>
        <w:t>États-Unis d</w:t>
      </w:r>
      <w:r w:rsidR="00322F95">
        <w:rPr>
          <w:lang w:val="fr-CH"/>
        </w:rPr>
        <w:t>’</w:t>
      </w:r>
      <w:r w:rsidRPr="00066C50">
        <w:rPr>
          <w:lang w:val="fr-CH"/>
        </w:rPr>
        <w:t>Amérique a fait le point sur le projet pilote sur la classification chimique qui est présenté en détail au paragraphe</w:t>
      </w:r>
      <w:r w:rsidR="00420613">
        <w:rPr>
          <w:lang w:val="fr-CH"/>
        </w:rPr>
        <w:t> 4 du document INF.21.</w:t>
      </w:r>
    </w:p>
    <w:p w:rsidR="00066C50" w:rsidRPr="00066C50" w:rsidRDefault="00066C50" w:rsidP="00887BDD">
      <w:pPr>
        <w:pStyle w:val="SingleTxt"/>
        <w:numPr>
          <w:ilvl w:val="0"/>
          <w:numId w:val="8"/>
        </w:numPr>
        <w:tabs>
          <w:tab w:val="clear" w:pos="475"/>
          <w:tab w:val="num" w:pos="1742"/>
        </w:tabs>
        <w:ind w:left="1267"/>
        <w:rPr>
          <w:lang w:val="fr-CH"/>
        </w:rPr>
      </w:pPr>
      <w:r w:rsidRPr="00066C50">
        <w:rPr>
          <w:lang w:val="fr-CH"/>
        </w:rPr>
        <w:t>L</w:t>
      </w:r>
      <w:r w:rsidR="00322F95">
        <w:rPr>
          <w:lang w:val="fr-CH"/>
        </w:rPr>
        <w:t>’</w:t>
      </w:r>
      <w:r w:rsidRPr="00066C50">
        <w:rPr>
          <w:lang w:val="fr-CH"/>
        </w:rPr>
        <w:t>experte du Canada a fourni des informations sur les ressources nécessaires au classement des produits chimiques dangereux dans le cadre de l</w:t>
      </w:r>
      <w:r w:rsidR="00322F95">
        <w:rPr>
          <w:lang w:val="fr-CH"/>
        </w:rPr>
        <w:t>’</w:t>
      </w:r>
      <w:r w:rsidRPr="00066C50">
        <w:rPr>
          <w:lang w:val="fr-CH"/>
        </w:rPr>
        <w:t>examen des réclamations soumises par des sociétés soucieuses d</w:t>
      </w:r>
      <w:r w:rsidR="00322F95">
        <w:rPr>
          <w:lang w:val="fr-CH"/>
        </w:rPr>
        <w:t>’</w:t>
      </w:r>
      <w:r w:rsidRPr="00066C50">
        <w:rPr>
          <w:lang w:val="fr-CH"/>
        </w:rPr>
        <w:t>empêcher la diffusion d</w:t>
      </w:r>
      <w:r w:rsidR="00322F95">
        <w:rPr>
          <w:lang w:val="fr-CH"/>
        </w:rPr>
        <w:t>’</w:t>
      </w:r>
      <w:r w:rsidRPr="00066C50">
        <w:rPr>
          <w:lang w:val="fr-CH"/>
        </w:rPr>
        <w:t>informations sur les fiches de données de sécurité. Il a été relevé en particulier qu</w:t>
      </w:r>
      <w:r w:rsidR="00322F95">
        <w:rPr>
          <w:lang w:val="fr-CH"/>
        </w:rPr>
        <w:t>’</w:t>
      </w:r>
      <w:r w:rsidRPr="00066C50">
        <w:rPr>
          <w:lang w:val="fr-CH"/>
        </w:rPr>
        <w:t xml:space="preserve">il fallait en moyenne </w:t>
      </w:r>
      <w:r w:rsidR="00887BDD">
        <w:rPr>
          <w:lang w:val="fr-CH"/>
        </w:rPr>
        <w:t>treize</w:t>
      </w:r>
      <w:r w:rsidRPr="00066C50">
        <w:rPr>
          <w:lang w:val="fr-CH"/>
        </w:rPr>
        <w:t xml:space="preserve"> jours de travail à plein temps aux experts en toxicologie et en réglementation pour examiner un produit, 300 à 400</w:t>
      </w:r>
      <w:r w:rsidR="00420613">
        <w:rPr>
          <w:lang w:val="fr-CH"/>
        </w:rPr>
        <w:t> </w:t>
      </w:r>
      <w:r w:rsidRPr="00066C50">
        <w:rPr>
          <w:lang w:val="fr-CH"/>
        </w:rPr>
        <w:t>examens étant effectués chaque année. L</w:t>
      </w:r>
      <w:r w:rsidR="00322F95">
        <w:rPr>
          <w:lang w:val="fr-CH"/>
        </w:rPr>
        <w:t>’</w:t>
      </w:r>
      <w:r w:rsidRPr="00066C50">
        <w:rPr>
          <w:lang w:val="fr-CH"/>
        </w:rPr>
        <w:t>experte du Canada a également indiqué que son pays entamerait en janvier 2016 le classement des produits chimiques dangereux conformément à l</w:t>
      </w:r>
      <w:r w:rsidR="00322F95">
        <w:rPr>
          <w:lang w:val="fr-CH"/>
        </w:rPr>
        <w:t>’</w:t>
      </w:r>
      <w:r w:rsidRPr="00066C50">
        <w:rPr>
          <w:lang w:val="fr-CH"/>
        </w:rPr>
        <w:t>approche modulaire du SGH adoptée dans le Règlement canadien sur les produits dangereux et qu</w:t>
      </w:r>
      <w:r w:rsidR="00322F95">
        <w:rPr>
          <w:lang w:val="fr-CH"/>
        </w:rPr>
        <w:t>’</w:t>
      </w:r>
      <w:r w:rsidRPr="00066C50">
        <w:rPr>
          <w:lang w:val="fr-CH"/>
        </w:rPr>
        <w:t>elle en rendrait compte au Sous-Comité.</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Enfin, le représentant de l</w:t>
      </w:r>
      <w:r w:rsidR="00322F95">
        <w:rPr>
          <w:lang w:val="fr-CH"/>
        </w:rPr>
        <w:t>’</w:t>
      </w:r>
      <w:r w:rsidRPr="00066C50">
        <w:rPr>
          <w:lang w:val="fr-CH"/>
        </w:rPr>
        <w:t>OCDE a présenté un exposé sur la boîte à outils de l</w:t>
      </w:r>
      <w:r w:rsidR="00322F95">
        <w:rPr>
          <w:lang w:val="fr-CH"/>
        </w:rPr>
        <w:t>’</w:t>
      </w:r>
      <w:r w:rsidRPr="00066C50">
        <w:rPr>
          <w:lang w:val="fr-CH"/>
        </w:rPr>
        <w:t xml:space="preserve">IOMC pour la prise de décisions en matière de gestion des produits chimiques et sur le portail </w:t>
      </w:r>
      <w:proofErr w:type="spellStart"/>
      <w:r w:rsidRPr="00066C50">
        <w:rPr>
          <w:lang w:val="fr-CH"/>
        </w:rPr>
        <w:t>eChemPortal</w:t>
      </w:r>
      <w:proofErr w:type="spellEnd"/>
      <w:r w:rsidRPr="00066C50">
        <w:rPr>
          <w:lang w:val="fr-CH"/>
        </w:rPr>
        <w:t xml:space="preserve"> de l</w:t>
      </w:r>
      <w:r w:rsidR="00322F95">
        <w:rPr>
          <w:lang w:val="fr-CH"/>
        </w:rPr>
        <w:t>’</w:t>
      </w:r>
      <w:r w:rsidRPr="00066C50">
        <w:rPr>
          <w:lang w:val="fr-CH"/>
        </w:rPr>
        <w:t>OCDE.</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B.</w:t>
      </w:r>
      <w:r w:rsidRPr="00066C50">
        <w:rPr>
          <w:lang w:val="fr-CH"/>
        </w:rPr>
        <w:tab/>
        <w:t>Rapports sur l</w:t>
      </w:r>
      <w:r w:rsidR="00322F95">
        <w:rPr>
          <w:lang w:val="fr-CH"/>
        </w:rPr>
        <w:t>’</w:t>
      </w:r>
      <w:r w:rsidRPr="00066C50">
        <w:rPr>
          <w:lang w:val="fr-CH"/>
        </w:rPr>
        <w:t>état d</w:t>
      </w:r>
      <w:r w:rsidR="00322F95">
        <w:rPr>
          <w:lang w:val="fr-CH"/>
        </w:rPr>
        <w:t>’</w:t>
      </w:r>
      <w:r w:rsidRPr="00066C50">
        <w:rPr>
          <w:lang w:val="fr-CH"/>
        </w:rPr>
        <w:t>avancement de la mise en œuvre</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représentant de l</w:t>
      </w:r>
      <w:r w:rsidR="00322F95">
        <w:rPr>
          <w:lang w:val="fr-CH"/>
        </w:rPr>
        <w:t>’</w:t>
      </w:r>
      <w:r w:rsidRPr="00066C50">
        <w:rPr>
          <w:lang w:val="fr-CH"/>
        </w:rPr>
        <w:t>IPIECA a invité les autorités compétentes à communiquer leurs plans nationaux de mise en œuvre du SGH et de veiller à ce que les délais d</w:t>
      </w:r>
      <w:r w:rsidR="00322F95">
        <w:rPr>
          <w:lang w:val="fr-CH"/>
        </w:rPr>
        <w:t>’</w:t>
      </w:r>
      <w:r w:rsidRPr="00066C50">
        <w:rPr>
          <w:lang w:val="fr-CH"/>
        </w:rPr>
        <w:t>entrée en vigueur</w:t>
      </w:r>
      <w:r w:rsidR="00E67F85">
        <w:rPr>
          <w:lang w:val="fr-CH"/>
        </w:rPr>
        <w:t xml:space="preserve"> </w:t>
      </w:r>
      <w:r w:rsidRPr="00066C50">
        <w:rPr>
          <w:lang w:val="fr-CH"/>
        </w:rPr>
        <w:t>de la législation de mise en œuvre du SGH laissent suffisamment de temps à l</w:t>
      </w:r>
      <w:r w:rsidR="00322F95">
        <w:rPr>
          <w:lang w:val="fr-CH"/>
        </w:rPr>
        <w:t>’</w:t>
      </w:r>
      <w:r w:rsidRPr="00066C50">
        <w:rPr>
          <w:lang w:val="fr-CH"/>
        </w:rPr>
        <w:t>industrie pour s</w:t>
      </w:r>
      <w:r w:rsidR="00322F95">
        <w:rPr>
          <w:lang w:val="fr-CH"/>
        </w:rPr>
        <w:t>’</w:t>
      </w:r>
      <w:r w:rsidRPr="00066C50">
        <w:rPr>
          <w:lang w:val="fr-CH"/>
        </w:rPr>
        <w:t xml:space="preserve">adapter. </w:t>
      </w:r>
    </w:p>
    <w:p w:rsidR="00DA05AF" w:rsidRPr="005B4B34" w:rsidRDefault="00DA05AF" w:rsidP="00DA05AF">
      <w:pPr>
        <w:pStyle w:val="SingleTxt"/>
        <w:spacing w:after="0" w:line="120" w:lineRule="exact"/>
        <w:rPr>
          <w:b/>
          <w:sz w:val="10"/>
          <w:lang w:val="fr-CH"/>
        </w:rPr>
      </w:pPr>
    </w:p>
    <w:p w:rsidR="00DA05AF" w:rsidRPr="005B4B34" w:rsidRDefault="00DA05AF" w:rsidP="00DA05AF">
      <w:pPr>
        <w:pStyle w:val="SingleTxt"/>
        <w:spacing w:after="0" w:line="120" w:lineRule="exact"/>
        <w:rPr>
          <w:b/>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B4B34">
        <w:rPr>
          <w:lang w:val="fr-CH"/>
        </w:rPr>
        <w:tab/>
      </w:r>
      <w:r w:rsidRPr="00066C50">
        <w:rPr>
          <w:lang w:val="fr-CH"/>
        </w:rPr>
        <w:t>C.</w:t>
      </w:r>
      <w:r w:rsidRPr="00066C50">
        <w:rPr>
          <w:lang w:val="fr-CH"/>
        </w:rPr>
        <w:tab/>
        <w:t>Coopération avec d</w:t>
      </w:r>
      <w:r w:rsidR="00322F95">
        <w:rPr>
          <w:lang w:val="fr-CH"/>
        </w:rPr>
        <w:t>’</w:t>
      </w:r>
      <w:r w:rsidRPr="00066C50">
        <w:rPr>
          <w:lang w:val="fr-CH"/>
        </w:rPr>
        <w:t>autres organes ou organisations internationales</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Aucun document n</w:t>
      </w:r>
      <w:r w:rsidR="00322F95">
        <w:rPr>
          <w:lang w:val="fr-CH"/>
        </w:rPr>
        <w:t>’</w:t>
      </w:r>
      <w:r w:rsidRPr="00066C50">
        <w:rPr>
          <w:lang w:val="fr-CH"/>
        </w:rPr>
        <w:t>ayant été soumis, ce point de l</w:t>
      </w:r>
      <w:r w:rsidR="00322F95">
        <w:rPr>
          <w:lang w:val="fr-CH"/>
        </w:rPr>
        <w:t>’</w:t>
      </w:r>
      <w:r w:rsidRPr="00066C50">
        <w:rPr>
          <w:lang w:val="fr-CH"/>
        </w:rPr>
        <w:t>ordre du jour n</w:t>
      </w:r>
      <w:r w:rsidR="00322F95">
        <w:rPr>
          <w:lang w:val="fr-CH"/>
        </w:rPr>
        <w:t>’</w:t>
      </w:r>
      <w:r w:rsidRPr="00066C50">
        <w:rPr>
          <w:lang w:val="fr-CH"/>
        </w:rPr>
        <w:t xml:space="preserve">a pas été examiné. </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D.</w:t>
      </w:r>
      <w:r w:rsidRPr="00066C50">
        <w:rPr>
          <w:lang w:val="fr-CH"/>
        </w:rPr>
        <w:tab/>
        <w:t>Divers</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Aucun document n</w:t>
      </w:r>
      <w:r w:rsidR="00322F95">
        <w:rPr>
          <w:lang w:val="fr-CH"/>
        </w:rPr>
        <w:t>’</w:t>
      </w:r>
      <w:r w:rsidRPr="00066C50">
        <w:rPr>
          <w:lang w:val="fr-CH"/>
        </w:rPr>
        <w:t>ayant été soumis, ce point de l</w:t>
      </w:r>
      <w:r w:rsidR="00322F95">
        <w:rPr>
          <w:lang w:val="fr-CH"/>
        </w:rPr>
        <w:t>’</w:t>
      </w:r>
      <w:r w:rsidRPr="00066C50">
        <w:rPr>
          <w:lang w:val="fr-CH"/>
        </w:rPr>
        <w:t>ordre du jour n</w:t>
      </w:r>
      <w:r w:rsidR="00322F95">
        <w:rPr>
          <w:lang w:val="fr-CH"/>
        </w:rPr>
        <w:t>’</w:t>
      </w:r>
      <w:r w:rsidRPr="00066C50">
        <w:rPr>
          <w:lang w:val="fr-CH"/>
        </w:rPr>
        <w:t>a pas été examiné.</w:t>
      </w:r>
      <w:r w:rsidR="00E67F85">
        <w:rPr>
          <w:lang w:val="fr-CH"/>
        </w:rPr>
        <w:t xml:space="preserve"> </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VII.</w:t>
      </w:r>
      <w:r w:rsidRPr="00066C50">
        <w:rPr>
          <w:lang w:val="fr-CH"/>
        </w:rPr>
        <w:tab/>
        <w:t>Mise au point de directives pour l</w:t>
      </w:r>
      <w:r w:rsidR="00322F95">
        <w:rPr>
          <w:lang w:val="fr-CH"/>
        </w:rPr>
        <w:t>’</w:t>
      </w:r>
      <w:r w:rsidRPr="00066C50">
        <w:rPr>
          <w:lang w:val="fr-CH"/>
        </w:rPr>
        <w:t xml:space="preserve">application de critères </w:t>
      </w:r>
      <w:r w:rsidR="00420613">
        <w:rPr>
          <w:lang w:val="fr-CH"/>
        </w:rPr>
        <w:br/>
      </w:r>
      <w:r w:rsidRPr="00066C50">
        <w:rPr>
          <w:lang w:val="fr-CH"/>
        </w:rPr>
        <w:t>du SGH (point 6 de l</w:t>
      </w:r>
      <w:r w:rsidR="00322F95">
        <w:rPr>
          <w:lang w:val="fr-CH"/>
        </w:rPr>
        <w:t>’</w:t>
      </w:r>
      <w:r w:rsidRPr="00066C50">
        <w:rPr>
          <w:lang w:val="fr-CH"/>
        </w:rPr>
        <w:t>ordre du jour)</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Aucun document n</w:t>
      </w:r>
      <w:r w:rsidR="00322F95">
        <w:rPr>
          <w:lang w:val="fr-CH"/>
        </w:rPr>
        <w:t>’</w:t>
      </w:r>
      <w:r w:rsidRPr="00066C50">
        <w:rPr>
          <w:lang w:val="fr-CH"/>
        </w:rPr>
        <w:t>ayant été soumis, ce point de l</w:t>
      </w:r>
      <w:r w:rsidR="00322F95">
        <w:rPr>
          <w:lang w:val="fr-CH"/>
        </w:rPr>
        <w:t>’</w:t>
      </w:r>
      <w:r w:rsidRPr="00066C50">
        <w:rPr>
          <w:lang w:val="fr-CH"/>
        </w:rPr>
        <w:t>ordre du jour n</w:t>
      </w:r>
      <w:r w:rsidR="00322F95">
        <w:rPr>
          <w:lang w:val="fr-CH"/>
        </w:rPr>
        <w:t>’</w:t>
      </w:r>
      <w:r w:rsidR="00420613">
        <w:rPr>
          <w:lang w:val="fr-CH"/>
        </w:rPr>
        <w:t>a pas été examiné.</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VIII.</w:t>
      </w:r>
      <w:r w:rsidRPr="00066C50">
        <w:rPr>
          <w:lang w:val="fr-CH"/>
        </w:rPr>
        <w:tab/>
        <w:t>Renforcement des capacités (point 7 de l</w:t>
      </w:r>
      <w:r w:rsidR="00322F95">
        <w:rPr>
          <w:lang w:val="fr-CH"/>
        </w:rPr>
        <w:t>’</w:t>
      </w:r>
      <w:r w:rsidRPr="00066C50">
        <w:rPr>
          <w:lang w:val="fr-CH"/>
        </w:rPr>
        <w:t>ordre du jour)</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42061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420613">
        <w:rPr>
          <w:i/>
          <w:lang w:val="fr-CH"/>
        </w:rPr>
        <w:t> </w:t>
      </w:r>
      <w:r w:rsidRPr="00420613">
        <w:rPr>
          <w:lang w:val="fr-CH"/>
        </w:rPr>
        <w:t>:</w:t>
      </w:r>
      <w:r w:rsidRPr="00066C50">
        <w:rPr>
          <w:i/>
          <w:lang w:val="fr-CH"/>
        </w:rPr>
        <w:tab/>
      </w:r>
      <w:r w:rsidRPr="00066C50">
        <w:rPr>
          <w:lang w:val="fr-CH"/>
        </w:rPr>
        <w:t xml:space="preserve">INF.27 (UNITAR) </w:t>
      </w:r>
      <w:r w:rsidR="00420613">
        <w:rPr>
          <w:lang w:val="fr-CH"/>
        </w:rPr>
        <w:br/>
      </w:r>
      <w:r w:rsidRPr="00066C50">
        <w:rPr>
          <w:lang w:val="fr-CH"/>
        </w:rPr>
        <w:t>INF.29 (RPMASA)</w:t>
      </w:r>
      <w:r w:rsidR="00420613">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pris note des divers projets et activités de renforcement des capacités et de sensibilisation relatifs à l</w:t>
      </w:r>
      <w:r w:rsidR="00322F95">
        <w:rPr>
          <w:lang w:val="fr-CH"/>
        </w:rPr>
        <w:t>’</w:t>
      </w:r>
      <w:r w:rsidRPr="00066C50">
        <w:rPr>
          <w:lang w:val="fr-CH"/>
        </w:rPr>
        <w:t>application du SGH qui ont été menés entre juin et décembre 2015 dans le monde, comme le rapportent les documents informels INF.27 et INF.29.</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représentant de l</w:t>
      </w:r>
      <w:r w:rsidR="00322F95">
        <w:rPr>
          <w:lang w:val="fr-CH"/>
        </w:rPr>
        <w:t>’</w:t>
      </w:r>
      <w:r w:rsidRPr="00066C50">
        <w:rPr>
          <w:lang w:val="fr-CH"/>
        </w:rPr>
        <w:t>UNITAR a invité les experts du Sous-Comité à formuler des observations sur le système de gestion pour l</w:t>
      </w:r>
      <w:r w:rsidR="00322F95">
        <w:rPr>
          <w:lang w:val="fr-CH"/>
        </w:rPr>
        <w:t>’</w:t>
      </w:r>
      <w:r w:rsidRPr="00066C50">
        <w:rPr>
          <w:lang w:val="fr-CH"/>
        </w:rPr>
        <w:t xml:space="preserve">application du SGH contenu dans la </w:t>
      </w:r>
      <w:r w:rsidR="00420613">
        <w:rPr>
          <w:lang w:val="fr-CH"/>
        </w:rPr>
        <w:t>« </w:t>
      </w:r>
      <w:r w:rsidRPr="00066C50">
        <w:rPr>
          <w:lang w:val="fr-CH"/>
        </w:rPr>
        <w:t>boîte à outils de l</w:t>
      </w:r>
      <w:r w:rsidR="00322F95">
        <w:rPr>
          <w:lang w:val="fr-CH"/>
        </w:rPr>
        <w:t>’</w:t>
      </w:r>
      <w:r w:rsidRPr="00066C50">
        <w:rPr>
          <w:lang w:val="fr-CH"/>
        </w:rPr>
        <w:t>IOMC pour la prise de décisions en matière de gestion des produits chimiques</w:t>
      </w:r>
      <w:r w:rsidR="00420613">
        <w:rPr>
          <w:lang w:val="fr-CH"/>
        </w:rPr>
        <w:t> »</w:t>
      </w:r>
      <w:r w:rsidRPr="00066C50">
        <w:rPr>
          <w:lang w:val="fr-CH"/>
        </w:rPr>
        <w:t>, qui restera ouvert à l</w:t>
      </w:r>
      <w:r w:rsidR="00322F95">
        <w:rPr>
          <w:lang w:val="fr-CH"/>
        </w:rPr>
        <w:t>’</w:t>
      </w:r>
      <w:r w:rsidRPr="00066C50">
        <w:rPr>
          <w:lang w:val="fr-CH"/>
        </w:rPr>
        <w:t>évaluation par des pairs jusqu</w:t>
      </w:r>
      <w:r w:rsidR="00322F95">
        <w:rPr>
          <w:lang w:val="fr-CH"/>
        </w:rPr>
        <w:t>’</w:t>
      </w:r>
      <w:r w:rsidRPr="00066C50">
        <w:rPr>
          <w:lang w:val="fr-CH"/>
        </w:rPr>
        <w:t>au 31</w:t>
      </w:r>
      <w:r w:rsidR="00420613">
        <w:rPr>
          <w:lang w:val="fr-CH"/>
        </w:rPr>
        <w:t> </w:t>
      </w:r>
      <w:r w:rsidRPr="00066C50">
        <w:rPr>
          <w:lang w:val="fr-CH"/>
        </w:rPr>
        <w:t>janvier 2016.</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représentant de la RPMASA a invité les experts à faire part de leur expérience en matière de mise en œuvre du SGH, notamment en ce qui concerne l</w:t>
      </w:r>
      <w:r w:rsidR="00322F95">
        <w:rPr>
          <w:lang w:val="fr-CH"/>
        </w:rPr>
        <w:t>’</w:t>
      </w:r>
      <w:r w:rsidRPr="00066C50">
        <w:rPr>
          <w:lang w:val="fr-CH"/>
        </w:rPr>
        <w:t xml:space="preserve">élaboration de feuilles et étiquettes de sécurité conformes au SGH, pour renforcer la base de données correspondante. </w:t>
      </w:r>
    </w:p>
    <w:p w:rsidR="00066C50" w:rsidRPr="00066C50" w:rsidRDefault="00066C50" w:rsidP="00734DBD">
      <w:pPr>
        <w:pStyle w:val="SingleTxt"/>
        <w:numPr>
          <w:ilvl w:val="0"/>
          <w:numId w:val="8"/>
        </w:numPr>
        <w:tabs>
          <w:tab w:val="clear" w:pos="475"/>
          <w:tab w:val="num" w:pos="1742"/>
        </w:tabs>
        <w:ind w:left="1267"/>
        <w:rPr>
          <w:lang w:val="fr-CH"/>
        </w:rPr>
      </w:pPr>
      <w:r w:rsidRPr="00066C50">
        <w:rPr>
          <w:lang w:val="fr-CH"/>
        </w:rPr>
        <w:t>L</w:t>
      </w:r>
      <w:r w:rsidR="00322F95">
        <w:rPr>
          <w:lang w:val="fr-CH"/>
        </w:rPr>
        <w:t>’</w:t>
      </w:r>
      <w:r w:rsidRPr="00066C50">
        <w:rPr>
          <w:lang w:val="fr-CH"/>
        </w:rPr>
        <w:t>experte de l</w:t>
      </w:r>
      <w:r w:rsidR="00322F95">
        <w:rPr>
          <w:lang w:val="fr-CH"/>
        </w:rPr>
        <w:t>’</w:t>
      </w:r>
      <w:r w:rsidRPr="00066C50">
        <w:rPr>
          <w:lang w:val="fr-CH"/>
        </w:rPr>
        <w:t xml:space="preserve">Afrique du Sud a indiqué que les activités de renforcement des capacités destinées aux organismes de réglementation </w:t>
      </w:r>
      <w:r w:rsidR="00734DBD">
        <w:rPr>
          <w:lang w:val="fr-CH"/>
        </w:rPr>
        <w:t xml:space="preserve">se poursuivaient dans </w:t>
      </w:r>
      <w:r w:rsidRPr="00066C50">
        <w:rPr>
          <w:lang w:val="fr-CH"/>
        </w:rPr>
        <w:t>son pays.</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IX.</w:t>
      </w:r>
      <w:r w:rsidRPr="00066C50">
        <w:rPr>
          <w:lang w:val="fr-CH"/>
        </w:rPr>
        <w:tab/>
        <w:t>Questions diverses (point 8 de l</w:t>
      </w:r>
      <w:r w:rsidR="00322F95">
        <w:rPr>
          <w:lang w:val="fr-CH"/>
        </w:rPr>
        <w:t>’</w:t>
      </w:r>
      <w:r w:rsidRPr="00066C50">
        <w:rPr>
          <w:lang w:val="fr-CH"/>
        </w:rPr>
        <w:t>ordre du jour)</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A.</w:t>
      </w:r>
      <w:r w:rsidRPr="00066C50">
        <w:rPr>
          <w:lang w:val="fr-CH"/>
        </w:rPr>
        <w:tab/>
        <w:t xml:space="preserve">Résolution 2015/7 du Conseil économique et social </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42061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420613">
        <w:rPr>
          <w:i/>
          <w:lang w:val="fr-CH"/>
        </w:rPr>
        <w:t> </w:t>
      </w:r>
      <w:r w:rsidR="00420613">
        <w:rPr>
          <w:lang w:val="fr-CH"/>
        </w:rPr>
        <w:t>:</w:t>
      </w:r>
      <w:r w:rsidRPr="00066C50">
        <w:rPr>
          <w:i/>
          <w:lang w:val="fr-CH"/>
        </w:rPr>
        <w:tab/>
      </w:r>
      <w:r w:rsidR="00420613">
        <w:rPr>
          <w:lang w:val="fr-CH"/>
        </w:rPr>
        <w:t>INF.6 (Secrétariat).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pris note de la résolution 2015/7 relative aux travaux du Comité d</w:t>
      </w:r>
      <w:r w:rsidR="00322F95">
        <w:rPr>
          <w:lang w:val="fr-CH"/>
        </w:rPr>
        <w:t>’</w:t>
      </w:r>
      <w:r w:rsidRPr="00066C50">
        <w:rPr>
          <w:lang w:val="fr-CH"/>
        </w:rPr>
        <w:t>experts du transport des marchandises dangereuses et du Système général harmonisé de classification et d</w:t>
      </w:r>
      <w:r w:rsidR="00322F95">
        <w:rPr>
          <w:lang w:val="fr-CH"/>
        </w:rPr>
        <w:t>’</w:t>
      </w:r>
      <w:r w:rsidRPr="00066C50">
        <w:rPr>
          <w:lang w:val="fr-CH"/>
        </w:rPr>
        <w:t>étiquetage des produits chimiques, adoptée par le Conseil économique et social le 8</w:t>
      </w:r>
      <w:r w:rsidR="00420613">
        <w:rPr>
          <w:lang w:val="fr-CH"/>
        </w:rPr>
        <w:t> </w:t>
      </w:r>
      <w:r w:rsidRPr="00066C50">
        <w:rPr>
          <w:lang w:val="fr-CH"/>
        </w:rPr>
        <w:t>juin 2015.</w:t>
      </w:r>
    </w:p>
    <w:p w:rsidR="00066C50" w:rsidRPr="00066C50" w:rsidRDefault="00066C50" w:rsidP="00A87564">
      <w:pPr>
        <w:pStyle w:val="SingleTxt"/>
        <w:numPr>
          <w:ilvl w:val="0"/>
          <w:numId w:val="8"/>
        </w:numPr>
        <w:tabs>
          <w:tab w:val="clear" w:pos="475"/>
          <w:tab w:val="num" w:pos="1742"/>
        </w:tabs>
        <w:ind w:left="1267"/>
        <w:rPr>
          <w:lang w:val="fr-CH"/>
        </w:rPr>
      </w:pPr>
      <w:r w:rsidRPr="00066C50">
        <w:rPr>
          <w:lang w:val="fr-CH"/>
        </w:rPr>
        <w:t>Le Sous-Comité a noté qu</w:t>
      </w:r>
      <w:r w:rsidR="00322F95">
        <w:rPr>
          <w:lang w:val="fr-CH"/>
        </w:rPr>
        <w:t>’</w:t>
      </w:r>
      <w:r w:rsidRPr="00066C50">
        <w:rPr>
          <w:lang w:val="fr-CH"/>
        </w:rPr>
        <w:t xml:space="preserve">en vertu de cette résolution la </w:t>
      </w:r>
      <w:r w:rsidR="00420613">
        <w:rPr>
          <w:lang w:val="fr-CH"/>
        </w:rPr>
        <w:t xml:space="preserve">sixième </w:t>
      </w:r>
      <w:r w:rsidRPr="00066C50">
        <w:rPr>
          <w:lang w:val="fr-CH"/>
        </w:rPr>
        <w:t xml:space="preserve">édition révisée du SGH était disponible en anglais, en français, en russe et en chinois et que la </w:t>
      </w:r>
      <w:r w:rsidR="00A87564">
        <w:rPr>
          <w:lang w:val="fr-CH"/>
        </w:rPr>
        <w:t xml:space="preserve">dix-neuvième </w:t>
      </w:r>
      <w:r w:rsidRPr="00066C50">
        <w:rPr>
          <w:lang w:val="fr-CH"/>
        </w:rPr>
        <w:t xml:space="preserve">édition révisée </w:t>
      </w:r>
      <w:r w:rsidR="00420613">
        <w:rPr>
          <w:lang w:val="fr-CH"/>
        </w:rPr>
        <w:t xml:space="preserve">du Règlement type ainsi que la sixième </w:t>
      </w:r>
      <w:r w:rsidRPr="00066C50">
        <w:rPr>
          <w:lang w:val="fr-CH"/>
        </w:rPr>
        <w:t>édition révisée du Manuel d</w:t>
      </w:r>
      <w:r w:rsidR="00322F95">
        <w:rPr>
          <w:lang w:val="fr-CH"/>
        </w:rPr>
        <w:t>’</w:t>
      </w:r>
      <w:r w:rsidRPr="00066C50">
        <w:rPr>
          <w:lang w:val="fr-CH"/>
        </w:rPr>
        <w:t>épreuves et de critères étaient disponibles en anglais, en français et en espagnol. Les versions linguistiques restantes devaient être disponibles d</w:t>
      </w:r>
      <w:r w:rsidR="00322F95">
        <w:rPr>
          <w:lang w:val="fr-CH"/>
        </w:rPr>
        <w:t>’</w:t>
      </w:r>
      <w:r w:rsidRPr="00066C50">
        <w:rPr>
          <w:lang w:val="fr-CH"/>
        </w:rPr>
        <w:t>ici à la fin de l</w:t>
      </w:r>
      <w:r w:rsidR="00322F95">
        <w:rPr>
          <w:lang w:val="fr-CH"/>
        </w:rPr>
        <w:t>’</w:t>
      </w:r>
      <w:r w:rsidRPr="00066C50">
        <w:rPr>
          <w:lang w:val="fr-CH"/>
        </w:rPr>
        <w:t xml:space="preserve">année. </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B.</w:t>
      </w:r>
      <w:r w:rsidRPr="00066C50">
        <w:rPr>
          <w:lang w:val="fr-CH"/>
        </w:rPr>
        <w:tab/>
        <w:t>Classement des engrais à base de nitrate d</w:t>
      </w:r>
      <w:r w:rsidR="00322F95">
        <w:rPr>
          <w:lang w:val="fr-CH"/>
        </w:rPr>
        <w:t>’</w:t>
      </w:r>
      <w:r w:rsidRPr="00066C50">
        <w:rPr>
          <w:lang w:val="fr-CH"/>
        </w:rPr>
        <w:t xml:space="preserve">ammonium </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8A18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8A1832">
        <w:rPr>
          <w:i/>
          <w:lang w:val="fr-CH"/>
        </w:rPr>
        <w:t> </w:t>
      </w:r>
      <w:r w:rsidRPr="008A1832">
        <w:rPr>
          <w:lang w:val="fr-CH"/>
        </w:rPr>
        <w:t>:</w:t>
      </w:r>
      <w:r w:rsidRPr="00066C50">
        <w:rPr>
          <w:i/>
          <w:lang w:val="fr-CH"/>
        </w:rPr>
        <w:tab/>
      </w:r>
      <w:r w:rsidRPr="00066C50">
        <w:rPr>
          <w:lang w:val="fr-CH"/>
        </w:rPr>
        <w:t>INF.10 (Suède)</w:t>
      </w:r>
      <w:r w:rsidR="008A1832">
        <w:rPr>
          <w:lang w:val="fr-CH"/>
        </w:rPr>
        <w:t xml:space="preserve"> </w:t>
      </w:r>
      <w:r w:rsidR="008A1832">
        <w:rPr>
          <w:lang w:val="fr-CH"/>
        </w:rPr>
        <w:br/>
      </w:r>
      <w:r w:rsidRPr="00066C50">
        <w:rPr>
          <w:lang w:val="fr-CH"/>
        </w:rPr>
        <w:t>INF.30, question 16 (Secrétariat)</w:t>
      </w:r>
      <w:r w:rsidR="008A1832">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été informé des travaux en cours sur la révision éventuelle du classement des engrais à base de nitrate d</w:t>
      </w:r>
      <w:r w:rsidR="00322F95">
        <w:rPr>
          <w:lang w:val="fr-CH"/>
        </w:rPr>
        <w:t>’</w:t>
      </w:r>
      <w:r w:rsidRPr="00066C50">
        <w:rPr>
          <w:lang w:val="fr-CH"/>
        </w:rPr>
        <w:t>ammonium. Le Président du Groupe de travail des explosifs a indiqué que son groupe soutenait cette initiative et l</w:t>
      </w:r>
      <w:r w:rsidR="00322F95">
        <w:rPr>
          <w:lang w:val="fr-CH"/>
        </w:rPr>
        <w:t>’</w:t>
      </w:r>
      <w:r w:rsidRPr="00066C50">
        <w:rPr>
          <w:lang w:val="fr-CH"/>
        </w:rPr>
        <w:t>experte des États-Unis d</w:t>
      </w:r>
      <w:r w:rsidR="00322F95">
        <w:rPr>
          <w:lang w:val="fr-CH"/>
        </w:rPr>
        <w:t>’</w:t>
      </w:r>
      <w:r w:rsidRPr="00066C50">
        <w:rPr>
          <w:lang w:val="fr-CH"/>
        </w:rPr>
        <w:t>Amérique a annoncé qu</w:t>
      </w:r>
      <w:r w:rsidR="00322F95">
        <w:rPr>
          <w:lang w:val="fr-CH"/>
        </w:rPr>
        <w:t>’</w:t>
      </w:r>
      <w:r w:rsidRPr="00066C50">
        <w:rPr>
          <w:lang w:val="fr-CH"/>
        </w:rPr>
        <w:t>elle communiquerait à l</w:t>
      </w:r>
      <w:r w:rsidR="00322F95">
        <w:rPr>
          <w:lang w:val="fr-CH"/>
        </w:rPr>
        <w:t>’</w:t>
      </w:r>
      <w:r w:rsidRPr="00066C50">
        <w:rPr>
          <w:lang w:val="fr-CH"/>
        </w:rPr>
        <w:t xml:space="preserve">expert de la Suède les observations formulées par la National </w:t>
      </w:r>
      <w:proofErr w:type="spellStart"/>
      <w:r w:rsidRPr="00066C50">
        <w:rPr>
          <w:lang w:val="fr-CH"/>
        </w:rPr>
        <w:t>Fire</w:t>
      </w:r>
      <w:proofErr w:type="spellEnd"/>
      <w:r w:rsidRPr="00066C50">
        <w:rPr>
          <w:lang w:val="fr-CH"/>
        </w:rPr>
        <w:t xml:space="preserve"> Association Protection (NFPA) concernant le diagramme de décision qui se trouve dans l</w:t>
      </w:r>
      <w:r w:rsidR="00322F95">
        <w:rPr>
          <w:lang w:val="fr-CH"/>
        </w:rPr>
        <w:t>’</w:t>
      </w:r>
      <w:r w:rsidRPr="00066C50">
        <w:rPr>
          <w:lang w:val="fr-CH"/>
        </w:rPr>
        <w:t xml:space="preserve">annexe du document INF.10. </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w:t>
      </w:r>
      <w:r w:rsidR="00322F95">
        <w:rPr>
          <w:lang w:val="fr-CH"/>
        </w:rPr>
        <w:t>’</w:t>
      </w:r>
      <w:r w:rsidRPr="00066C50">
        <w:rPr>
          <w:lang w:val="fr-CH"/>
        </w:rPr>
        <w:t>expert de la Suède a invité d</w:t>
      </w:r>
      <w:r w:rsidR="00322F95">
        <w:rPr>
          <w:lang w:val="fr-CH"/>
        </w:rPr>
        <w:t>’</w:t>
      </w:r>
      <w:r w:rsidRPr="00066C50">
        <w:rPr>
          <w:lang w:val="fr-CH"/>
        </w:rPr>
        <w:t>autres experts intéressés à faire des observations et annoncé qu</w:t>
      </w:r>
      <w:r w:rsidR="00322F95">
        <w:rPr>
          <w:lang w:val="fr-CH"/>
        </w:rPr>
        <w:t>’</w:t>
      </w:r>
      <w:r w:rsidRPr="00066C50">
        <w:rPr>
          <w:lang w:val="fr-CH"/>
        </w:rPr>
        <w:t>il se proposait de présenter un document officiel aux prochaines sessions des deux Sous-Comités.</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C.</w:t>
      </w:r>
      <w:r w:rsidRPr="00066C50">
        <w:rPr>
          <w:lang w:val="fr-CH"/>
        </w:rPr>
        <w:tab/>
        <w:t>Organisation de la trente et unième session</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8A1832">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8A1832">
        <w:rPr>
          <w:i/>
          <w:lang w:val="fr-CH"/>
        </w:rPr>
        <w:t> </w:t>
      </w:r>
      <w:r w:rsidR="008A1832">
        <w:rPr>
          <w:lang w:val="fr-CH"/>
        </w:rPr>
        <w:t>:</w:t>
      </w:r>
      <w:r w:rsidRPr="00066C50">
        <w:rPr>
          <w:i/>
          <w:lang w:val="fr-CH"/>
        </w:rPr>
        <w:tab/>
      </w:r>
      <w:r w:rsidRPr="00066C50">
        <w:rPr>
          <w:lang w:val="fr-CH"/>
        </w:rPr>
        <w:t>INF.30, question 22 (Secrétariat)</w:t>
      </w:r>
      <w:r w:rsidR="008A1832">
        <w:rPr>
          <w:lang w:val="fr-CH"/>
        </w:rPr>
        <w: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Considérant que la session conjointe avait été productive, les deux Sous-Comités se sont largement prononcés en faveur de l</w:t>
      </w:r>
      <w:r w:rsidR="00322F95">
        <w:rPr>
          <w:lang w:val="fr-CH"/>
        </w:rPr>
        <w:t>’</w:t>
      </w:r>
      <w:r w:rsidRPr="00066C50">
        <w:rPr>
          <w:lang w:val="fr-CH"/>
        </w:rPr>
        <w:t>organisation d</w:t>
      </w:r>
      <w:r w:rsidR="00322F95">
        <w:rPr>
          <w:lang w:val="fr-CH"/>
        </w:rPr>
        <w:t>’</w:t>
      </w:r>
      <w:r w:rsidRPr="00066C50">
        <w:rPr>
          <w:lang w:val="fr-CH"/>
        </w:rPr>
        <w:t>autres sessions conjointes pour aborder des questions d</w:t>
      </w:r>
      <w:r w:rsidR="00322F95">
        <w:rPr>
          <w:lang w:val="fr-CH"/>
        </w:rPr>
        <w:t>’</w:t>
      </w:r>
      <w:r w:rsidR="008A1832">
        <w:rPr>
          <w:lang w:val="fr-CH"/>
        </w:rPr>
        <w:t>intérêt commun.</w:t>
      </w:r>
    </w:p>
    <w:p w:rsidR="00066C50" w:rsidRPr="00066C50" w:rsidRDefault="00066C50" w:rsidP="00B8167C">
      <w:pPr>
        <w:pStyle w:val="SingleTxt"/>
        <w:numPr>
          <w:ilvl w:val="0"/>
          <w:numId w:val="8"/>
        </w:numPr>
        <w:tabs>
          <w:tab w:val="clear" w:pos="475"/>
          <w:tab w:val="num" w:pos="1742"/>
        </w:tabs>
        <w:ind w:left="1267"/>
        <w:rPr>
          <w:lang w:val="fr-CH"/>
        </w:rPr>
      </w:pPr>
      <w:r w:rsidRPr="00066C50">
        <w:rPr>
          <w:lang w:val="fr-CH"/>
        </w:rPr>
        <w:t>S</w:t>
      </w:r>
      <w:r w:rsidR="00322F95">
        <w:rPr>
          <w:lang w:val="fr-CH"/>
        </w:rPr>
        <w:t>’</w:t>
      </w:r>
      <w:r w:rsidRPr="00066C50">
        <w:rPr>
          <w:lang w:val="fr-CH"/>
        </w:rPr>
        <w:t xml:space="preserve">agissant des dates de la prochaine session, </w:t>
      </w:r>
      <w:r w:rsidR="001148F0" w:rsidRPr="00066C50">
        <w:rPr>
          <w:lang w:val="fr-CH"/>
        </w:rPr>
        <w:t xml:space="preserve">le </w:t>
      </w:r>
      <w:r w:rsidRPr="00066C50">
        <w:rPr>
          <w:lang w:val="fr-CH"/>
        </w:rPr>
        <w:t>Sous-Comité a noté que le 6</w:t>
      </w:r>
      <w:r w:rsidR="008A1832">
        <w:rPr>
          <w:lang w:val="fr-CH"/>
        </w:rPr>
        <w:t> </w:t>
      </w:r>
      <w:r w:rsidRPr="00066C50">
        <w:rPr>
          <w:lang w:val="fr-CH"/>
        </w:rPr>
        <w:t>juillet 2016 serait un jour férié (Aïd al-</w:t>
      </w:r>
      <w:proofErr w:type="spellStart"/>
      <w:r w:rsidRPr="00066C50">
        <w:rPr>
          <w:lang w:val="fr-CH"/>
        </w:rPr>
        <w:t>Fitr</w:t>
      </w:r>
      <w:proofErr w:type="spellEnd"/>
      <w:r w:rsidRPr="00066C50">
        <w:rPr>
          <w:lang w:val="fr-CH"/>
        </w:rPr>
        <w:t>) à l</w:t>
      </w:r>
      <w:r w:rsidR="00322F95">
        <w:rPr>
          <w:lang w:val="fr-CH"/>
        </w:rPr>
        <w:t>’</w:t>
      </w:r>
      <w:r w:rsidRPr="00066C50">
        <w:rPr>
          <w:lang w:val="fr-CH"/>
        </w:rPr>
        <w:t>ONU, ce qui signifiait qu</w:t>
      </w:r>
      <w:r w:rsidR="00322F95">
        <w:rPr>
          <w:lang w:val="fr-CH"/>
        </w:rPr>
        <w:t>’</w:t>
      </w:r>
      <w:r w:rsidRPr="00066C50">
        <w:rPr>
          <w:lang w:val="fr-CH"/>
        </w:rPr>
        <w:t>aucun service de secrétariat ne serait disponible. Compte tenu du fait que la session conjointe avait été prévue ce jour-là, le Sous-Comité a convenu avec le Sous-Comité TMD que la meilleure solution consisterait à tenir la session conjointe le mardi 5</w:t>
      </w:r>
      <w:r w:rsidR="008A1832">
        <w:rPr>
          <w:lang w:val="fr-CH"/>
        </w:rPr>
        <w:t> </w:t>
      </w:r>
      <w:r w:rsidRPr="00066C50">
        <w:rPr>
          <w:lang w:val="fr-CH"/>
        </w:rPr>
        <w:t xml:space="preserve">juillet. Comme des salles de réunion pourraient être mises à disposition pour des réunions informelles sans interprétation, le Sous-Comité a décidé que les groupes informels se réuniraient </w:t>
      </w:r>
      <w:r w:rsidR="00B8167C">
        <w:rPr>
          <w:lang w:val="fr-CH"/>
        </w:rPr>
        <w:t>ce</w:t>
      </w:r>
      <w:r w:rsidRPr="00066C50">
        <w:rPr>
          <w:lang w:val="fr-CH"/>
        </w:rPr>
        <w:t xml:space="preserve"> jour-là. Le secrétariat communiquerait davantage de détails ultérieurement.</w:t>
      </w: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Le Sous-Comité a noté que les dates limite de soumission des documents pour la session de juillet 2016 étaient les suivant</w:t>
      </w:r>
      <w:r w:rsidR="00CA042E">
        <w:rPr>
          <w:lang w:val="fr-CH"/>
        </w:rPr>
        <w:t>e</w:t>
      </w:r>
      <w:r w:rsidRPr="00066C50">
        <w:rPr>
          <w:lang w:val="fr-CH"/>
        </w:rPr>
        <w:t>s</w:t>
      </w:r>
      <w:r w:rsidR="00790D3B">
        <w:rPr>
          <w:lang w:val="fr-CH"/>
        </w:rPr>
        <w:t> </w:t>
      </w:r>
      <w:r w:rsidRPr="00066C50">
        <w:rPr>
          <w:lang w:val="fr-CH"/>
        </w:rPr>
        <w:t>:</w:t>
      </w:r>
    </w:p>
    <w:p w:rsidR="00066C50" w:rsidRPr="00066C50" w:rsidRDefault="00790D3B" w:rsidP="00790D3B">
      <w:pPr>
        <w:pStyle w:val="Bullet1"/>
        <w:rPr>
          <w:lang w:val="fr-CH"/>
        </w:rPr>
      </w:pPr>
      <w:r w:rsidRPr="00066C50">
        <w:rPr>
          <w:lang w:val="fr-CH"/>
        </w:rPr>
        <w:t xml:space="preserve">Pour </w:t>
      </w:r>
      <w:r w:rsidR="00066C50" w:rsidRPr="00066C50">
        <w:rPr>
          <w:lang w:val="fr-CH"/>
        </w:rPr>
        <w:t>les documents soumis à l</w:t>
      </w:r>
      <w:r w:rsidR="00322F95">
        <w:rPr>
          <w:lang w:val="fr-CH"/>
        </w:rPr>
        <w:t>’</w:t>
      </w:r>
      <w:r w:rsidR="00066C50" w:rsidRPr="00066C50">
        <w:rPr>
          <w:lang w:val="fr-CH"/>
        </w:rPr>
        <w:t>examen de</w:t>
      </w:r>
      <w:r>
        <w:rPr>
          <w:lang w:val="fr-CH"/>
        </w:rPr>
        <w:t xml:space="preserve"> la deuxième session conjointe </w:t>
      </w:r>
      <w:r w:rsidR="00066C50" w:rsidRPr="00066C50">
        <w:rPr>
          <w:lang w:val="fr-CH"/>
        </w:rPr>
        <w:t>TMD-SGH</w:t>
      </w:r>
      <w:r>
        <w:rPr>
          <w:lang w:val="fr-CH"/>
        </w:rPr>
        <w:t> </w:t>
      </w:r>
      <w:r w:rsidR="00066C50" w:rsidRPr="00066C50">
        <w:rPr>
          <w:lang w:val="fr-CH"/>
        </w:rPr>
        <w:t>: le 1</w:t>
      </w:r>
      <w:r w:rsidR="00066C50" w:rsidRPr="00066C50">
        <w:rPr>
          <w:vertAlign w:val="superscript"/>
          <w:lang w:val="fr-CH"/>
        </w:rPr>
        <w:t>er</w:t>
      </w:r>
      <w:r>
        <w:rPr>
          <w:lang w:val="fr-CH"/>
        </w:rPr>
        <w:t> </w:t>
      </w:r>
      <w:r w:rsidR="00066C50" w:rsidRPr="00066C50">
        <w:rPr>
          <w:lang w:val="fr-CH"/>
        </w:rPr>
        <w:t>avril 2016</w:t>
      </w:r>
      <w:r>
        <w:rPr>
          <w:lang w:val="fr-CH"/>
        </w:rPr>
        <w:t>;</w:t>
      </w:r>
    </w:p>
    <w:p w:rsidR="00066C50" w:rsidRPr="00066C50" w:rsidRDefault="00790D3B" w:rsidP="00790D3B">
      <w:pPr>
        <w:pStyle w:val="Bullet1"/>
        <w:rPr>
          <w:lang w:val="fr-CH"/>
        </w:rPr>
      </w:pPr>
      <w:r w:rsidRPr="00066C50">
        <w:rPr>
          <w:lang w:val="fr-CH"/>
        </w:rPr>
        <w:t xml:space="preserve">Pour </w:t>
      </w:r>
      <w:r w:rsidR="00066C50" w:rsidRPr="00066C50">
        <w:rPr>
          <w:lang w:val="fr-CH"/>
        </w:rPr>
        <w:t>les documents soumis à l</w:t>
      </w:r>
      <w:r w:rsidR="00322F95">
        <w:rPr>
          <w:lang w:val="fr-CH"/>
        </w:rPr>
        <w:t>’</w:t>
      </w:r>
      <w:r w:rsidR="00066C50" w:rsidRPr="00066C50">
        <w:rPr>
          <w:lang w:val="fr-CH"/>
        </w:rPr>
        <w:t>examen de la trente et unième session du Sous-Comité SGH</w:t>
      </w:r>
      <w:r>
        <w:rPr>
          <w:lang w:val="fr-CH"/>
        </w:rPr>
        <w:t> </w:t>
      </w:r>
      <w:r w:rsidR="00066C50" w:rsidRPr="00066C50">
        <w:rPr>
          <w:lang w:val="fr-CH"/>
        </w:rPr>
        <w:t>: le 12</w:t>
      </w:r>
      <w:r>
        <w:rPr>
          <w:lang w:val="fr-CH"/>
        </w:rPr>
        <w:t> </w:t>
      </w:r>
      <w:r w:rsidR="00066C50" w:rsidRPr="00066C50">
        <w:rPr>
          <w:lang w:val="fr-CH"/>
        </w:rPr>
        <w:t>avril 2016</w:t>
      </w:r>
      <w:r>
        <w:rPr>
          <w:lang w:val="fr-CH"/>
        </w:rPr>
        <w:t>.</w:t>
      </w:r>
    </w:p>
    <w:p w:rsidR="00DA05AF" w:rsidRPr="00DA05AF" w:rsidRDefault="00DA05AF" w:rsidP="00DA05AF">
      <w:pPr>
        <w:pStyle w:val="SingleTxt"/>
        <w:spacing w:after="0" w:line="120" w:lineRule="exact"/>
        <w:rPr>
          <w:b/>
          <w:sz w:val="10"/>
          <w:lang w:val="fr-CH"/>
        </w:rPr>
      </w:pPr>
    </w:p>
    <w:p w:rsidR="00DA05AF" w:rsidRPr="00DA05AF" w:rsidRDefault="00DA05AF" w:rsidP="00DA05AF">
      <w:pPr>
        <w:pStyle w:val="SingleTxt"/>
        <w:spacing w:after="0" w:line="120" w:lineRule="exact"/>
        <w:rPr>
          <w:b/>
          <w:sz w:val="10"/>
          <w:lang w:val="fr-CH"/>
        </w:rPr>
      </w:pP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X.</w:t>
      </w:r>
      <w:r w:rsidRPr="00066C50">
        <w:rPr>
          <w:lang w:val="fr-CH"/>
        </w:rPr>
        <w:tab/>
        <w:t>Adoption du rapport (point 9 de l</w:t>
      </w:r>
      <w:r w:rsidR="00322F95">
        <w:rPr>
          <w:lang w:val="fr-CH"/>
        </w:rPr>
        <w:t>’</w:t>
      </w:r>
      <w:r w:rsidRPr="00066C50">
        <w:rPr>
          <w:lang w:val="fr-CH"/>
        </w:rPr>
        <w:t>ordre du jour)</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066C50" w:rsidP="00322F95">
      <w:pPr>
        <w:pStyle w:val="SingleTxt"/>
        <w:numPr>
          <w:ilvl w:val="0"/>
          <w:numId w:val="8"/>
        </w:numPr>
        <w:tabs>
          <w:tab w:val="clear" w:pos="475"/>
          <w:tab w:val="num" w:pos="1742"/>
        </w:tabs>
        <w:ind w:left="1267"/>
        <w:rPr>
          <w:lang w:val="fr-CH"/>
        </w:rPr>
      </w:pPr>
      <w:r w:rsidRPr="00066C50">
        <w:rPr>
          <w:lang w:val="fr-CH"/>
        </w:rPr>
        <w:t>Conformément à la pratique établie, le Sous-Comité a adopté le rapport de sa trentième session sur la base d</w:t>
      </w:r>
      <w:r w:rsidR="00322F95">
        <w:rPr>
          <w:lang w:val="fr-CH"/>
        </w:rPr>
        <w:t>’</w:t>
      </w:r>
      <w:r w:rsidRPr="00066C50">
        <w:rPr>
          <w:lang w:val="fr-CH"/>
        </w:rPr>
        <w:t xml:space="preserve">un projet établi par le secrétariat. </w:t>
      </w:r>
    </w:p>
    <w:p w:rsidR="00DA05AF" w:rsidRDefault="00DA05AF">
      <w:pPr>
        <w:spacing w:line="240" w:lineRule="auto"/>
        <w:rPr>
          <w:lang w:val="fr-CH"/>
        </w:rPr>
      </w:pPr>
      <w:r>
        <w:rPr>
          <w:lang w:val="fr-CH"/>
        </w:rPr>
        <w:br w:type="page"/>
      </w: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Annexe I</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Default="00066C50" w:rsidP="00DA05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Projets d</w:t>
      </w:r>
      <w:r w:rsidR="00322F95">
        <w:rPr>
          <w:lang w:val="fr-CH"/>
        </w:rPr>
        <w:t>’</w:t>
      </w:r>
      <w:r w:rsidRPr="00066C50">
        <w:rPr>
          <w:lang w:val="fr-CH"/>
        </w:rPr>
        <w:t>amendements à la sixième édition révisée du SGH (ST/SG/AC.10/30/Rev.6)</w:t>
      </w:r>
    </w:p>
    <w:p w:rsidR="00DA05AF" w:rsidRPr="00DA05AF" w:rsidRDefault="00DA05AF" w:rsidP="00DA05AF">
      <w:pPr>
        <w:pStyle w:val="SingleTxt"/>
        <w:spacing w:after="0" w:line="120" w:lineRule="exact"/>
        <w:rPr>
          <w:sz w:val="10"/>
          <w:lang w:val="fr-CH"/>
        </w:rPr>
      </w:pPr>
    </w:p>
    <w:p w:rsidR="00DA05AF" w:rsidRPr="00DA05AF" w:rsidRDefault="00DA05AF" w:rsidP="00DA05AF">
      <w:pPr>
        <w:pStyle w:val="SingleTxt"/>
        <w:spacing w:after="0" w:line="120" w:lineRule="exact"/>
        <w:rPr>
          <w:sz w:val="10"/>
          <w:lang w:val="fr-CH"/>
        </w:rPr>
      </w:pPr>
    </w:p>
    <w:p w:rsidR="00066C50" w:rsidRPr="00066C50" w:rsidRDefault="008A6CA0" w:rsidP="008A6CA0">
      <w:pPr>
        <w:pStyle w:val="SingleTxt"/>
        <w:rPr>
          <w:lang w:val="fr-CH"/>
        </w:rPr>
      </w:pPr>
      <w:r>
        <w:rPr>
          <w:lang w:val="fr-CH"/>
        </w:rPr>
        <w:tab/>
      </w:r>
      <w:r w:rsidR="00066C50" w:rsidRPr="00066C50">
        <w:rPr>
          <w:lang w:val="fr-CH"/>
        </w:rPr>
        <w:t>Les amendements figurant dans l</w:t>
      </w:r>
      <w:r w:rsidR="00322F95">
        <w:rPr>
          <w:lang w:val="fr-CH"/>
        </w:rPr>
        <w:t>’</w:t>
      </w:r>
      <w:r w:rsidR="00066C50" w:rsidRPr="00066C50">
        <w:rPr>
          <w:lang w:val="fr-CH"/>
        </w:rPr>
        <w:t>annexe du rapport du Sous-Comité sur sa vingt-neuvième session (ST/SG/AC.10/C.4/58) sont retirés et remplacés par les amendements suivants</w:t>
      </w:r>
      <w:r>
        <w:rPr>
          <w:lang w:val="fr-CH"/>
        </w:rPr>
        <w:t> </w:t>
      </w:r>
      <w:r w:rsidR="00066C50" w:rsidRPr="00066C50">
        <w:rPr>
          <w:lang w:val="fr-CH"/>
        </w:rPr>
        <w:t>:</w:t>
      </w:r>
    </w:p>
    <w:p w:rsidR="00DA05AF" w:rsidRPr="00DA05AF" w:rsidRDefault="00DA05AF" w:rsidP="00DA05AF">
      <w:pPr>
        <w:pStyle w:val="SingleTxt"/>
        <w:spacing w:after="0" w:line="120" w:lineRule="exact"/>
        <w:rPr>
          <w:b/>
          <w:sz w:val="10"/>
          <w:lang w:val="fr-CH"/>
        </w:rPr>
      </w:pPr>
    </w:p>
    <w:p w:rsidR="00066C50" w:rsidRDefault="00066C50" w:rsidP="00DA05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Annexe 3, section 2, tableau A3.2.5</w:t>
      </w:r>
    </w:p>
    <w:p w:rsidR="00DA05AF" w:rsidRPr="00DA05AF" w:rsidRDefault="00DA05AF" w:rsidP="00DA05AF">
      <w:pPr>
        <w:pStyle w:val="SingleTxt"/>
        <w:spacing w:after="0" w:line="120" w:lineRule="exact"/>
        <w:rPr>
          <w:sz w:val="10"/>
          <w:lang w:val="fr-CH"/>
        </w:rPr>
      </w:pPr>
    </w:p>
    <w:p w:rsidR="00066C50" w:rsidRDefault="00066C50" w:rsidP="008A6CA0">
      <w:pPr>
        <w:pStyle w:val="SingleTxt"/>
        <w:rPr>
          <w:lang w:val="fr-CH"/>
        </w:rPr>
      </w:pPr>
      <w:r w:rsidRPr="00066C50">
        <w:rPr>
          <w:lang w:val="fr-CH"/>
        </w:rPr>
        <w:t>Ajouter une nouvelle rubrique P503 ainsi conçue</w:t>
      </w:r>
      <w:r w:rsidR="008A6CA0">
        <w:rPr>
          <w:lang w:val="fr-CH"/>
        </w:rPr>
        <w:t> </w:t>
      </w:r>
      <w:r w:rsidRPr="00066C50">
        <w:rPr>
          <w:lang w:val="fr-CH"/>
        </w:rPr>
        <w:t>:</w:t>
      </w:r>
    </w:p>
    <w:tbl>
      <w:tblPr>
        <w:tblStyle w:val="TableGrid"/>
        <w:tblW w:w="10035" w:type="dxa"/>
        <w:tblInd w:w="5" w:type="dxa"/>
        <w:tblLook w:val="04A0" w:firstRow="1" w:lastRow="0" w:firstColumn="1" w:lastColumn="0" w:noHBand="0" w:noVBand="1"/>
      </w:tblPr>
      <w:tblGrid>
        <w:gridCol w:w="567"/>
        <w:gridCol w:w="2583"/>
        <w:gridCol w:w="1080"/>
        <w:gridCol w:w="1746"/>
        <w:gridCol w:w="4059"/>
      </w:tblGrid>
      <w:tr w:rsidR="008A6CA0" w:rsidRPr="008A6CA0" w:rsidTr="000F667A">
        <w:tc>
          <w:tcPr>
            <w:tcW w:w="567"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before="40" w:after="120" w:line="200" w:lineRule="exact"/>
              <w:ind w:left="29" w:right="29"/>
              <w:jc w:val="center"/>
              <w:rPr>
                <w:b/>
                <w:sz w:val="18"/>
                <w:szCs w:val="18"/>
                <w:lang w:val="fr-FR"/>
              </w:rPr>
            </w:pPr>
            <w:r w:rsidRPr="008A6CA0">
              <w:rPr>
                <w:b/>
                <w:sz w:val="18"/>
                <w:szCs w:val="18"/>
                <w:lang w:val="fr-FR"/>
              </w:rPr>
              <w:t>Code</w:t>
            </w:r>
            <w:r>
              <w:rPr>
                <w:b/>
                <w:sz w:val="18"/>
                <w:szCs w:val="18"/>
                <w:lang w:val="fr-FR"/>
              </w:rPr>
              <w:br/>
            </w:r>
            <w:r w:rsidRPr="008A6CA0">
              <w:rPr>
                <w:b/>
                <w:sz w:val="18"/>
                <w:szCs w:val="18"/>
                <w:lang w:val="fr-FR"/>
              </w:rPr>
              <w:t>(1)</w:t>
            </w:r>
          </w:p>
        </w:tc>
        <w:tc>
          <w:tcPr>
            <w:tcW w:w="2583"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before="40" w:after="120" w:line="200" w:lineRule="exact"/>
              <w:ind w:left="29" w:right="29"/>
              <w:jc w:val="center"/>
              <w:rPr>
                <w:b/>
                <w:sz w:val="18"/>
                <w:szCs w:val="18"/>
                <w:lang w:val="fr-FR"/>
              </w:rPr>
            </w:pPr>
            <w:r w:rsidRPr="008A6CA0">
              <w:rPr>
                <w:b/>
                <w:sz w:val="18"/>
                <w:szCs w:val="18"/>
                <w:lang w:val="fr-FR"/>
              </w:rPr>
              <w:t xml:space="preserve">Conseils de prudence concernant </w:t>
            </w:r>
            <w:r w:rsidRPr="008A6CA0">
              <w:rPr>
                <w:b/>
                <w:sz w:val="18"/>
                <w:szCs w:val="18"/>
                <w:lang w:val="fr-FR"/>
              </w:rPr>
              <w:br/>
              <w:t>l’élimination (2)</w:t>
            </w:r>
          </w:p>
        </w:tc>
        <w:tc>
          <w:tcPr>
            <w:tcW w:w="1080"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before="40" w:after="120" w:line="200" w:lineRule="exact"/>
              <w:ind w:left="29" w:right="29"/>
              <w:jc w:val="center"/>
              <w:rPr>
                <w:b/>
                <w:sz w:val="18"/>
                <w:szCs w:val="18"/>
                <w:lang w:val="fr-FR"/>
              </w:rPr>
            </w:pPr>
            <w:r w:rsidRPr="008A6CA0">
              <w:rPr>
                <w:b/>
                <w:sz w:val="18"/>
                <w:szCs w:val="18"/>
                <w:lang w:val="fr-FR"/>
              </w:rPr>
              <w:t xml:space="preserve">Classe </w:t>
            </w:r>
            <w:r>
              <w:rPr>
                <w:b/>
                <w:sz w:val="18"/>
                <w:szCs w:val="18"/>
                <w:lang w:val="fr-FR"/>
              </w:rPr>
              <w:br/>
            </w:r>
            <w:r w:rsidRPr="008A6CA0">
              <w:rPr>
                <w:b/>
                <w:sz w:val="18"/>
                <w:szCs w:val="18"/>
                <w:lang w:val="fr-FR"/>
              </w:rPr>
              <w:t>de danger</w:t>
            </w:r>
            <w:r>
              <w:rPr>
                <w:b/>
                <w:sz w:val="18"/>
                <w:szCs w:val="18"/>
                <w:lang w:val="fr-FR"/>
              </w:rPr>
              <w:t xml:space="preserve"> </w:t>
            </w:r>
            <w:r>
              <w:rPr>
                <w:b/>
                <w:sz w:val="18"/>
                <w:szCs w:val="18"/>
                <w:lang w:val="fr-FR"/>
              </w:rPr>
              <w:br/>
            </w:r>
            <w:r w:rsidRPr="008A6CA0">
              <w:rPr>
                <w:b/>
                <w:sz w:val="18"/>
                <w:szCs w:val="18"/>
                <w:lang w:val="fr-FR"/>
              </w:rPr>
              <w:t>(3)</w:t>
            </w:r>
          </w:p>
        </w:tc>
        <w:tc>
          <w:tcPr>
            <w:tcW w:w="1746"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before="40" w:after="120" w:line="200" w:lineRule="exact"/>
              <w:ind w:left="29" w:right="29"/>
              <w:jc w:val="center"/>
              <w:rPr>
                <w:b/>
                <w:sz w:val="18"/>
                <w:szCs w:val="18"/>
                <w:lang w:val="fr-FR"/>
              </w:rPr>
            </w:pPr>
            <w:proofErr w:type="spellStart"/>
            <w:r w:rsidRPr="008A6CA0">
              <w:rPr>
                <w:b/>
                <w:sz w:val="18"/>
                <w:szCs w:val="18"/>
                <w:lang w:val="en-GB"/>
              </w:rPr>
              <w:t>Catégorie</w:t>
            </w:r>
            <w:proofErr w:type="spellEnd"/>
            <w:r w:rsidRPr="008A6CA0">
              <w:rPr>
                <w:b/>
                <w:sz w:val="18"/>
                <w:szCs w:val="18"/>
                <w:lang w:val="en-GB"/>
              </w:rPr>
              <w:t xml:space="preserve"> </w:t>
            </w:r>
            <w:r>
              <w:rPr>
                <w:b/>
                <w:sz w:val="18"/>
                <w:szCs w:val="18"/>
                <w:lang w:val="en-GB"/>
              </w:rPr>
              <w:br/>
            </w:r>
            <w:r w:rsidRPr="008A6CA0">
              <w:rPr>
                <w:b/>
                <w:sz w:val="18"/>
                <w:szCs w:val="18"/>
                <w:lang w:val="en-GB"/>
              </w:rPr>
              <w:t>de danger</w:t>
            </w:r>
            <w:r>
              <w:rPr>
                <w:b/>
                <w:sz w:val="18"/>
                <w:szCs w:val="18"/>
                <w:lang w:val="en-GB"/>
              </w:rPr>
              <w:t xml:space="preserve"> </w:t>
            </w:r>
            <w:r>
              <w:rPr>
                <w:b/>
                <w:sz w:val="18"/>
                <w:szCs w:val="18"/>
                <w:lang w:val="en-GB"/>
              </w:rPr>
              <w:br/>
            </w:r>
            <w:r w:rsidRPr="008A6CA0">
              <w:rPr>
                <w:b/>
                <w:sz w:val="18"/>
                <w:szCs w:val="18"/>
                <w:lang w:val="fr-FR"/>
              </w:rPr>
              <w:t>(4)</w:t>
            </w:r>
          </w:p>
        </w:tc>
        <w:tc>
          <w:tcPr>
            <w:tcW w:w="4059"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before="40" w:after="120" w:line="200" w:lineRule="exact"/>
              <w:ind w:left="29" w:right="29"/>
              <w:jc w:val="center"/>
              <w:rPr>
                <w:b/>
                <w:sz w:val="18"/>
                <w:szCs w:val="18"/>
                <w:lang w:val="fr-FR"/>
              </w:rPr>
            </w:pPr>
            <w:r w:rsidRPr="008A6CA0">
              <w:rPr>
                <w:b/>
                <w:sz w:val="18"/>
                <w:szCs w:val="18"/>
                <w:lang w:val="fr-CH"/>
              </w:rPr>
              <w:t>Conditions relatives à l’utilisation</w:t>
            </w:r>
            <w:r>
              <w:rPr>
                <w:b/>
                <w:sz w:val="18"/>
                <w:szCs w:val="18"/>
                <w:lang w:val="fr-CH"/>
              </w:rPr>
              <w:t xml:space="preserve"> </w:t>
            </w:r>
            <w:r>
              <w:rPr>
                <w:b/>
                <w:sz w:val="18"/>
                <w:szCs w:val="18"/>
                <w:lang w:val="fr-CH"/>
              </w:rPr>
              <w:br/>
            </w:r>
            <w:r w:rsidRPr="008A6CA0">
              <w:rPr>
                <w:b/>
                <w:sz w:val="18"/>
                <w:szCs w:val="18"/>
                <w:lang w:val="fr-FR"/>
              </w:rPr>
              <w:t>(5)</w:t>
            </w:r>
          </w:p>
        </w:tc>
      </w:tr>
      <w:tr w:rsidR="008A6CA0" w:rsidRPr="008A6CA0" w:rsidTr="000F667A">
        <w:tc>
          <w:tcPr>
            <w:tcW w:w="567"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after="120" w:line="200" w:lineRule="exact"/>
              <w:ind w:left="14" w:right="14"/>
              <w:rPr>
                <w:sz w:val="18"/>
                <w:szCs w:val="18"/>
                <w:lang w:val="fr-FR"/>
              </w:rPr>
            </w:pPr>
            <w:r w:rsidRPr="008A6CA0">
              <w:rPr>
                <w:sz w:val="18"/>
                <w:szCs w:val="18"/>
                <w:lang w:val="fr-FR"/>
              </w:rPr>
              <w:t>P503</w:t>
            </w:r>
          </w:p>
        </w:tc>
        <w:tc>
          <w:tcPr>
            <w:tcW w:w="2583"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after="120" w:line="200" w:lineRule="exact"/>
              <w:ind w:left="14" w:right="14"/>
              <w:rPr>
                <w:b/>
                <w:sz w:val="18"/>
                <w:szCs w:val="18"/>
                <w:lang w:val="fr-FR"/>
              </w:rPr>
            </w:pPr>
            <w:r w:rsidRPr="008A6CA0">
              <w:rPr>
                <w:b/>
                <w:sz w:val="18"/>
                <w:szCs w:val="18"/>
                <w:lang w:val="fr-CH"/>
              </w:rPr>
              <w:t>Se reporter au fabricant/ fournisseur/…] pour des informations concernant l’élimination/la récupération/ le recyclage</w:t>
            </w:r>
          </w:p>
        </w:tc>
        <w:tc>
          <w:tcPr>
            <w:tcW w:w="1080" w:type="dxa"/>
            <w:tcBorders>
              <w:top w:val="single" w:sz="4" w:space="0" w:color="auto"/>
              <w:left w:val="single" w:sz="4" w:space="0" w:color="auto"/>
              <w:bottom w:val="single" w:sz="4" w:space="0" w:color="auto"/>
              <w:right w:val="single" w:sz="4" w:space="0" w:color="auto"/>
            </w:tcBorders>
            <w:hideMark/>
          </w:tcPr>
          <w:p w:rsidR="008A6CA0" w:rsidRPr="008A6CA0" w:rsidRDefault="008A6CA0" w:rsidP="007F687B">
            <w:pPr>
              <w:pStyle w:val="ListParagraph"/>
              <w:spacing w:after="120" w:line="200" w:lineRule="exact"/>
              <w:ind w:left="14" w:right="14"/>
              <w:rPr>
                <w:sz w:val="18"/>
                <w:szCs w:val="18"/>
                <w:lang w:val="fr-FR"/>
              </w:rPr>
            </w:pPr>
            <w:r w:rsidRPr="008A6CA0">
              <w:rPr>
                <w:sz w:val="18"/>
                <w:szCs w:val="18"/>
                <w:lang w:val="fr-CH"/>
              </w:rPr>
              <w:t xml:space="preserve">Matières </w:t>
            </w:r>
            <w:r w:rsidR="000F667A">
              <w:rPr>
                <w:sz w:val="18"/>
                <w:szCs w:val="18"/>
                <w:lang w:val="fr-CH"/>
              </w:rPr>
              <w:br/>
            </w:r>
            <w:r w:rsidRPr="008A6CA0">
              <w:rPr>
                <w:sz w:val="18"/>
                <w:szCs w:val="18"/>
                <w:lang w:val="fr-CH"/>
              </w:rPr>
              <w:t>et objets explosifs (chap.</w:t>
            </w:r>
            <w:r w:rsidR="007F687B">
              <w:rPr>
                <w:sz w:val="18"/>
                <w:szCs w:val="18"/>
                <w:lang w:val="fr-CH"/>
              </w:rPr>
              <w:t> </w:t>
            </w:r>
            <w:r w:rsidRPr="008A6CA0">
              <w:rPr>
                <w:sz w:val="18"/>
                <w:szCs w:val="18"/>
                <w:lang w:val="fr-CH"/>
              </w:rPr>
              <w:t>2.1)</w:t>
            </w:r>
          </w:p>
        </w:tc>
        <w:tc>
          <w:tcPr>
            <w:tcW w:w="1746" w:type="dxa"/>
            <w:tcBorders>
              <w:top w:val="single" w:sz="4" w:space="0" w:color="auto"/>
              <w:left w:val="single" w:sz="4" w:space="0" w:color="auto"/>
              <w:bottom w:val="single" w:sz="4" w:space="0" w:color="auto"/>
              <w:right w:val="single" w:sz="4" w:space="0" w:color="auto"/>
            </w:tcBorders>
            <w:hideMark/>
          </w:tcPr>
          <w:p w:rsidR="008A6CA0" w:rsidRPr="008A6CA0" w:rsidRDefault="008A6CA0" w:rsidP="008A6CA0">
            <w:pPr>
              <w:pStyle w:val="ListParagraph"/>
              <w:spacing w:after="120" w:line="200" w:lineRule="exact"/>
              <w:ind w:left="14" w:right="14"/>
              <w:rPr>
                <w:sz w:val="18"/>
                <w:szCs w:val="18"/>
                <w:lang w:val="fr-FR"/>
              </w:rPr>
            </w:pPr>
            <w:r w:rsidRPr="008A6CA0">
              <w:rPr>
                <w:sz w:val="18"/>
                <w:szCs w:val="18"/>
                <w:lang w:val="fr-CH"/>
              </w:rPr>
              <w:t xml:space="preserve">Explosifs instables </w:t>
            </w:r>
            <w:r w:rsidR="000F667A">
              <w:rPr>
                <w:sz w:val="18"/>
                <w:szCs w:val="18"/>
                <w:lang w:val="fr-CH"/>
              </w:rPr>
              <w:br/>
            </w:r>
            <w:r w:rsidRPr="008A6CA0">
              <w:rPr>
                <w:sz w:val="18"/>
                <w:szCs w:val="18"/>
                <w:lang w:val="fr-CH"/>
              </w:rPr>
              <w:t>et divisions 1.1, 1.2, 1.3, 1.4 et 1.5</w:t>
            </w:r>
          </w:p>
        </w:tc>
        <w:tc>
          <w:tcPr>
            <w:tcW w:w="4059" w:type="dxa"/>
            <w:tcBorders>
              <w:top w:val="single" w:sz="4" w:space="0" w:color="auto"/>
              <w:left w:val="single" w:sz="4" w:space="0" w:color="auto"/>
              <w:bottom w:val="single" w:sz="4" w:space="0" w:color="auto"/>
              <w:right w:val="single" w:sz="4" w:space="0" w:color="auto"/>
            </w:tcBorders>
            <w:hideMark/>
          </w:tcPr>
          <w:p w:rsidR="008A6CA0" w:rsidRPr="008A6CA0" w:rsidRDefault="008A6CA0" w:rsidP="00423B2F">
            <w:pPr>
              <w:pStyle w:val="SingleTxt"/>
              <w:spacing w:line="200" w:lineRule="exact"/>
              <w:ind w:left="14" w:right="14"/>
              <w:jc w:val="left"/>
              <w:rPr>
                <w:sz w:val="18"/>
                <w:szCs w:val="18"/>
                <w:lang w:val="fr-FR"/>
              </w:rPr>
            </w:pPr>
            <w:r w:rsidRPr="008A6CA0">
              <w:rPr>
                <w:sz w:val="18"/>
                <w:szCs w:val="18"/>
                <w:lang w:val="fr-CH"/>
              </w:rPr>
              <w:t>… Il revient au fabricant/fournisseur ou à l’autorité compétente de préciser la source appropriée d’information, conformément à la réglementation</w:t>
            </w:r>
            <w:r w:rsidR="00423B2F">
              <w:rPr>
                <w:sz w:val="18"/>
                <w:szCs w:val="18"/>
                <w:lang w:val="fr-CH"/>
              </w:rPr>
              <w:t xml:space="preserve"> </w:t>
            </w:r>
            <w:r w:rsidRPr="008A6CA0">
              <w:rPr>
                <w:sz w:val="18"/>
                <w:szCs w:val="18"/>
                <w:lang w:val="fr-CH"/>
              </w:rPr>
              <w:t>locale/régionale/nationale/internationale applicable.</w:t>
            </w:r>
          </w:p>
        </w:tc>
      </w:tr>
    </w:tbl>
    <w:p w:rsidR="008A6CA0" w:rsidRPr="00A53DDF" w:rsidRDefault="008A6CA0" w:rsidP="00A53DDF">
      <w:pPr>
        <w:pStyle w:val="SingleTxt"/>
        <w:spacing w:after="0" w:line="120" w:lineRule="exact"/>
        <w:rPr>
          <w:sz w:val="10"/>
          <w:lang w:val="fr-CH"/>
        </w:rPr>
      </w:pPr>
    </w:p>
    <w:p w:rsidR="00A53DDF" w:rsidRPr="00A53DDF" w:rsidRDefault="00A53DDF" w:rsidP="00A53DDF">
      <w:pPr>
        <w:pStyle w:val="SingleTxt"/>
        <w:spacing w:after="0" w:line="120" w:lineRule="exact"/>
        <w:rPr>
          <w:sz w:val="10"/>
          <w:lang w:val="fr-CH"/>
        </w:rPr>
      </w:pPr>
    </w:p>
    <w:p w:rsidR="00066C50" w:rsidRPr="00A53DDF" w:rsidRDefault="00066C50" w:rsidP="00A53DDF">
      <w:pPr>
        <w:pStyle w:val="SingleTxt"/>
        <w:rPr>
          <w:u w:val="single"/>
          <w:lang w:val="fr-CH"/>
        </w:rPr>
      </w:pPr>
      <w:r w:rsidRPr="00A53DDF">
        <w:rPr>
          <w:u w:val="single"/>
          <w:lang w:val="fr-CH"/>
        </w:rPr>
        <w:t xml:space="preserve">Amendement corollaire </w:t>
      </w:r>
    </w:p>
    <w:p w:rsidR="00066C50" w:rsidRPr="00066C50" w:rsidRDefault="00066C50" w:rsidP="00A53DDF">
      <w:pPr>
        <w:pStyle w:val="SingleTxt"/>
        <w:rPr>
          <w:lang w:val="fr-CH"/>
        </w:rPr>
      </w:pPr>
      <w:r w:rsidRPr="00066C50">
        <w:rPr>
          <w:lang w:val="fr-CH"/>
        </w:rPr>
        <w:t>Pour P501, supprimer la rubrique relative aux matières et objets explosifs dans les colonnes (3) et (4).</w:t>
      </w:r>
    </w:p>
    <w:p w:rsidR="004A673D" w:rsidRPr="004A673D" w:rsidRDefault="004A673D" w:rsidP="004A673D">
      <w:pPr>
        <w:pStyle w:val="SingleTxt"/>
        <w:spacing w:after="0" w:line="120" w:lineRule="exact"/>
        <w:rPr>
          <w:b/>
          <w:sz w:val="10"/>
          <w:lang w:val="fr-CH"/>
        </w:rPr>
      </w:pPr>
    </w:p>
    <w:p w:rsidR="00066C50" w:rsidRDefault="00066C50" w:rsidP="004A67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Annexe 3, section 3, tableaux A3.3.5</w:t>
      </w:r>
    </w:p>
    <w:p w:rsidR="004A673D" w:rsidRPr="004A673D" w:rsidRDefault="004A673D" w:rsidP="004A673D">
      <w:pPr>
        <w:pStyle w:val="SingleTxt"/>
        <w:spacing w:after="0" w:line="120" w:lineRule="exact"/>
        <w:rPr>
          <w:sz w:val="10"/>
          <w:lang w:val="fr-CH"/>
        </w:rPr>
      </w:pPr>
    </w:p>
    <w:p w:rsidR="00066C50" w:rsidRPr="00066C50" w:rsidRDefault="00066C50" w:rsidP="00A53DDF">
      <w:pPr>
        <w:pStyle w:val="SingleTxt"/>
        <w:rPr>
          <w:lang w:val="fr-CH"/>
        </w:rPr>
      </w:pPr>
      <w:r w:rsidRPr="00066C50">
        <w:rPr>
          <w:lang w:val="fr-CH"/>
        </w:rPr>
        <w:t>Dans les tableaux concernant les matières et objets explosifs (explosifs instables et divisions 1.1, 1.2, 1.3, 1.4, 1.5), remplacer le conseil de prudence P501 par le suivant</w:t>
      </w:r>
      <w:r w:rsidR="00A53DDF">
        <w:rPr>
          <w:lang w:val="fr-CH"/>
        </w:rPr>
        <w:t> </w:t>
      </w:r>
      <w:r w:rsidRPr="00066C50">
        <w:rPr>
          <w:lang w:val="fr-CH"/>
        </w:rPr>
        <w:t>:</w:t>
      </w:r>
    </w:p>
    <w:p w:rsidR="00066C50" w:rsidRPr="00066C50" w:rsidRDefault="00A53DDF" w:rsidP="00A53DDF">
      <w:pPr>
        <w:pStyle w:val="SingleTxt"/>
        <w:rPr>
          <w:lang w:val="fr-CH"/>
        </w:rPr>
      </w:pPr>
      <w:r>
        <w:rPr>
          <w:lang w:val="fr-CH"/>
        </w:rPr>
        <w:t>« </w:t>
      </w:r>
      <w:r w:rsidR="00066C50" w:rsidRPr="00066C50">
        <w:rPr>
          <w:lang w:val="fr-CH"/>
        </w:rPr>
        <w:t>P503</w:t>
      </w:r>
    </w:p>
    <w:p w:rsidR="00066C50" w:rsidRPr="00066C50" w:rsidRDefault="00066C50" w:rsidP="00A53DDF">
      <w:pPr>
        <w:pStyle w:val="SingleTxt"/>
        <w:rPr>
          <w:lang w:val="fr-CH"/>
        </w:rPr>
      </w:pPr>
      <w:r w:rsidRPr="00066C50">
        <w:rPr>
          <w:lang w:val="fr-CH"/>
        </w:rPr>
        <w:t>Se reporter au fabricant/fournisseur/… pour des informations concernant l</w:t>
      </w:r>
      <w:r w:rsidR="00322F95">
        <w:rPr>
          <w:lang w:val="fr-CH"/>
        </w:rPr>
        <w:t>’</w:t>
      </w:r>
      <w:r w:rsidRPr="00066C50">
        <w:rPr>
          <w:lang w:val="fr-CH"/>
        </w:rPr>
        <w:t>élimination/la récupération/le recyclage.</w:t>
      </w:r>
    </w:p>
    <w:p w:rsidR="00066C50" w:rsidRPr="00066C50" w:rsidRDefault="00066C50" w:rsidP="00A53DDF">
      <w:pPr>
        <w:pStyle w:val="SingleTxt"/>
        <w:rPr>
          <w:lang w:val="fr-CH"/>
        </w:rPr>
      </w:pPr>
      <w:r w:rsidRPr="00066C50">
        <w:rPr>
          <w:lang w:val="fr-CH"/>
        </w:rPr>
        <w:t>Il revient au fabricant/fournisseur ou à l</w:t>
      </w:r>
      <w:r w:rsidR="00322F95">
        <w:rPr>
          <w:lang w:val="fr-CH"/>
        </w:rPr>
        <w:t>’</w:t>
      </w:r>
      <w:r w:rsidRPr="00066C50">
        <w:rPr>
          <w:lang w:val="fr-CH"/>
        </w:rPr>
        <w:t>autorité compétente de préciser la source appropriée d</w:t>
      </w:r>
      <w:r w:rsidR="00322F95">
        <w:rPr>
          <w:lang w:val="fr-CH"/>
        </w:rPr>
        <w:t>’</w:t>
      </w:r>
      <w:r w:rsidRPr="00066C50">
        <w:rPr>
          <w:lang w:val="fr-CH"/>
        </w:rPr>
        <w:t>information, conformément à la réglementation locale/régionale/nationale/internationale applicable.</w:t>
      </w:r>
      <w:r w:rsidR="00A53DDF">
        <w:rPr>
          <w:lang w:val="fr-CH"/>
        </w:rPr>
        <w:t> »</w:t>
      </w:r>
      <w:r w:rsidRPr="00066C50">
        <w:rPr>
          <w:lang w:val="fr-CH"/>
        </w:rPr>
        <w:t>.</w:t>
      </w:r>
    </w:p>
    <w:p w:rsidR="00066C50" w:rsidRPr="00066C50" w:rsidRDefault="00066C50" w:rsidP="00A53DDF">
      <w:pPr>
        <w:pStyle w:val="SingleTxt"/>
        <w:rPr>
          <w:i/>
          <w:lang w:val="fr-CH"/>
        </w:rPr>
      </w:pPr>
      <w:r w:rsidRPr="00066C50">
        <w:rPr>
          <w:i/>
          <w:lang w:val="fr-CH"/>
        </w:rPr>
        <w:t>(Document de référence</w:t>
      </w:r>
      <w:r w:rsidR="00A53DDF">
        <w:rPr>
          <w:i/>
          <w:lang w:val="fr-CH"/>
        </w:rPr>
        <w:t> </w:t>
      </w:r>
      <w:r w:rsidRPr="00066C50">
        <w:rPr>
          <w:i/>
          <w:lang w:val="fr-CH"/>
        </w:rPr>
        <w:t>: ST/SG/AC.10/C.4/2015/9 tel que modifié par le document informel INF.28)</w:t>
      </w:r>
    </w:p>
    <w:p w:rsidR="00066C50" w:rsidRPr="00066C50" w:rsidRDefault="00066C50" w:rsidP="00066C50">
      <w:pPr>
        <w:pStyle w:val="SingleTxt"/>
        <w:rPr>
          <w:u w:val="single"/>
          <w:lang w:val="fr-CH"/>
        </w:rPr>
      </w:pPr>
      <w:r w:rsidRPr="00066C50">
        <w:rPr>
          <w:u w:val="single"/>
          <w:lang w:val="fr-CH"/>
        </w:rPr>
        <w:br w:type="page"/>
      </w:r>
    </w:p>
    <w:p w:rsidR="00066C50" w:rsidRDefault="00066C50" w:rsidP="004A67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Annexe II</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Default="00066C50" w:rsidP="004A67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r>
      <w:r w:rsidRPr="00066C50">
        <w:rPr>
          <w:lang w:val="fr-CH"/>
        </w:rPr>
        <w:tab/>
        <w:t>Rapport des Sous-Comités</w:t>
      </w:r>
      <w:r w:rsidR="00E67F85">
        <w:rPr>
          <w:lang w:val="fr-CH"/>
        </w:rPr>
        <w:t xml:space="preserve"> </w:t>
      </w:r>
      <w:r w:rsidRPr="00066C50">
        <w:rPr>
          <w:lang w:val="fr-CH"/>
        </w:rPr>
        <w:t>TMD et SGH sur leur première session conjointe</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D44203">
      <w:pPr>
        <w:pStyle w:val="SingleTxt"/>
        <w:rPr>
          <w:lang w:val="fr-CH"/>
        </w:rPr>
      </w:pPr>
      <w:r w:rsidRPr="00066C50">
        <w:rPr>
          <w:lang w:val="fr-CH"/>
        </w:rPr>
        <w:t>1.</w:t>
      </w:r>
      <w:r w:rsidRPr="00066C50">
        <w:rPr>
          <w:lang w:val="fr-CH"/>
        </w:rPr>
        <w:tab/>
        <w:t>Les Sous-Comités</w:t>
      </w:r>
      <w:r w:rsidR="00E67F85">
        <w:rPr>
          <w:lang w:val="fr-CH"/>
        </w:rPr>
        <w:t xml:space="preserve"> </w:t>
      </w:r>
      <w:r w:rsidRPr="00066C50">
        <w:rPr>
          <w:lang w:val="fr-CH"/>
        </w:rPr>
        <w:t>TMD et SGH ont tenu leur première session conjointe</w:t>
      </w:r>
      <w:r w:rsidR="00755551">
        <w:rPr>
          <w:rStyle w:val="FootnoteReference"/>
          <w:lang w:val="fr-CH"/>
        </w:rPr>
        <w:footnoteReference w:id="3"/>
      </w:r>
      <w:r w:rsidRPr="00066C50">
        <w:rPr>
          <w:lang w:val="fr-CH"/>
        </w:rPr>
        <w:t xml:space="preserve"> le 9</w:t>
      </w:r>
      <w:r w:rsidR="00D44203">
        <w:rPr>
          <w:lang w:val="fr-CH"/>
        </w:rPr>
        <w:t> </w:t>
      </w:r>
      <w:r w:rsidRPr="00066C50">
        <w:rPr>
          <w:lang w:val="fr-CH"/>
        </w:rPr>
        <w:t>décembre sous la présidence de M</w:t>
      </w:r>
      <w:r w:rsidRPr="00322F95">
        <w:rPr>
          <w:vertAlign w:val="superscript"/>
          <w:lang w:val="fr-CH"/>
        </w:rPr>
        <w:t>me</w:t>
      </w:r>
      <w:r w:rsidR="00322F95">
        <w:rPr>
          <w:vertAlign w:val="superscript"/>
          <w:lang w:val="fr-CH"/>
        </w:rPr>
        <w:t> </w:t>
      </w:r>
      <w:r w:rsidRPr="00066C50">
        <w:rPr>
          <w:lang w:val="fr-CH"/>
        </w:rPr>
        <w:t>Maureen Ruskin (Présidente du Sous-Comité SGH). Au cours de cette réunion conjointe, les sous-comités ont traité les points A à F ci-dessous.</w:t>
      </w:r>
    </w:p>
    <w:p w:rsidR="004A673D" w:rsidRPr="004A673D" w:rsidRDefault="004A673D" w:rsidP="004A673D">
      <w:pPr>
        <w:pStyle w:val="SingleTxt"/>
        <w:spacing w:after="0" w:line="120" w:lineRule="exact"/>
        <w:rPr>
          <w:b/>
          <w:sz w:val="10"/>
          <w:lang w:val="fr-CH"/>
        </w:rPr>
      </w:pPr>
    </w:p>
    <w:p w:rsidR="004A673D" w:rsidRPr="004A673D" w:rsidRDefault="004A673D" w:rsidP="004A673D">
      <w:pPr>
        <w:pStyle w:val="SingleTxt"/>
        <w:spacing w:after="0" w:line="120" w:lineRule="exact"/>
        <w:rPr>
          <w:b/>
          <w:sz w:val="10"/>
          <w:lang w:val="fr-CH"/>
        </w:rPr>
      </w:pPr>
    </w:p>
    <w:p w:rsidR="00066C50" w:rsidRDefault="00066C50" w:rsidP="004A67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A.</w:t>
      </w:r>
      <w:r w:rsidRPr="00066C50">
        <w:rPr>
          <w:lang w:val="fr-CH"/>
        </w:rPr>
        <w:tab/>
        <w:t>Utilisation du Manuel d</w:t>
      </w:r>
      <w:r w:rsidR="00322F95">
        <w:rPr>
          <w:lang w:val="fr-CH"/>
        </w:rPr>
        <w:t>’</w:t>
      </w:r>
      <w:r w:rsidRPr="00066C50">
        <w:rPr>
          <w:lang w:val="fr-CH"/>
        </w:rPr>
        <w:t xml:space="preserve">épreuves et de critères dans le contexte </w:t>
      </w:r>
      <w:r w:rsidR="004E63AF">
        <w:rPr>
          <w:lang w:val="fr-CH"/>
        </w:rPr>
        <w:br/>
      </w:r>
      <w:r w:rsidRPr="00066C50">
        <w:rPr>
          <w:lang w:val="fr-CH"/>
        </w:rPr>
        <w:t>du SGH</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4E63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w:t>
      </w:r>
      <w:r w:rsidR="004E63AF">
        <w:rPr>
          <w:i/>
          <w:lang w:val="fr-CH"/>
        </w:rPr>
        <w:t> </w:t>
      </w:r>
      <w:r w:rsidRPr="004E63AF">
        <w:rPr>
          <w:lang w:val="fr-CH"/>
        </w:rPr>
        <w:t>:</w:t>
      </w:r>
      <w:r w:rsidR="004E63AF">
        <w:rPr>
          <w:lang w:val="fr-CH"/>
        </w:rPr>
        <w:tab/>
      </w:r>
      <w:r w:rsidRPr="00066C50">
        <w:rPr>
          <w:lang w:val="fr-CH"/>
        </w:rPr>
        <w:t>ST/SG/AC.10/C.4/2015/10</w:t>
      </w:r>
      <w:r w:rsidR="00322F95">
        <w:rPr>
          <w:lang w:val="fr-CH"/>
        </w:rPr>
        <w:t xml:space="preserve"> </w:t>
      </w:r>
      <w:r w:rsidR="004E63AF">
        <w:rPr>
          <w:lang w:val="fr-CH"/>
        </w:rPr>
        <w:t>–</w:t>
      </w:r>
      <w:r w:rsidR="00322F95">
        <w:rPr>
          <w:lang w:val="fr-CH"/>
        </w:rPr>
        <w:t xml:space="preserve"> </w:t>
      </w:r>
      <w:r w:rsidRPr="00066C50">
        <w:rPr>
          <w:lang w:val="fr-CH"/>
        </w:rPr>
        <w:t xml:space="preserve">ST/SG/AC.10/C.3/2015/50 </w:t>
      </w:r>
      <w:r w:rsidR="004E63AF">
        <w:rPr>
          <w:lang w:val="fr-CH"/>
        </w:rPr>
        <w:t xml:space="preserve">(Président du </w:t>
      </w:r>
      <w:r w:rsidRPr="00066C50">
        <w:rPr>
          <w:lang w:val="fr-CH"/>
        </w:rPr>
        <w:t>Groupe de travail des explosifs)</w:t>
      </w:r>
      <w:r w:rsidR="007F687B">
        <w:rPr>
          <w:lang w:val="fr-CH"/>
        </w:rPr>
        <w:t>.</w:t>
      </w:r>
    </w:p>
    <w:p w:rsidR="00066C50" w:rsidRPr="00066C50" w:rsidRDefault="00066C50" w:rsidP="004E63A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4E63AF">
        <w:rPr>
          <w:i/>
          <w:lang w:val="fr-CH"/>
        </w:rPr>
        <w:t> </w:t>
      </w:r>
      <w:r w:rsidR="007F687B">
        <w:rPr>
          <w:lang w:val="fr-CH"/>
        </w:rPr>
        <w:t>:</w:t>
      </w:r>
      <w:r w:rsidRPr="00066C50">
        <w:rPr>
          <w:i/>
          <w:lang w:val="fr-CH"/>
        </w:rPr>
        <w:tab/>
      </w:r>
      <w:r w:rsidRPr="00066C50">
        <w:rPr>
          <w:lang w:val="fr-CH"/>
        </w:rPr>
        <w:t>GHS/INF.13 – TDG/INF.46 (Canada)</w:t>
      </w:r>
      <w:r w:rsidR="004E63AF" w:rsidRPr="00066C50">
        <w:rPr>
          <w:lang w:val="fr-CH"/>
        </w:rPr>
        <w:t xml:space="preserve"> </w:t>
      </w:r>
      <w:r w:rsidR="004E63AF">
        <w:rPr>
          <w:lang w:val="fr-CH"/>
        </w:rPr>
        <w:br/>
      </w:r>
      <w:r w:rsidRPr="00066C50">
        <w:rPr>
          <w:lang w:val="fr-CH"/>
        </w:rPr>
        <w:t>GHS/INF.14 – TDG/INF.47 (Canada)</w:t>
      </w:r>
      <w:r w:rsidR="004E63AF" w:rsidRPr="00066C50">
        <w:rPr>
          <w:lang w:val="fr-CH"/>
        </w:rPr>
        <w:t xml:space="preserve"> </w:t>
      </w:r>
      <w:r w:rsidR="004E63AF">
        <w:rPr>
          <w:lang w:val="fr-CH"/>
        </w:rPr>
        <w:br/>
      </w:r>
      <w:r w:rsidRPr="00066C50">
        <w:rPr>
          <w:lang w:val="fr-CH"/>
        </w:rPr>
        <w:t>GHS/INF.30, question 7 (Secrétariat)</w:t>
      </w:r>
      <w:r w:rsidR="007F687B">
        <w:rPr>
          <w:lang w:val="fr-CH"/>
        </w:rPr>
        <w:t>.</w:t>
      </w:r>
    </w:p>
    <w:p w:rsidR="00066C50" w:rsidRPr="00066C50" w:rsidRDefault="00066C50" w:rsidP="006A2E93">
      <w:pPr>
        <w:pStyle w:val="SingleTxt"/>
        <w:rPr>
          <w:lang w:val="fr-CH"/>
        </w:rPr>
      </w:pPr>
      <w:r w:rsidRPr="00066C50">
        <w:rPr>
          <w:lang w:val="fr-CH"/>
        </w:rPr>
        <w:t>2.</w:t>
      </w:r>
      <w:r w:rsidRPr="00066C50">
        <w:rPr>
          <w:lang w:val="fr-CH"/>
        </w:rPr>
        <w:tab/>
        <w:t>Les recommandations concernant la révision du Manuel proposées par le Groupe d</w:t>
      </w:r>
      <w:r w:rsidR="004E63AF">
        <w:rPr>
          <w:lang w:val="fr-CH"/>
        </w:rPr>
        <w:t>e travail des explosifs du Sous-</w:t>
      </w:r>
      <w:r w:rsidRPr="00066C50">
        <w:rPr>
          <w:lang w:val="fr-CH"/>
        </w:rPr>
        <w:t>Comité TDG ont été approuvées. Elles contiennent notamment les propositions énumérées à la question</w:t>
      </w:r>
      <w:r w:rsidR="004E63AF">
        <w:rPr>
          <w:lang w:val="fr-CH"/>
        </w:rPr>
        <w:t> </w:t>
      </w:r>
      <w:r w:rsidRPr="00066C50">
        <w:rPr>
          <w:lang w:val="fr-CH"/>
        </w:rPr>
        <w:t>7 du document INF.30 ainsi que celles formulées par le Canada dans les documents informels INF.13 et INF.14.</w:t>
      </w:r>
    </w:p>
    <w:p w:rsidR="00066C50" w:rsidRPr="00066C50" w:rsidRDefault="00066C50" w:rsidP="006A2E93">
      <w:pPr>
        <w:pStyle w:val="SingleTxt"/>
        <w:rPr>
          <w:lang w:val="fr-CH"/>
        </w:rPr>
      </w:pPr>
      <w:r w:rsidRPr="00066C50">
        <w:rPr>
          <w:lang w:val="fr-CH"/>
        </w:rPr>
        <w:t>3.</w:t>
      </w:r>
      <w:r w:rsidRPr="00066C50">
        <w:rPr>
          <w:lang w:val="fr-CH"/>
        </w:rPr>
        <w:tab/>
        <w:t>Les experts des deux sous-comités ont été invités à soumettre au Président du Groupe de travail des explosifs leurs observations concernant toutes les propositions déjà formulées, afin que le groupe puisse les prendre en considération lors de l</w:t>
      </w:r>
      <w:r w:rsidR="00322F95">
        <w:rPr>
          <w:lang w:val="fr-CH"/>
        </w:rPr>
        <w:t>’</w:t>
      </w:r>
      <w:r w:rsidRPr="00066C50">
        <w:rPr>
          <w:lang w:val="fr-CH"/>
        </w:rPr>
        <w:t xml:space="preserve">établissement de propositions révisées à soumettre aux deux sous-comités. Il a été relevé que le Groupe prévoyait de conclure ses travaux sur cette question avant la fin de la période biennale en cours. </w:t>
      </w:r>
    </w:p>
    <w:p w:rsidR="004A673D" w:rsidRPr="004A673D" w:rsidRDefault="004A673D" w:rsidP="004A673D">
      <w:pPr>
        <w:pStyle w:val="SingleTxt"/>
        <w:spacing w:after="0" w:line="120" w:lineRule="exact"/>
        <w:rPr>
          <w:b/>
          <w:sz w:val="10"/>
          <w:lang w:val="fr-CH"/>
        </w:rPr>
      </w:pPr>
    </w:p>
    <w:p w:rsidR="004A673D" w:rsidRPr="004A673D" w:rsidRDefault="004A673D" w:rsidP="004A673D">
      <w:pPr>
        <w:pStyle w:val="SingleTxt"/>
        <w:spacing w:after="0" w:line="120" w:lineRule="exact"/>
        <w:rPr>
          <w:b/>
          <w:sz w:val="10"/>
          <w:lang w:val="fr-CH"/>
        </w:rPr>
      </w:pPr>
    </w:p>
    <w:p w:rsidR="00066C50" w:rsidRDefault="00066C50" w:rsidP="004A67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B.</w:t>
      </w:r>
      <w:r w:rsidRPr="00066C50">
        <w:rPr>
          <w:lang w:val="fr-CH"/>
        </w:rPr>
        <w:tab/>
        <w:t>Classement et communication de dangers des gaz inflammables</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6A2E93">
        <w:rPr>
          <w:i/>
          <w:lang w:val="fr-CH"/>
        </w:rPr>
        <w:t> </w:t>
      </w:r>
      <w:r w:rsidRPr="006A2E93">
        <w:rPr>
          <w:lang w:val="fr-CH"/>
        </w:rPr>
        <w:t>:</w:t>
      </w:r>
      <w:r w:rsidRPr="00066C50">
        <w:rPr>
          <w:i/>
          <w:lang w:val="fr-CH"/>
        </w:rPr>
        <w:tab/>
      </w:r>
      <w:r w:rsidRPr="00066C50">
        <w:rPr>
          <w:lang w:val="fr-CH"/>
        </w:rPr>
        <w:t>GHS/INF.4 – TDG/INF.15 (Belgique, Japon)</w:t>
      </w:r>
      <w:r w:rsidR="006A2E93">
        <w:rPr>
          <w:lang w:val="fr-CH"/>
        </w:rPr>
        <w:t xml:space="preserve"> </w:t>
      </w:r>
      <w:r w:rsidR="006A2E93">
        <w:rPr>
          <w:lang w:val="fr-CH"/>
        </w:rPr>
        <w:br/>
      </w:r>
      <w:r w:rsidRPr="005B4B34">
        <w:rPr>
          <w:lang w:val="fr-CH"/>
        </w:rPr>
        <w:t>INF.7 (Belgique, Japon)</w:t>
      </w:r>
      <w:r w:rsidR="006A2E93" w:rsidRPr="005B4B34">
        <w:rPr>
          <w:lang w:val="fr-CH"/>
        </w:rPr>
        <w:t xml:space="preserve"> </w:t>
      </w:r>
      <w:r w:rsidR="006A2E93" w:rsidRPr="005B4B34">
        <w:rPr>
          <w:lang w:val="fr-CH"/>
        </w:rPr>
        <w:br/>
      </w:r>
      <w:r w:rsidRPr="005B4B34">
        <w:rPr>
          <w:lang w:val="fr-CH"/>
        </w:rPr>
        <w:t>GHS/INF.8 – TDG/INF.26 (Allemagne, CEFIC, EIGA)</w:t>
      </w:r>
      <w:r w:rsidR="006A2E93" w:rsidRPr="005B4B34">
        <w:rPr>
          <w:lang w:val="fr-CH"/>
        </w:rPr>
        <w:t xml:space="preserve"> </w:t>
      </w:r>
      <w:r w:rsidR="006A2E93" w:rsidRPr="005B4B34">
        <w:rPr>
          <w:lang w:val="fr-CH"/>
        </w:rPr>
        <w:br/>
      </w:r>
      <w:r w:rsidRPr="005B4B34">
        <w:rPr>
          <w:lang w:val="fr-CH"/>
        </w:rPr>
        <w:t>GHS/INF.12 – TDG/INF.43 (CEFIC)</w:t>
      </w:r>
      <w:r w:rsidR="006A2E93" w:rsidRPr="005B4B34">
        <w:rPr>
          <w:lang w:val="fr-CH"/>
        </w:rPr>
        <w:t xml:space="preserve"> </w:t>
      </w:r>
      <w:r w:rsidR="006A2E93" w:rsidRPr="005B4B34">
        <w:rPr>
          <w:lang w:val="fr-CH"/>
        </w:rPr>
        <w:br/>
      </w:r>
      <w:r w:rsidRPr="00066C50">
        <w:rPr>
          <w:lang w:val="fr-CH"/>
        </w:rPr>
        <w:t>GHS/INF.30, question 10 (Secrétariat)</w:t>
      </w:r>
      <w:r w:rsidR="007F687B">
        <w:rPr>
          <w:lang w:val="fr-CH"/>
        </w:rPr>
        <w:t>.</w:t>
      </w:r>
    </w:p>
    <w:p w:rsidR="00066C50" w:rsidRPr="005B4B34" w:rsidRDefault="00066C50" w:rsidP="005B4B34">
      <w:pPr>
        <w:pStyle w:val="SingleTxt"/>
        <w:rPr>
          <w:lang w:val="fr-CH"/>
        </w:rPr>
      </w:pPr>
      <w:r w:rsidRPr="005B4B34">
        <w:rPr>
          <w:lang w:val="fr-CH"/>
        </w:rPr>
        <w:t>4.</w:t>
      </w:r>
      <w:r w:rsidRPr="005B4B34">
        <w:rPr>
          <w:lang w:val="fr-CH"/>
        </w:rPr>
        <w:tab/>
        <w:t>Le soutien a été unanime en faveur des critères de l</w:t>
      </w:r>
      <w:r w:rsidR="00322F95" w:rsidRPr="005B4B34">
        <w:rPr>
          <w:lang w:val="fr-CH"/>
        </w:rPr>
        <w:t>’</w:t>
      </w:r>
      <w:r w:rsidRPr="005B4B34">
        <w:rPr>
          <w:lang w:val="fr-CH"/>
        </w:rPr>
        <w:t>option</w:t>
      </w:r>
      <w:r w:rsidR="006A2E93" w:rsidRPr="005B4B34">
        <w:rPr>
          <w:lang w:val="fr-CH"/>
        </w:rPr>
        <w:t> </w:t>
      </w:r>
      <w:r w:rsidRPr="005B4B34">
        <w:rPr>
          <w:lang w:val="fr-CH"/>
        </w:rPr>
        <w:t>3 du document INF.4 (permettant d</w:t>
      </w:r>
      <w:r w:rsidR="00322F95" w:rsidRPr="005B4B34">
        <w:rPr>
          <w:lang w:val="fr-CH"/>
        </w:rPr>
        <w:t>’</w:t>
      </w:r>
      <w:r w:rsidRPr="005B4B34">
        <w:rPr>
          <w:lang w:val="fr-CH"/>
        </w:rPr>
        <w:t>établir les sous-catégories</w:t>
      </w:r>
      <w:r w:rsidR="006A2E93" w:rsidRPr="005B4B34">
        <w:rPr>
          <w:lang w:val="fr-CH"/>
        </w:rPr>
        <w:t> </w:t>
      </w:r>
      <w:r w:rsidRPr="005B4B34">
        <w:rPr>
          <w:lang w:val="fr-CH"/>
        </w:rPr>
        <w:t>1A et 1B dans la catégorie</w:t>
      </w:r>
      <w:r w:rsidR="006A2E93" w:rsidRPr="005B4B34">
        <w:rPr>
          <w:lang w:val="fr-CH"/>
        </w:rPr>
        <w:t> </w:t>
      </w:r>
      <w:r w:rsidRPr="005B4B34">
        <w:rPr>
          <w:lang w:val="fr-CH"/>
        </w:rPr>
        <w:t>1 actuelle, la catégorie</w:t>
      </w:r>
      <w:r w:rsidR="006A2E93" w:rsidRPr="005B4B34">
        <w:rPr>
          <w:lang w:val="fr-CH"/>
        </w:rPr>
        <w:t> </w:t>
      </w:r>
      <w:r w:rsidRPr="005B4B34">
        <w:rPr>
          <w:lang w:val="fr-CH"/>
        </w:rPr>
        <w:t>1B concernant les gaz dont la limite inférieure d</w:t>
      </w:r>
      <w:r w:rsidR="00322F95" w:rsidRPr="005B4B34">
        <w:rPr>
          <w:lang w:val="fr-CH"/>
        </w:rPr>
        <w:t>’</w:t>
      </w:r>
      <w:r w:rsidRPr="005B4B34">
        <w:rPr>
          <w:lang w:val="fr-CH"/>
        </w:rPr>
        <w:t>inflammabilité est de plus de 6</w:t>
      </w:r>
      <w:r w:rsidR="006A2E93" w:rsidRPr="005B4B34">
        <w:rPr>
          <w:lang w:val="fr-CH"/>
        </w:rPr>
        <w:t> </w:t>
      </w:r>
      <w:r w:rsidRPr="005B4B34">
        <w:rPr>
          <w:lang w:val="fr-CH"/>
        </w:rPr>
        <w:t xml:space="preserve">% ou dont la vitesse de combustion est inférieure à 10 cm/s). </w:t>
      </w:r>
      <w:r w:rsidR="005B4B34" w:rsidRPr="005B4B34">
        <w:rPr>
          <w:lang w:val="fr-CH"/>
        </w:rPr>
        <w:t>Il a été noté que la nouvelle sous-catégorie 1B permettrait de classer les gaz et mélanges gazeux ayant une vitesse de combustion inférieure</w:t>
      </w:r>
      <w:r w:rsidR="005B4B34">
        <w:rPr>
          <w:lang w:val="fr-CH"/>
        </w:rPr>
        <w:t xml:space="preserve"> </w:t>
      </w:r>
      <w:r w:rsidR="005B4B34" w:rsidRPr="005B4B34">
        <w:rPr>
          <w:rStyle w:val="Strong"/>
          <w:b w:val="0"/>
          <w:bCs w:val="0"/>
          <w:lang w:val="fr-CH"/>
        </w:rPr>
        <w:t xml:space="preserve">que l’industrie de la réfrigération </w:t>
      </w:r>
      <w:r w:rsidR="005B4B34">
        <w:rPr>
          <w:rStyle w:val="Strong"/>
          <w:b w:val="0"/>
          <w:bCs w:val="0"/>
          <w:lang w:val="fr-CH"/>
        </w:rPr>
        <w:t xml:space="preserve">et des mousses de plastique met </w:t>
      </w:r>
      <w:r w:rsidR="005B4B34" w:rsidRPr="005B4B34">
        <w:rPr>
          <w:rStyle w:val="Strong"/>
          <w:b w:val="0"/>
          <w:bCs w:val="0"/>
          <w:lang w:val="fr-CH"/>
        </w:rPr>
        <w:t>au point</w:t>
      </w:r>
      <w:r w:rsidR="005B4B34" w:rsidRPr="005B4B34">
        <w:rPr>
          <w:lang w:val="fr-CH"/>
        </w:rPr>
        <w:t xml:space="preserve"> à la suite de l’élimination progressive des substances à fort potentiel de réchauffement de la planète</w:t>
      </w:r>
      <w:r w:rsidRPr="005B4B34">
        <w:rPr>
          <w:lang w:val="fr-CH"/>
        </w:rPr>
        <w:t>.</w:t>
      </w:r>
      <w:r w:rsidR="00E67F85" w:rsidRPr="005B4B34">
        <w:rPr>
          <w:lang w:val="fr-CH"/>
        </w:rPr>
        <w:t xml:space="preserve"> </w:t>
      </w:r>
      <w:r w:rsidRPr="005B4B34">
        <w:rPr>
          <w:lang w:val="fr-CH"/>
        </w:rPr>
        <w:t>Il a également été relevé que les critères de l</w:t>
      </w:r>
      <w:r w:rsidR="00322F95" w:rsidRPr="005B4B34">
        <w:rPr>
          <w:lang w:val="fr-CH"/>
        </w:rPr>
        <w:t>’</w:t>
      </w:r>
      <w:r w:rsidRPr="005B4B34">
        <w:rPr>
          <w:lang w:val="fr-CH"/>
        </w:rPr>
        <w:t>option</w:t>
      </w:r>
      <w:r w:rsidR="006A2E93" w:rsidRPr="005B4B34">
        <w:rPr>
          <w:lang w:val="fr-CH"/>
        </w:rPr>
        <w:t> </w:t>
      </w:r>
      <w:r w:rsidRPr="005B4B34">
        <w:rPr>
          <w:lang w:val="fr-CH"/>
        </w:rPr>
        <w:t>3 n</w:t>
      </w:r>
      <w:r w:rsidR="00322F95" w:rsidRPr="005B4B34">
        <w:rPr>
          <w:lang w:val="fr-CH"/>
        </w:rPr>
        <w:t>’</w:t>
      </w:r>
      <w:r w:rsidRPr="005B4B34">
        <w:rPr>
          <w:lang w:val="fr-CH"/>
        </w:rPr>
        <w:t>entraîneraient aucune modification dans le class</w:t>
      </w:r>
      <w:r w:rsidR="006A2E93" w:rsidRPr="005B4B34">
        <w:rPr>
          <w:lang w:val="fr-CH"/>
        </w:rPr>
        <w:t xml:space="preserve">ement à des fins de transport. </w:t>
      </w:r>
    </w:p>
    <w:p w:rsidR="00066C50" w:rsidRPr="00066C50" w:rsidRDefault="00066C50" w:rsidP="006A2E93">
      <w:pPr>
        <w:pStyle w:val="SingleTxt"/>
        <w:rPr>
          <w:lang w:val="fr-CH"/>
        </w:rPr>
      </w:pPr>
      <w:r w:rsidRPr="00066C50">
        <w:rPr>
          <w:lang w:val="fr-CH"/>
        </w:rPr>
        <w:t>5.</w:t>
      </w:r>
      <w:r w:rsidRPr="00066C50">
        <w:rPr>
          <w:lang w:val="fr-CH"/>
        </w:rPr>
        <w:tab/>
        <w:t>S</w:t>
      </w:r>
      <w:r w:rsidR="00322F95">
        <w:rPr>
          <w:lang w:val="fr-CH"/>
        </w:rPr>
        <w:t>’</w:t>
      </w:r>
      <w:r w:rsidRPr="00066C50">
        <w:rPr>
          <w:lang w:val="fr-CH"/>
        </w:rPr>
        <w:t>agissant des éléments de communication des dangers proposés dans le document INF.7, les participants n</w:t>
      </w:r>
      <w:r w:rsidR="00322F95">
        <w:rPr>
          <w:lang w:val="fr-CH"/>
        </w:rPr>
        <w:t>’</w:t>
      </w:r>
      <w:r w:rsidRPr="00066C50">
        <w:rPr>
          <w:lang w:val="fr-CH"/>
        </w:rPr>
        <w:t xml:space="preserve">ont pas appuyé la mention de danger proposée pour les </w:t>
      </w:r>
      <w:r w:rsidR="006A2E93">
        <w:rPr>
          <w:lang w:val="fr-CH"/>
        </w:rPr>
        <w:t>« </w:t>
      </w:r>
      <w:r w:rsidRPr="00066C50">
        <w:rPr>
          <w:lang w:val="fr-CH"/>
        </w:rPr>
        <w:t>gaz combustibles</w:t>
      </w:r>
      <w:r w:rsidR="006A2E93">
        <w:rPr>
          <w:lang w:val="fr-CH"/>
        </w:rPr>
        <w:t> »</w:t>
      </w:r>
      <w:r w:rsidRPr="00066C50">
        <w:rPr>
          <w:lang w:val="fr-CH"/>
        </w:rPr>
        <w:t xml:space="preserve"> de la catégorie</w:t>
      </w:r>
      <w:r w:rsidR="006A2E93">
        <w:rPr>
          <w:lang w:val="fr-CH"/>
        </w:rPr>
        <w:t> </w:t>
      </w:r>
      <w:r w:rsidRPr="00066C50">
        <w:rPr>
          <w:lang w:val="fr-CH"/>
        </w:rPr>
        <w:t>2 au motif qu</w:t>
      </w:r>
      <w:r w:rsidR="00322F95">
        <w:rPr>
          <w:lang w:val="fr-CH"/>
        </w:rPr>
        <w:t>’</w:t>
      </w:r>
      <w:r w:rsidRPr="00066C50">
        <w:rPr>
          <w:lang w:val="fr-CH"/>
        </w:rPr>
        <w:t>il s</w:t>
      </w:r>
      <w:r w:rsidR="00322F95">
        <w:rPr>
          <w:lang w:val="fr-CH"/>
        </w:rPr>
        <w:t>’</w:t>
      </w:r>
      <w:r w:rsidRPr="00066C50">
        <w:rPr>
          <w:lang w:val="fr-CH"/>
        </w:rPr>
        <w:t>agissait d</w:t>
      </w:r>
      <w:r w:rsidR="00322F95">
        <w:rPr>
          <w:lang w:val="fr-CH"/>
        </w:rPr>
        <w:t>’</w:t>
      </w:r>
      <w:r w:rsidRPr="00066C50">
        <w:rPr>
          <w:lang w:val="fr-CH"/>
        </w:rPr>
        <w:t>un terme tout à fait nouveau et mal défini. En outre, certains experts ont estimé que</w:t>
      </w:r>
      <w:r w:rsidR="00E67F85">
        <w:rPr>
          <w:lang w:val="fr-CH"/>
        </w:rPr>
        <w:t xml:space="preserve"> </w:t>
      </w:r>
      <w:r w:rsidRPr="00066C50">
        <w:rPr>
          <w:lang w:val="fr-CH"/>
        </w:rPr>
        <w:t>la mention d</w:t>
      </w:r>
      <w:r w:rsidR="00322F95">
        <w:rPr>
          <w:lang w:val="fr-CH"/>
        </w:rPr>
        <w:t>’</w:t>
      </w:r>
      <w:r w:rsidRPr="00066C50">
        <w:rPr>
          <w:lang w:val="fr-CH"/>
        </w:rPr>
        <w:t>avertissement et la mention de danger actuelles (avertissement/gaz inflammable) convenait à cette catégorie.</w:t>
      </w:r>
      <w:r w:rsidR="006A2E93">
        <w:rPr>
          <w:lang w:val="fr-CH"/>
        </w:rPr>
        <w:t xml:space="preserve"> En qui concerne les catégories </w:t>
      </w:r>
      <w:r w:rsidRPr="00066C50">
        <w:rPr>
          <w:lang w:val="fr-CH"/>
        </w:rPr>
        <w:t>1A et 1B, les avis étaient partagés et aucun accord n</w:t>
      </w:r>
      <w:r w:rsidR="00322F95">
        <w:rPr>
          <w:lang w:val="fr-CH"/>
        </w:rPr>
        <w:t>’</w:t>
      </w:r>
      <w:r w:rsidRPr="00066C50">
        <w:rPr>
          <w:lang w:val="fr-CH"/>
        </w:rPr>
        <w:t>a pu être dégagé ni sur la mention d</w:t>
      </w:r>
      <w:r w:rsidR="00322F95">
        <w:rPr>
          <w:lang w:val="fr-CH"/>
        </w:rPr>
        <w:t>’</w:t>
      </w:r>
      <w:r w:rsidRPr="00066C50">
        <w:rPr>
          <w:lang w:val="fr-CH"/>
        </w:rPr>
        <w:t>avertissement ni sur la mention de danger. Plusieurs experts ont estimé que la mention de danger pour la sous-catégorie</w:t>
      </w:r>
      <w:r w:rsidR="006A2E93">
        <w:rPr>
          <w:lang w:val="fr-CH"/>
        </w:rPr>
        <w:t> </w:t>
      </w:r>
      <w:r w:rsidRPr="00066C50">
        <w:rPr>
          <w:lang w:val="fr-CH"/>
        </w:rPr>
        <w:t>1B ne reflétait pas la réalité du danger et ils ont proposé d</w:t>
      </w:r>
      <w:r w:rsidR="00322F95">
        <w:rPr>
          <w:lang w:val="fr-CH"/>
        </w:rPr>
        <w:t>’</w:t>
      </w:r>
      <w:r w:rsidRPr="00066C50">
        <w:rPr>
          <w:lang w:val="fr-CH"/>
        </w:rPr>
        <w:t xml:space="preserve">utiliser plutôt la formule </w:t>
      </w:r>
      <w:r w:rsidR="006A2E93">
        <w:rPr>
          <w:lang w:val="fr-CH"/>
        </w:rPr>
        <w:t>« </w:t>
      </w:r>
      <w:r w:rsidRPr="00066C50">
        <w:rPr>
          <w:lang w:val="fr-CH"/>
        </w:rPr>
        <w:t>hautement inflammable</w:t>
      </w:r>
      <w:r w:rsidR="006A2E93">
        <w:rPr>
          <w:lang w:val="fr-CH"/>
        </w:rPr>
        <w:t> »</w:t>
      </w:r>
      <w:r w:rsidRPr="00066C50">
        <w:rPr>
          <w:lang w:val="fr-CH"/>
        </w:rPr>
        <w:t>. D</w:t>
      </w:r>
      <w:r w:rsidR="00322F95">
        <w:rPr>
          <w:lang w:val="fr-CH"/>
        </w:rPr>
        <w:t>’</w:t>
      </w:r>
      <w:r w:rsidRPr="00066C50">
        <w:rPr>
          <w:lang w:val="fr-CH"/>
        </w:rPr>
        <w:t>autres étaient d</w:t>
      </w:r>
      <w:r w:rsidR="00322F95">
        <w:rPr>
          <w:lang w:val="fr-CH"/>
        </w:rPr>
        <w:t>’</w:t>
      </w:r>
      <w:r w:rsidRPr="00066C50">
        <w:rPr>
          <w:lang w:val="fr-CH"/>
        </w:rPr>
        <w:t>avis que l</w:t>
      </w:r>
      <w:r w:rsidR="00322F95">
        <w:rPr>
          <w:lang w:val="fr-CH"/>
        </w:rPr>
        <w:t>’</w:t>
      </w:r>
      <w:r w:rsidRPr="00066C50">
        <w:rPr>
          <w:lang w:val="fr-CH"/>
        </w:rPr>
        <w:t xml:space="preserve">utilisation de la formule </w:t>
      </w:r>
      <w:r w:rsidR="006A2E93">
        <w:rPr>
          <w:lang w:val="fr-CH"/>
        </w:rPr>
        <w:t>« </w:t>
      </w:r>
      <w:r w:rsidRPr="00066C50">
        <w:rPr>
          <w:lang w:val="fr-CH"/>
        </w:rPr>
        <w:t>extrêmement inflammable</w:t>
      </w:r>
      <w:r w:rsidR="006A2E93">
        <w:rPr>
          <w:lang w:val="fr-CH"/>
        </w:rPr>
        <w:t> »</w:t>
      </w:r>
      <w:r w:rsidRPr="00066C50">
        <w:rPr>
          <w:lang w:val="fr-CH"/>
        </w:rPr>
        <w:t xml:space="preserve"> pour la catégorie</w:t>
      </w:r>
      <w:r w:rsidR="006A2E93">
        <w:rPr>
          <w:lang w:val="fr-CH"/>
        </w:rPr>
        <w:t> </w:t>
      </w:r>
      <w:r w:rsidRPr="00066C50">
        <w:rPr>
          <w:lang w:val="fr-CH"/>
        </w:rPr>
        <w:t xml:space="preserve">1A et </w:t>
      </w:r>
      <w:r w:rsidR="006A2E93">
        <w:rPr>
          <w:lang w:val="fr-CH"/>
        </w:rPr>
        <w:t>« </w:t>
      </w:r>
      <w:r w:rsidRPr="00066C50">
        <w:rPr>
          <w:lang w:val="fr-CH"/>
        </w:rPr>
        <w:t>hautement inflammable</w:t>
      </w:r>
      <w:r w:rsidR="006A2E93">
        <w:rPr>
          <w:lang w:val="fr-CH"/>
        </w:rPr>
        <w:t> »</w:t>
      </w:r>
      <w:r w:rsidRPr="00066C50">
        <w:rPr>
          <w:lang w:val="fr-CH"/>
        </w:rPr>
        <w:t xml:space="preserve"> pour la catégorie</w:t>
      </w:r>
      <w:r w:rsidR="006A2E93">
        <w:rPr>
          <w:lang w:val="fr-CH"/>
        </w:rPr>
        <w:t> </w:t>
      </w:r>
      <w:r w:rsidRPr="00066C50">
        <w:rPr>
          <w:lang w:val="fr-CH"/>
        </w:rPr>
        <w:t>1B ne reflétaient pas le fait que le danger est moindre dans le cas de la catégorie</w:t>
      </w:r>
      <w:r w:rsidR="006A2E93">
        <w:rPr>
          <w:lang w:val="fr-CH"/>
        </w:rPr>
        <w:t> </w:t>
      </w:r>
      <w:r w:rsidRPr="00066C50">
        <w:rPr>
          <w:lang w:val="fr-CH"/>
        </w:rPr>
        <w:t>1B. Enfin, certains experts ont estimé que l</w:t>
      </w:r>
      <w:r w:rsidR="00322F95">
        <w:rPr>
          <w:lang w:val="fr-CH"/>
        </w:rPr>
        <w:t>’</w:t>
      </w:r>
      <w:r w:rsidRPr="00066C50">
        <w:rPr>
          <w:lang w:val="fr-CH"/>
        </w:rPr>
        <w:t>inflammabilité des gaz de catégorie</w:t>
      </w:r>
      <w:r w:rsidR="006A2E93">
        <w:rPr>
          <w:lang w:val="fr-CH"/>
        </w:rPr>
        <w:t> </w:t>
      </w:r>
      <w:r w:rsidRPr="00066C50">
        <w:rPr>
          <w:lang w:val="fr-CH"/>
        </w:rPr>
        <w:t>1B étant significative, la mention d</w:t>
      </w:r>
      <w:r w:rsidR="00322F95">
        <w:rPr>
          <w:lang w:val="fr-CH"/>
        </w:rPr>
        <w:t>’</w:t>
      </w:r>
      <w:r w:rsidRPr="00066C50">
        <w:rPr>
          <w:lang w:val="fr-CH"/>
        </w:rPr>
        <w:t xml:space="preserve">avertissement </w:t>
      </w:r>
      <w:r w:rsidR="006A2E93">
        <w:rPr>
          <w:lang w:val="fr-CH"/>
        </w:rPr>
        <w:t>« </w:t>
      </w:r>
      <w:r w:rsidRPr="00066C50">
        <w:rPr>
          <w:lang w:val="fr-CH"/>
        </w:rPr>
        <w:t>danger</w:t>
      </w:r>
      <w:r w:rsidR="006A2E93">
        <w:rPr>
          <w:lang w:val="fr-CH"/>
        </w:rPr>
        <w:t> »</w:t>
      </w:r>
      <w:r w:rsidRPr="00066C50">
        <w:rPr>
          <w:lang w:val="fr-CH"/>
        </w:rPr>
        <w:t xml:space="preserve"> devait être utilisée. </w:t>
      </w:r>
    </w:p>
    <w:p w:rsidR="00066C50" w:rsidRPr="00066C50" w:rsidRDefault="00066C50" w:rsidP="006A2E93">
      <w:pPr>
        <w:pStyle w:val="SingleTxt"/>
        <w:rPr>
          <w:lang w:val="fr-CH"/>
        </w:rPr>
      </w:pPr>
      <w:r w:rsidRPr="00066C50">
        <w:rPr>
          <w:lang w:val="fr-CH"/>
        </w:rPr>
        <w:t>6.</w:t>
      </w:r>
      <w:r w:rsidRPr="00066C50">
        <w:rPr>
          <w:lang w:val="fr-CH"/>
        </w:rPr>
        <w:tab/>
        <w:t>Les avis étaient également partagés au sujet de la proposition de classement alternative contenue dans le document INF.8. Certains experts ont estimé qu</w:t>
      </w:r>
      <w:r w:rsidR="00322F95">
        <w:rPr>
          <w:lang w:val="fr-CH"/>
        </w:rPr>
        <w:t>’</w:t>
      </w:r>
      <w:r w:rsidRPr="00066C50">
        <w:rPr>
          <w:lang w:val="fr-CH"/>
        </w:rPr>
        <w:t>elle sortait du cadre fixé par les deux sous-comités à la révision des critères de classement (sous-catégorisation dans la catégorie</w:t>
      </w:r>
      <w:r w:rsidR="006A2E93">
        <w:rPr>
          <w:lang w:val="fr-CH"/>
        </w:rPr>
        <w:t> </w:t>
      </w:r>
      <w:r w:rsidRPr="00066C50">
        <w:rPr>
          <w:lang w:val="fr-CH"/>
        </w:rPr>
        <w:t>1, catégorie</w:t>
      </w:r>
      <w:r w:rsidR="006A2E93">
        <w:rPr>
          <w:lang w:val="fr-CH"/>
        </w:rPr>
        <w:t> </w:t>
      </w:r>
      <w:r w:rsidRPr="00066C50">
        <w:rPr>
          <w:lang w:val="fr-CH"/>
        </w:rPr>
        <w:t>2 inchangée). Ils ont aussi noté que la proposition d</w:t>
      </w:r>
      <w:r w:rsidR="00322F95">
        <w:rPr>
          <w:lang w:val="fr-CH"/>
        </w:rPr>
        <w:t>’</w:t>
      </w:r>
      <w:r w:rsidRPr="00066C50">
        <w:rPr>
          <w:lang w:val="fr-CH"/>
        </w:rPr>
        <w:t>élargissement de la division</w:t>
      </w:r>
      <w:r w:rsidR="00AB37D7">
        <w:rPr>
          <w:lang w:val="fr-CH"/>
        </w:rPr>
        <w:t> </w:t>
      </w:r>
      <w:r w:rsidRPr="00066C50">
        <w:rPr>
          <w:lang w:val="fr-CH"/>
        </w:rPr>
        <w:t>2.1 à tous les gaz inflammables (gaz de catégorie</w:t>
      </w:r>
      <w:r w:rsidR="006A2E93">
        <w:rPr>
          <w:lang w:val="fr-CH"/>
        </w:rPr>
        <w:t> </w:t>
      </w:r>
      <w:r w:rsidRPr="00066C50">
        <w:rPr>
          <w:lang w:val="fr-CH"/>
        </w:rPr>
        <w:t>1 et de catégorie</w:t>
      </w:r>
      <w:r w:rsidR="006A2E93">
        <w:rPr>
          <w:lang w:val="fr-CH"/>
        </w:rPr>
        <w:t> </w:t>
      </w:r>
      <w:r w:rsidRPr="00066C50">
        <w:rPr>
          <w:lang w:val="fr-CH"/>
        </w:rPr>
        <w:t>2 du SGH) pourrait entraîner des modifications dans les dispositions actuelles concernant le transport. Ils ont estimé que la nécessité de telles modifications et leurs conséquences (notamment leur impact réglementaire) pour tous les secteurs et utilisateurs en aval devaient être soigneusement évaluées avant qu</w:t>
      </w:r>
      <w:r w:rsidR="00322F95">
        <w:rPr>
          <w:lang w:val="fr-CH"/>
        </w:rPr>
        <w:t>’</w:t>
      </w:r>
      <w:r w:rsidRPr="00066C50">
        <w:rPr>
          <w:lang w:val="fr-CH"/>
        </w:rPr>
        <w:t>une décision éclairée puisse être prise. D</w:t>
      </w:r>
      <w:r w:rsidR="00322F95">
        <w:rPr>
          <w:lang w:val="fr-CH"/>
        </w:rPr>
        <w:t>’</w:t>
      </w:r>
      <w:r w:rsidRPr="00066C50">
        <w:rPr>
          <w:lang w:val="fr-CH"/>
        </w:rPr>
        <w:t>autres se sont au contraire prononcés en faveur de la proposition, estimant qu</w:t>
      </w:r>
      <w:r w:rsidR="00322F95">
        <w:rPr>
          <w:lang w:val="fr-CH"/>
        </w:rPr>
        <w:t>’</w:t>
      </w:r>
      <w:r w:rsidRPr="00066C50">
        <w:rPr>
          <w:lang w:val="fr-CH"/>
        </w:rPr>
        <w:t>elle offrait des critères simplifiés pour le classement de tous les gaz inflammables (y compris les gaz chimiquement instables et les gaz</w:t>
      </w:r>
      <w:r w:rsidR="00E67F85">
        <w:rPr>
          <w:lang w:val="fr-CH"/>
        </w:rPr>
        <w:t xml:space="preserve"> </w:t>
      </w:r>
      <w:r w:rsidRPr="00066C50">
        <w:rPr>
          <w:lang w:val="fr-CH"/>
        </w:rPr>
        <w:t>pyrophoriques) sans subdiviser davantage une classe de danger qui comporte déjà deux sous-catégories supplémentaires.</w:t>
      </w:r>
    </w:p>
    <w:p w:rsidR="00066C50" w:rsidRPr="00066C50" w:rsidRDefault="00066C50" w:rsidP="006A2E93">
      <w:pPr>
        <w:pStyle w:val="SingleTxt"/>
        <w:rPr>
          <w:lang w:val="fr-CH"/>
        </w:rPr>
      </w:pPr>
      <w:r w:rsidRPr="00066C50">
        <w:rPr>
          <w:lang w:val="fr-CH"/>
        </w:rPr>
        <w:t>7.</w:t>
      </w:r>
      <w:r w:rsidRPr="00066C50">
        <w:rPr>
          <w:lang w:val="fr-CH"/>
        </w:rPr>
        <w:tab/>
        <w:t>Après quelques échanges de vues, il a été convenu que les deux propositions devaient continuer à être élaborées en parallèle</w:t>
      </w:r>
      <w:r w:rsidR="006A2E93">
        <w:rPr>
          <w:lang w:val="fr-CH"/>
        </w:rPr>
        <w:t> </w:t>
      </w:r>
      <w:r w:rsidRPr="00066C50">
        <w:rPr>
          <w:lang w:val="fr-CH"/>
        </w:rPr>
        <w:t>:</w:t>
      </w:r>
    </w:p>
    <w:p w:rsidR="00066C50" w:rsidRPr="00066C50" w:rsidRDefault="00066C50" w:rsidP="006A2E93">
      <w:pPr>
        <w:pStyle w:val="Bullet1"/>
        <w:rPr>
          <w:lang w:val="fr-CH"/>
        </w:rPr>
      </w:pPr>
      <w:r w:rsidRPr="00066C50">
        <w:rPr>
          <w:lang w:val="fr-CH"/>
        </w:rPr>
        <w:t>Le groupe de travail informel dirigé par la Belgique et le Japon a été invité à affiner la proposition concernant les éléments de communication des danger</w:t>
      </w:r>
      <w:r w:rsidR="00A9194C">
        <w:rPr>
          <w:lang w:val="fr-CH"/>
        </w:rPr>
        <w:t>s</w:t>
      </w:r>
      <w:r w:rsidRPr="00066C50">
        <w:rPr>
          <w:lang w:val="fr-CH"/>
        </w:rPr>
        <w:t xml:space="preserve"> pour l</w:t>
      </w:r>
      <w:r w:rsidR="00322F95">
        <w:rPr>
          <w:lang w:val="fr-CH"/>
        </w:rPr>
        <w:t>’</w:t>
      </w:r>
      <w:r w:rsidRPr="00066C50">
        <w:rPr>
          <w:lang w:val="fr-CH"/>
        </w:rPr>
        <w:t>option</w:t>
      </w:r>
      <w:r w:rsidR="00AB37D7">
        <w:rPr>
          <w:lang w:val="fr-CH"/>
        </w:rPr>
        <w:t> </w:t>
      </w:r>
      <w:r w:rsidRPr="00066C50">
        <w:rPr>
          <w:lang w:val="fr-CH"/>
        </w:rPr>
        <w:t xml:space="preserve">3 dans le document INF.4 en tenant compte des observations formulées; et </w:t>
      </w:r>
    </w:p>
    <w:p w:rsidR="00066C50" w:rsidRPr="00066C50" w:rsidRDefault="00066C50" w:rsidP="006A2E93">
      <w:pPr>
        <w:pStyle w:val="Bullet1"/>
        <w:rPr>
          <w:lang w:val="fr-CH"/>
        </w:rPr>
      </w:pPr>
      <w:r w:rsidRPr="00066C50">
        <w:rPr>
          <w:lang w:val="fr-CH"/>
        </w:rPr>
        <w:t>Les auteurs du document INF.8 et les autres parties intéressées ont été invités à poursuivre le travail sur la proposition, afin d</w:t>
      </w:r>
      <w:r w:rsidR="00322F95">
        <w:rPr>
          <w:lang w:val="fr-CH"/>
        </w:rPr>
        <w:t>’</w:t>
      </w:r>
      <w:r w:rsidRPr="00066C50">
        <w:rPr>
          <w:lang w:val="fr-CH"/>
        </w:rPr>
        <w:t>y inclure les modifications qu</w:t>
      </w:r>
      <w:r w:rsidR="00322F95">
        <w:rPr>
          <w:lang w:val="fr-CH"/>
        </w:rPr>
        <w:t>’</w:t>
      </w:r>
      <w:r w:rsidRPr="00066C50">
        <w:rPr>
          <w:lang w:val="fr-CH"/>
        </w:rPr>
        <w:t xml:space="preserve">elle entraîne dans les dispositions actuelles du SGH et du Règlement type, ainsi que de procéder à une évaluation détaillée des conséquences et avantages des changements proposés. </w:t>
      </w:r>
    </w:p>
    <w:p w:rsidR="00066C50" w:rsidRPr="00066C50" w:rsidRDefault="00066C50" w:rsidP="006A2E93">
      <w:pPr>
        <w:pStyle w:val="SingleTxt"/>
        <w:rPr>
          <w:lang w:val="fr-CH"/>
        </w:rPr>
      </w:pPr>
      <w:r w:rsidRPr="00066C50">
        <w:rPr>
          <w:lang w:val="fr-CH"/>
        </w:rPr>
        <w:t>8.</w:t>
      </w:r>
      <w:r w:rsidRPr="00066C50">
        <w:rPr>
          <w:lang w:val="fr-CH"/>
        </w:rPr>
        <w:tab/>
        <w:t xml:space="preserve">Les deux propositions devaient être soumises au sous-comité pour examen. </w:t>
      </w:r>
    </w:p>
    <w:p w:rsidR="004A673D" w:rsidRPr="006A2E93" w:rsidRDefault="004A673D" w:rsidP="006A2E93">
      <w:pPr>
        <w:pStyle w:val="SingleTxt"/>
        <w:spacing w:after="0" w:line="120" w:lineRule="exact"/>
        <w:rPr>
          <w:b/>
          <w:sz w:val="10"/>
          <w:lang w:val="fr-CH"/>
        </w:rPr>
      </w:pPr>
    </w:p>
    <w:p w:rsidR="006A2E93" w:rsidRPr="006A2E93" w:rsidRDefault="006A2E93" w:rsidP="006A2E93">
      <w:pPr>
        <w:pStyle w:val="SingleTxt"/>
        <w:spacing w:after="0" w:line="120" w:lineRule="exact"/>
        <w:rPr>
          <w:b/>
          <w:sz w:val="10"/>
          <w:lang w:val="fr-CH"/>
        </w:rPr>
      </w:pPr>
    </w:p>
    <w:p w:rsidR="00066C50" w:rsidRDefault="00066C50" w:rsidP="004A67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C.</w:t>
      </w:r>
      <w:r w:rsidRPr="00066C50">
        <w:rPr>
          <w:lang w:val="fr-CH"/>
        </w:rPr>
        <w:tab/>
        <w:t>Révision du chapitre 2.1 du SGH</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Documents informels</w:t>
      </w:r>
      <w:r w:rsidR="006A2E93">
        <w:rPr>
          <w:i/>
          <w:lang w:val="fr-CH"/>
        </w:rPr>
        <w:t> </w:t>
      </w:r>
      <w:r w:rsidR="006A2E93">
        <w:rPr>
          <w:lang w:val="fr-CH"/>
        </w:rPr>
        <w:t>:</w:t>
      </w:r>
      <w:r w:rsidRPr="00066C50">
        <w:rPr>
          <w:i/>
          <w:lang w:val="fr-CH"/>
        </w:rPr>
        <w:tab/>
      </w:r>
      <w:r w:rsidRPr="00066C50">
        <w:rPr>
          <w:lang w:val="fr-CH"/>
        </w:rPr>
        <w:t>GHS/INF.9 – TDG/INF.32 (Suède)</w:t>
      </w:r>
      <w:r w:rsidR="006A2E93">
        <w:rPr>
          <w:lang w:val="fr-CH"/>
        </w:rPr>
        <w:t xml:space="preserve"> </w:t>
      </w:r>
      <w:r w:rsidR="006A2E93">
        <w:rPr>
          <w:lang w:val="fr-CH"/>
        </w:rPr>
        <w:br/>
      </w:r>
      <w:r w:rsidRPr="00066C50">
        <w:rPr>
          <w:lang w:val="fr-CH"/>
        </w:rPr>
        <w:t>GHS/INF.30, question 8 (Secrétariat)</w:t>
      </w:r>
      <w:r w:rsidR="007F687B">
        <w:rPr>
          <w:lang w:val="fr-CH"/>
        </w:rPr>
        <w:t>.</w:t>
      </w:r>
    </w:p>
    <w:p w:rsidR="00066C50" w:rsidRPr="00066C50" w:rsidRDefault="00066C50" w:rsidP="006A2E93">
      <w:pPr>
        <w:pStyle w:val="SingleTxt"/>
        <w:rPr>
          <w:lang w:val="fr-CH"/>
        </w:rPr>
      </w:pPr>
      <w:r w:rsidRPr="00066C50">
        <w:rPr>
          <w:lang w:val="fr-CH"/>
        </w:rPr>
        <w:t>9.</w:t>
      </w:r>
      <w:r w:rsidRPr="00066C50">
        <w:rPr>
          <w:lang w:val="fr-CH"/>
        </w:rPr>
        <w:tab/>
        <w:t>Il a été noté que le travail de révision du chapitre</w:t>
      </w:r>
      <w:r w:rsidR="006A2E93">
        <w:rPr>
          <w:lang w:val="fr-CH"/>
        </w:rPr>
        <w:t> </w:t>
      </w:r>
      <w:r w:rsidRPr="00066C50">
        <w:rPr>
          <w:lang w:val="fr-CH"/>
        </w:rPr>
        <w:t>2.1 du SGH se poursuivait, que les principes énoncés au paragraphe</w:t>
      </w:r>
      <w:r w:rsidR="006A2E93">
        <w:rPr>
          <w:lang w:val="fr-CH"/>
        </w:rPr>
        <w:t> </w:t>
      </w:r>
      <w:r w:rsidRPr="00066C50">
        <w:rPr>
          <w:lang w:val="fr-CH"/>
        </w:rPr>
        <w:t>6 du document INF.9 avai</w:t>
      </w:r>
      <w:r w:rsidR="00883296">
        <w:rPr>
          <w:lang w:val="fr-CH"/>
        </w:rPr>
        <w:t>en</w:t>
      </w:r>
      <w:r w:rsidRPr="00066C50">
        <w:rPr>
          <w:lang w:val="fr-CH"/>
        </w:rPr>
        <w:t>t reçu le soutien du groupe de travail des explosifs du Sous-Comité TMD et que le projet de texte révisé des notes figurant sous les tableaux du chapitre</w:t>
      </w:r>
      <w:r w:rsidR="006A2E93">
        <w:rPr>
          <w:lang w:val="fr-CH"/>
        </w:rPr>
        <w:t> </w:t>
      </w:r>
      <w:r w:rsidRPr="00066C50">
        <w:rPr>
          <w:lang w:val="fr-CH"/>
        </w:rPr>
        <w:t>2.1 avait été diffusé au sei</w:t>
      </w:r>
      <w:r w:rsidR="007F687B">
        <w:rPr>
          <w:lang w:val="fr-CH"/>
        </w:rPr>
        <w:t>n du groupe pour observations.</w:t>
      </w:r>
    </w:p>
    <w:p w:rsidR="00066C50" w:rsidRPr="00066C50" w:rsidRDefault="00066C50" w:rsidP="006A2E93">
      <w:pPr>
        <w:pStyle w:val="SingleTxt"/>
        <w:rPr>
          <w:lang w:val="fr-CH"/>
        </w:rPr>
      </w:pPr>
      <w:r w:rsidRPr="00066C50">
        <w:rPr>
          <w:lang w:val="fr-CH"/>
        </w:rPr>
        <w:t>10.</w:t>
      </w:r>
      <w:r w:rsidRPr="00066C50">
        <w:rPr>
          <w:lang w:val="fr-CH"/>
        </w:rPr>
        <w:tab/>
        <w:t>Il a également été noté que certains travaux complémentaires avaient été identifiés mais que la priorité serait donnée au travail portant sur les trois filières énumérées au paragraphe</w:t>
      </w:r>
      <w:r w:rsidR="006A2E93">
        <w:rPr>
          <w:lang w:val="fr-CH"/>
        </w:rPr>
        <w:t> </w:t>
      </w:r>
      <w:r w:rsidRPr="00066C50">
        <w:rPr>
          <w:lang w:val="fr-CH"/>
        </w:rPr>
        <w:t>6 du document INF.13</w:t>
      </w:r>
      <w:r w:rsidR="00C431D7">
        <w:rPr>
          <w:rStyle w:val="FootnoteReference"/>
          <w:lang w:val="fr-CH"/>
        </w:rPr>
        <w:footnoteReference w:id="4"/>
      </w:r>
      <w:r w:rsidRPr="00066C50">
        <w:rPr>
          <w:lang w:val="fr-CH"/>
        </w:rPr>
        <w:t xml:space="preserve">, comme convenu par le Sous-Comité à sa </w:t>
      </w:r>
      <w:r w:rsidR="00C431D7">
        <w:rPr>
          <w:lang w:val="fr-CH"/>
        </w:rPr>
        <w:t xml:space="preserve">vingt-neuvième </w:t>
      </w:r>
      <w:r w:rsidRPr="00066C50">
        <w:rPr>
          <w:lang w:val="fr-CH"/>
        </w:rPr>
        <w:t>session.</w:t>
      </w:r>
    </w:p>
    <w:p w:rsidR="00066C50" w:rsidRPr="00066C50" w:rsidRDefault="00066C50" w:rsidP="006A2E93">
      <w:pPr>
        <w:pStyle w:val="SingleTxt"/>
        <w:rPr>
          <w:lang w:val="fr-CH"/>
        </w:rPr>
      </w:pPr>
      <w:r w:rsidRPr="00066C50">
        <w:rPr>
          <w:lang w:val="fr-CH"/>
        </w:rPr>
        <w:t>11.</w:t>
      </w:r>
      <w:r w:rsidRPr="00066C50">
        <w:rPr>
          <w:lang w:val="fr-CH"/>
        </w:rPr>
        <w:tab/>
        <w:t>Les travaux sur les filières identifiées dans le document INF.13 devraient être achevés au cours de la période biennale en cours.</w:t>
      </w:r>
    </w:p>
    <w:p w:rsidR="004A673D" w:rsidRPr="004A673D" w:rsidRDefault="004A673D" w:rsidP="004A673D">
      <w:pPr>
        <w:pStyle w:val="SingleTxt"/>
        <w:spacing w:after="0" w:line="120" w:lineRule="exact"/>
        <w:rPr>
          <w:b/>
          <w:sz w:val="10"/>
          <w:lang w:val="fr-CH"/>
        </w:rPr>
      </w:pPr>
    </w:p>
    <w:p w:rsidR="004A673D" w:rsidRPr="004A673D" w:rsidRDefault="004A673D" w:rsidP="004A673D">
      <w:pPr>
        <w:pStyle w:val="SingleTxt"/>
        <w:spacing w:after="0" w:line="120" w:lineRule="exact"/>
        <w:rPr>
          <w:b/>
          <w:sz w:val="10"/>
          <w:lang w:val="fr-CH"/>
        </w:rPr>
      </w:pPr>
    </w:p>
    <w:p w:rsidR="00066C50" w:rsidRDefault="00066C50" w:rsidP="004A67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D.</w:t>
      </w:r>
      <w:r w:rsidRPr="00066C50">
        <w:rPr>
          <w:lang w:val="fr-CH"/>
        </w:rPr>
        <w:tab/>
        <w:t xml:space="preserve">Épreuves et critères pour les matières liquides comburantes (épreuve O.2) et solides comburantes (épreuve O.3) </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en-US"/>
        </w:rPr>
      </w:pPr>
      <w:proofErr w:type="gramStart"/>
      <w:r w:rsidRPr="00066C50">
        <w:rPr>
          <w:i/>
          <w:lang w:val="en-US"/>
        </w:rPr>
        <w:t>Documents</w:t>
      </w:r>
      <w:r w:rsidR="006A2E93">
        <w:rPr>
          <w:i/>
          <w:lang w:val="en-US"/>
        </w:rPr>
        <w:t> </w:t>
      </w:r>
      <w:r w:rsidRPr="006A2E93">
        <w:rPr>
          <w:lang w:val="en-US"/>
        </w:rPr>
        <w:t>:</w:t>
      </w:r>
      <w:proofErr w:type="gramEnd"/>
      <w:r w:rsidRPr="006A2E93">
        <w:rPr>
          <w:lang w:val="en-US"/>
        </w:rPr>
        <w:t xml:space="preserve"> </w:t>
      </w:r>
      <w:r w:rsidRPr="00066C50">
        <w:rPr>
          <w:i/>
          <w:lang w:val="en-US"/>
        </w:rPr>
        <w:tab/>
      </w:r>
      <w:r w:rsidRPr="00066C50">
        <w:rPr>
          <w:lang w:val="en-US"/>
        </w:rPr>
        <w:t>ST/SG/AC.10/C.4/2015/12</w:t>
      </w:r>
      <w:r w:rsidR="00322F95">
        <w:rPr>
          <w:lang w:val="en-US"/>
        </w:rPr>
        <w:t xml:space="preserve"> – </w:t>
      </w:r>
      <w:r w:rsidRPr="00066C50">
        <w:rPr>
          <w:lang w:val="en-GB"/>
        </w:rPr>
        <w:t>ST/SG/AC.10/C.3/2015/49</w:t>
      </w:r>
      <w:r w:rsidR="006A2E93" w:rsidRPr="00066C50">
        <w:rPr>
          <w:lang w:val="en-US"/>
        </w:rPr>
        <w:t xml:space="preserve"> </w:t>
      </w:r>
      <w:r w:rsidRPr="00066C50">
        <w:rPr>
          <w:lang w:val="en-US"/>
        </w:rPr>
        <w:t>(France)</w:t>
      </w:r>
      <w:r w:rsidR="007F687B">
        <w:rPr>
          <w:lang w:val="en-US"/>
        </w:rPr>
        <w:t>.</w:t>
      </w: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6A2E93">
        <w:rPr>
          <w:i/>
          <w:lang w:val="fr-CH"/>
        </w:rPr>
        <w:t> </w:t>
      </w:r>
      <w:r w:rsidR="006A2E93">
        <w:rPr>
          <w:lang w:val="fr-CH"/>
        </w:rPr>
        <w:t>:</w:t>
      </w:r>
      <w:r w:rsidRPr="00066C50">
        <w:rPr>
          <w:i/>
          <w:lang w:val="fr-CH"/>
        </w:rPr>
        <w:tab/>
      </w:r>
      <w:r w:rsidRPr="00066C50">
        <w:rPr>
          <w:lang w:val="fr-CH"/>
        </w:rPr>
        <w:t>GHS/INF.30, question 9 (Secrétariat)</w:t>
      </w:r>
      <w:r w:rsidR="007F687B">
        <w:rPr>
          <w:lang w:val="fr-CH"/>
        </w:rPr>
        <w:t>.</w:t>
      </w:r>
    </w:p>
    <w:p w:rsidR="00066C50" w:rsidRPr="00066C50" w:rsidRDefault="00066C50" w:rsidP="006A2E93">
      <w:pPr>
        <w:pStyle w:val="SingleTxt"/>
        <w:rPr>
          <w:lang w:val="fr-CH"/>
        </w:rPr>
      </w:pPr>
      <w:r w:rsidRPr="00066C50">
        <w:rPr>
          <w:lang w:val="fr-CH"/>
        </w:rPr>
        <w:t>12.</w:t>
      </w:r>
      <w:r w:rsidRPr="00066C50">
        <w:rPr>
          <w:lang w:val="fr-CH"/>
        </w:rPr>
        <w:tab/>
        <w:t xml:space="preserve">Il a été noté que les épreuves </w:t>
      </w:r>
      <w:proofErr w:type="spellStart"/>
      <w:r w:rsidRPr="00066C50">
        <w:rPr>
          <w:lang w:val="fr-CH"/>
        </w:rPr>
        <w:t>interlaboratoires</w:t>
      </w:r>
      <w:proofErr w:type="spellEnd"/>
      <w:r w:rsidRPr="00066C50">
        <w:rPr>
          <w:lang w:val="fr-CH"/>
        </w:rPr>
        <w:t xml:space="preserve"> pour les matières liquides comburantes, avec la participation de 11</w:t>
      </w:r>
      <w:r w:rsidR="006A2E93">
        <w:rPr>
          <w:lang w:val="fr-CH"/>
        </w:rPr>
        <w:t> </w:t>
      </w:r>
      <w:r w:rsidRPr="00066C50">
        <w:rPr>
          <w:lang w:val="fr-CH"/>
        </w:rPr>
        <w:t>laboratoires de 7</w:t>
      </w:r>
      <w:r w:rsidR="006A2E93">
        <w:rPr>
          <w:lang w:val="fr-CH"/>
        </w:rPr>
        <w:t> </w:t>
      </w:r>
      <w:r w:rsidRPr="00066C50">
        <w:rPr>
          <w:lang w:val="fr-CH"/>
        </w:rPr>
        <w:t xml:space="preserve">pays, avaient déjà été menées à bien. Elles ont permis de retenir provisoirement deux types de cellulose susceptibles de remplacer la cellulose de référence utilisée pour les épreuves O.2 et O.3. Il a également été noté que les épreuves </w:t>
      </w:r>
      <w:proofErr w:type="spellStart"/>
      <w:r w:rsidRPr="00066C50">
        <w:rPr>
          <w:lang w:val="fr-CH"/>
        </w:rPr>
        <w:t>interlaboratoires</w:t>
      </w:r>
      <w:proofErr w:type="spellEnd"/>
      <w:r w:rsidRPr="00066C50">
        <w:rPr>
          <w:lang w:val="fr-CH"/>
        </w:rPr>
        <w:t xml:space="preserve"> pour les matières solides comburantes avaient débuté en septembre avec la participation de 13</w:t>
      </w:r>
      <w:r w:rsidR="006A2E93">
        <w:rPr>
          <w:lang w:val="fr-CH"/>
        </w:rPr>
        <w:t> </w:t>
      </w:r>
      <w:r w:rsidRPr="00066C50">
        <w:rPr>
          <w:lang w:val="fr-CH"/>
        </w:rPr>
        <w:t>laboratoires de 9</w:t>
      </w:r>
      <w:r w:rsidR="006A2E93">
        <w:rPr>
          <w:lang w:val="fr-CH"/>
        </w:rPr>
        <w:t> </w:t>
      </w:r>
      <w:r w:rsidRPr="00066C50">
        <w:rPr>
          <w:lang w:val="fr-CH"/>
        </w:rPr>
        <w:t>pays et que leurs résultats étaient en train d</w:t>
      </w:r>
      <w:r w:rsidR="00322F95">
        <w:rPr>
          <w:lang w:val="fr-CH"/>
        </w:rPr>
        <w:t>’</w:t>
      </w:r>
      <w:r w:rsidRPr="00066C50">
        <w:rPr>
          <w:lang w:val="fr-CH"/>
        </w:rPr>
        <w:t xml:space="preserve">être recueillis. </w:t>
      </w:r>
    </w:p>
    <w:p w:rsidR="00066C50" w:rsidRPr="00066C50" w:rsidRDefault="00066C50" w:rsidP="006A2E93">
      <w:pPr>
        <w:pStyle w:val="SingleTxt"/>
        <w:rPr>
          <w:lang w:val="fr-CH"/>
        </w:rPr>
      </w:pPr>
      <w:r w:rsidRPr="00066C50">
        <w:rPr>
          <w:lang w:val="fr-CH"/>
        </w:rPr>
        <w:t>13.</w:t>
      </w:r>
      <w:r w:rsidRPr="00066C50">
        <w:rPr>
          <w:lang w:val="fr-CH"/>
        </w:rPr>
        <w:tab/>
        <w:t>L</w:t>
      </w:r>
      <w:r w:rsidR="00322F95">
        <w:rPr>
          <w:lang w:val="fr-CH"/>
        </w:rPr>
        <w:t>’</w:t>
      </w:r>
      <w:r w:rsidRPr="00066C50">
        <w:rPr>
          <w:lang w:val="fr-CH"/>
        </w:rPr>
        <w:t>expert de la France a indiqué que l</w:t>
      </w:r>
      <w:r w:rsidR="00322F95">
        <w:rPr>
          <w:lang w:val="fr-CH"/>
        </w:rPr>
        <w:t>’</w:t>
      </w:r>
      <w:r w:rsidRPr="00066C50">
        <w:rPr>
          <w:lang w:val="fr-CH"/>
        </w:rPr>
        <w:t>on pouvait s</w:t>
      </w:r>
      <w:r w:rsidR="00322F95">
        <w:rPr>
          <w:lang w:val="fr-CH"/>
        </w:rPr>
        <w:t>’</w:t>
      </w:r>
      <w:r w:rsidRPr="00066C50">
        <w:rPr>
          <w:lang w:val="fr-CH"/>
        </w:rPr>
        <w:t>attendre à une proposition visant à</w:t>
      </w:r>
      <w:r w:rsidR="00E67F85">
        <w:rPr>
          <w:lang w:val="fr-CH"/>
        </w:rPr>
        <w:t xml:space="preserve"> </w:t>
      </w:r>
      <w:r w:rsidRPr="00066C50">
        <w:rPr>
          <w:lang w:val="fr-CH"/>
        </w:rPr>
        <w:t>remplacer la cellulose de référence, conformément au mandat fixé pour ce travail. D</w:t>
      </w:r>
      <w:r w:rsidR="00322F95">
        <w:rPr>
          <w:lang w:val="fr-CH"/>
        </w:rPr>
        <w:t>’</w:t>
      </w:r>
      <w:r w:rsidRPr="00066C50">
        <w:rPr>
          <w:lang w:val="fr-CH"/>
        </w:rPr>
        <w:t>autres améliorations des procédures d</w:t>
      </w:r>
      <w:r w:rsidR="00322F95">
        <w:rPr>
          <w:lang w:val="fr-CH"/>
        </w:rPr>
        <w:t>’</w:t>
      </w:r>
      <w:r w:rsidRPr="00066C50">
        <w:rPr>
          <w:lang w:val="fr-CH"/>
        </w:rPr>
        <w:t xml:space="preserve">épreuve, le cas échéant, seraient soumises séparément. </w:t>
      </w:r>
    </w:p>
    <w:p w:rsidR="004A673D" w:rsidRPr="004A673D" w:rsidRDefault="004A673D" w:rsidP="004A673D">
      <w:pPr>
        <w:pStyle w:val="SingleTxt"/>
        <w:spacing w:after="0" w:line="120" w:lineRule="exact"/>
        <w:rPr>
          <w:b/>
          <w:sz w:val="10"/>
          <w:lang w:val="fr-CH"/>
        </w:rPr>
      </w:pPr>
    </w:p>
    <w:p w:rsidR="004A673D" w:rsidRPr="004A673D" w:rsidRDefault="004A673D" w:rsidP="004A673D">
      <w:pPr>
        <w:pStyle w:val="SingleTxt"/>
        <w:spacing w:after="0" w:line="120" w:lineRule="exact"/>
        <w:rPr>
          <w:b/>
          <w:sz w:val="10"/>
          <w:lang w:val="fr-CH"/>
        </w:rPr>
      </w:pPr>
    </w:p>
    <w:p w:rsidR="00066C50" w:rsidRDefault="00066C50" w:rsidP="004A67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E.</w:t>
      </w:r>
      <w:r w:rsidRPr="00066C50">
        <w:rPr>
          <w:lang w:val="fr-CH"/>
        </w:rPr>
        <w:tab/>
        <w:t>Interdiction d</w:t>
      </w:r>
      <w:r w:rsidR="00322F95">
        <w:rPr>
          <w:lang w:val="fr-CH"/>
        </w:rPr>
        <w:t>’</w:t>
      </w:r>
      <w:r w:rsidRPr="00066C50">
        <w:rPr>
          <w:lang w:val="fr-CH"/>
        </w:rPr>
        <w:t>utiliser, lors du transport, des pictogrammes SGH non liés aux transports lorsqu</w:t>
      </w:r>
      <w:r w:rsidR="00322F95">
        <w:rPr>
          <w:lang w:val="fr-CH"/>
        </w:rPr>
        <w:t>’</w:t>
      </w:r>
      <w:r w:rsidRPr="00066C50">
        <w:rPr>
          <w:lang w:val="fr-CH"/>
        </w:rPr>
        <w:t xml:space="preserve">ils ne font pas partie </w:t>
      </w:r>
      <w:r w:rsidR="00BA2FF1">
        <w:rPr>
          <w:lang w:val="fr-CH"/>
        </w:rPr>
        <w:br/>
      </w:r>
      <w:r w:rsidRPr="00066C50">
        <w:rPr>
          <w:lang w:val="fr-CH"/>
        </w:rPr>
        <w:t>d</w:t>
      </w:r>
      <w:r w:rsidR="00322F95">
        <w:rPr>
          <w:lang w:val="fr-CH"/>
        </w:rPr>
        <w:t>’</w:t>
      </w:r>
      <w:r w:rsidRPr="00066C50">
        <w:rPr>
          <w:lang w:val="fr-CH"/>
        </w:rPr>
        <w:t xml:space="preserve">une étiquette SGH complète </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en-US"/>
        </w:rPr>
      </w:pPr>
      <w:proofErr w:type="gramStart"/>
      <w:r w:rsidRPr="00066C50">
        <w:rPr>
          <w:i/>
          <w:lang w:val="en-US"/>
        </w:rPr>
        <w:t>Document</w:t>
      </w:r>
      <w:r w:rsidR="001B5791">
        <w:rPr>
          <w:i/>
          <w:lang w:val="en-US"/>
        </w:rPr>
        <w:t>s</w:t>
      </w:r>
      <w:r w:rsidR="006A2E93">
        <w:rPr>
          <w:i/>
          <w:lang w:val="en-US"/>
        </w:rPr>
        <w:t> </w:t>
      </w:r>
      <w:r w:rsidRPr="006A2E93">
        <w:rPr>
          <w:lang w:val="en-US"/>
        </w:rPr>
        <w:t>:</w:t>
      </w:r>
      <w:proofErr w:type="gramEnd"/>
      <w:r w:rsidR="006A2E93">
        <w:rPr>
          <w:i/>
          <w:lang w:val="en-US"/>
        </w:rPr>
        <w:tab/>
      </w:r>
      <w:r w:rsidRPr="00066C50">
        <w:rPr>
          <w:lang w:val="en-US"/>
        </w:rPr>
        <w:t>ST/SG/AC.10/C.4/2015/11</w:t>
      </w:r>
      <w:r w:rsidR="00322F95">
        <w:rPr>
          <w:lang w:val="en-US"/>
        </w:rPr>
        <w:t xml:space="preserve"> – </w:t>
      </w:r>
      <w:r w:rsidRPr="00066C50">
        <w:rPr>
          <w:lang w:val="en-GB"/>
        </w:rPr>
        <w:t xml:space="preserve">ST/SG/AC.10/C.3/2015/54 </w:t>
      </w:r>
      <w:r w:rsidRPr="00066C50">
        <w:rPr>
          <w:lang w:val="en-US"/>
        </w:rPr>
        <w:t>(DGAC)</w:t>
      </w:r>
      <w:r w:rsidR="007F687B">
        <w:rPr>
          <w:lang w:val="en-US"/>
        </w:rPr>
        <w:t>.</w:t>
      </w: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6A2E93">
        <w:rPr>
          <w:i/>
          <w:lang w:val="fr-CH"/>
        </w:rPr>
        <w:t> </w:t>
      </w:r>
      <w:r w:rsidRPr="006A2E93">
        <w:rPr>
          <w:lang w:val="fr-CH"/>
        </w:rPr>
        <w:t>:</w:t>
      </w:r>
      <w:r w:rsidRPr="00066C50">
        <w:rPr>
          <w:i/>
          <w:lang w:val="fr-CH"/>
        </w:rPr>
        <w:tab/>
      </w:r>
      <w:r w:rsidRPr="00066C50">
        <w:rPr>
          <w:lang w:val="fr-CH"/>
        </w:rPr>
        <w:t>GHS/INF.30, question 11 (Secrétariat)</w:t>
      </w:r>
      <w:r w:rsidR="007F687B">
        <w:rPr>
          <w:lang w:val="fr-CH"/>
        </w:rPr>
        <w:t>.</w:t>
      </w:r>
    </w:p>
    <w:p w:rsidR="00066C50" w:rsidRPr="00066C50" w:rsidRDefault="00066C50" w:rsidP="00066C50">
      <w:pPr>
        <w:pStyle w:val="SingleTxt"/>
        <w:rPr>
          <w:lang w:val="fr-CH"/>
        </w:rPr>
      </w:pPr>
      <w:r w:rsidRPr="00066C50">
        <w:rPr>
          <w:lang w:val="fr-CH"/>
        </w:rPr>
        <w:t>14.</w:t>
      </w:r>
      <w:r w:rsidRPr="00066C50">
        <w:rPr>
          <w:lang w:val="fr-CH"/>
        </w:rPr>
        <w:tab/>
        <w:t>Il a été noté que le Sous-Comité TMD avait décidé d</w:t>
      </w:r>
      <w:r w:rsidR="00322F95">
        <w:rPr>
          <w:lang w:val="fr-CH"/>
        </w:rPr>
        <w:t>’</w:t>
      </w:r>
      <w:r w:rsidRPr="00066C50">
        <w:rPr>
          <w:lang w:val="fr-CH"/>
        </w:rPr>
        <w:t>introduire un NOTA à la fin du paragraphe</w:t>
      </w:r>
      <w:r w:rsidR="006A2E93">
        <w:rPr>
          <w:lang w:val="fr-CH"/>
        </w:rPr>
        <w:t> </w:t>
      </w:r>
      <w:r w:rsidRPr="00066C50">
        <w:rPr>
          <w:lang w:val="fr-CH"/>
        </w:rPr>
        <w:t>5.1.1.2 dans le Règlement type pour prévenir l</w:t>
      </w:r>
      <w:r w:rsidR="00322F95">
        <w:rPr>
          <w:lang w:val="fr-CH"/>
        </w:rPr>
        <w:t>’</w:t>
      </w:r>
      <w:r w:rsidRPr="00066C50">
        <w:rPr>
          <w:lang w:val="fr-CH"/>
        </w:rPr>
        <w:t>utilisation dans le transport de pictogrammes du SGH isolés non exigés par le Règlement type relatif au transport des marchandises dangereuses.</w:t>
      </w:r>
    </w:p>
    <w:p w:rsidR="004A673D" w:rsidRPr="004A673D" w:rsidRDefault="004A673D" w:rsidP="004A673D">
      <w:pPr>
        <w:pStyle w:val="SingleTxt"/>
        <w:spacing w:after="0" w:line="120" w:lineRule="exact"/>
        <w:rPr>
          <w:b/>
          <w:sz w:val="10"/>
          <w:lang w:val="fr-CH"/>
        </w:rPr>
      </w:pPr>
    </w:p>
    <w:p w:rsidR="004A673D" w:rsidRPr="004A673D" w:rsidRDefault="004A673D" w:rsidP="004A673D">
      <w:pPr>
        <w:pStyle w:val="SingleTxt"/>
        <w:spacing w:after="0" w:line="120" w:lineRule="exact"/>
        <w:rPr>
          <w:b/>
          <w:sz w:val="10"/>
          <w:lang w:val="fr-CH"/>
        </w:rPr>
      </w:pPr>
    </w:p>
    <w:p w:rsidR="00066C50" w:rsidRDefault="00066C50" w:rsidP="004A67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66C50">
        <w:rPr>
          <w:lang w:val="fr-CH"/>
        </w:rPr>
        <w:tab/>
        <w:t>F.</w:t>
      </w:r>
      <w:r w:rsidRPr="00066C50">
        <w:rPr>
          <w:lang w:val="fr-CH"/>
        </w:rPr>
        <w:tab/>
        <w:t>Critères de corrosivité</w:t>
      </w:r>
    </w:p>
    <w:p w:rsidR="004A673D" w:rsidRPr="004A673D" w:rsidRDefault="004A673D" w:rsidP="004A673D">
      <w:pPr>
        <w:pStyle w:val="SingleTxt"/>
        <w:spacing w:after="0" w:line="120" w:lineRule="exact"/>
        <w:rPr>
          <w:sz w:val="10"/>
          <w:lang w:val="fr-CH"/>
        </w:rPr>
      </w:pPr>
    </w:p>
    <w:p w:rsidR="004A673D" w:rsidRPr="004A673D" w:rsidRDefault="004A673D" w:rsidP="004A673D">
      <w:pPr>
        <w:pStyle w:val="SingleTxt"/>
        <w:spacing w:after="0" w:line="120" w:lineRule="exact"/>
        <w:rPr>
          <w:sz w:val="10"/>
          <w:lang w:val="fr-CH"/>
        </w:rPr>
      </w:pPr>
    </w:p>
    <w:p w:rsidR="00066C50" w:rsidRPr="00066C50" w:rsidRDefault="00066C50" w:rsidP="006A2E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375"/>
        </w:tabs>
        <w:ind w:left="3375" w:hanging="2108"/>
        <w:jc w:val="left"/>
        <w:rPr>
          <w:lang w:val="fr-CH"/>
        </w:rPr>
      </w:pPr>
      <w:r w:rsidRPr="00066C50">
        <w:rPr>
          <w:i/>
          <w:lang w:val="fr-CH"/>
        </w:rPr>
        <w:t>Document informel</w:t>
      </w:r>
      <w:r w:rsidR="006A2E93">
        <w:rPr>
          <w:i/>
          <w:lang w:val="fr-CH"/>
        </w:rPr>
        <w:t> </w:t>
      </w:r>
      <w:r w:rsidRPr="006A2E93">
        <w:rPr>
          <w:lang w:val="fr-CH"/>
        </w:rPr>
        <w:t>:</w:t>
      </w:r>
      <w:r w:rsidRPr="00066C50">
        <w:rPr>
          <w:i/>
          <w:lang w:val="fr-CH"/>
        </w:rPr>
        <w:t xml:space="preserve"> </w:t>
      </w:r>
      <w:r w:rsidRPr="00066C50">
        <w:rPr>
          <w:i/>
          <w:lang w:val="fr-CH"/>
        </w:rPr>
        <w:tab/>
      </w:r>
      <w:r w:rsidRPr="00066C50">
        <w:rPr>
          <w:lang w:val="fr-CH"/>
        </w:rPr>
        <w:t>GHS/INF.30, question 21 (Secrétariat)</w:t>
      </w:r>
      <w:r w:rsidR="00075140">
        <w:rPr>
          <w:lang w:val="fr-CH"/>
        </w:rPr>
        <w:t>.</w:t>
      </w:r>
    </w:p>
    <w:p w:rsidR="00066C50" w:rsidRPr="00066C50" w:rsidRDefault="00066C50" w:rsidP="00075140">
      <w:pPr>
        <w:pStyle w:val="SingleTxt"/>
        <w:rPr>
          <w:lang w:val="fr-CH"/>
        </w:rPr>
      </w:pPr>
      <w:r w:rsidRPr="00066C50">
        <w:rPr>
          <w:lang w:val="fr-CH"/>
        </w:rPr>
        <w:t>15.</w:t>
      </w:r>
      <w:r w:rsidRPr="00066C50">
        <w:rPr>
          <w:lang w:val="fr-CH"/>
        </w:rPr>
        <w:tab/>
        <w:t>Il a été noté que les travaux sur les critères de corrosivité</w:t>
      </w:r>
      <w:r w:rsidR="00E67F85">
        <w:rPr>
          <w:lang w:val="fr-CH"/>
        </w:rPr>
        <w:t xml:space="preserve"> </w:t>
      </w:r>
      <w:r w:rsidRPr="00066C50">
        <w:rPr>
          <w:lang w:val="fr-CH"/>
        </w:rPr>
        <w:t>(révision du chapitre</w:t>
      </w:r>
      <w:r w:rsidR="00075140">
        <w:rPr>
          <w:lang w:val="fr-CH"/>
        </w:rPr>
        <w:t> </w:t>
      </w:r>
      <w:r w:rsidRPr="00066C50">
        <w:rPr>
          <w:lang w:val="fr-CH"/>
        </w:rPr>
        <w:t>2.8 du Règlement type) se poursuivaient au sein du Sous-Comité TMD pour étudier la possibilité de remplacer les critères fondés sur des épreuves par de nouvelles méthodes d</w:t>
      </w:r>
      <w:r w:rsidR="00322F95">
        <w:rPr>
          <w:lang w:val="fr-CH"/>
        </w:rPr>
        <w:t>’</w:t>
      </w:r>
      <w:r w:rsidRPr="00066C50">
        <w:rPr>
          <w:lang w:val="fr-CH"/>
        </w:rPr>
        <w:t>affectation à des groupes d</w:t>
      </w:r>
      <w:r w:rsidR="00322F95">
        <w:rPr>
          <w:lang w:val="fr-CH"/>
        </w:rPr>
        <w:t>’</w:t>
      </w:r>
      <w:r w:rsidRPr="00066C50">
        <w:rPr>
          <w:lang w:val="fr-CH"/>
        </w:rPr>
        <w:t>emballage basées sur les principes d</w:t>
      </w:r>
      <w:r w:rsidR="00322F95">
        <w:rPr>
          <w:lang w:val="fr-CH"/>
        </w:rPr>
        <w:t>’</w:t>
      </w:r>
      <w:r w:rsidRPr="00066C50">
        <w:rPr>
          <w:lang w:val="fr-CH"/>
        </w:rPr>
        <w:t>additivité et d</w:t>
      </w:r>
      <w:r w:rsidR="00322F95">
        <w:rPr>
          <w:lang w:val="fr-CH"/>
        </w:rPr>
        <w:t>’</w:t>
      </w:r>
      <w:r w:rsidRPr="00066C50">
        <w:rPr>
          <w:lang w:val="fr-CH"/>
        </w:rPr>
        <w:t>extrapolation ainsi que sur l</w:t>
      </w:r>
      <w:r w:rsidR="00322F95">
        <w:rPr>
          <w:lang w:val="fr-CH"/>
        </w:rPr>
        <w:t>’</w:t>
      </w:r>
      <w:r w:rsidRPr="00066C50">
        <w:rPr>
          <w:lang w:val="fr-CH"/>
        </w:rPr>
        <w:t>utilisation des valeurs extrêmes du pH.</w:t>
      </w:r>
    </w:p>
    <w:p w:rsidR="00066C50" w:rsidRDefault="00066C50" w:rsidP="006A2E93">
      <w:pPr>
        <w:pStyle w:val="SingleTxt"/>
        <w:rPr>
          <w:lang w:val="fr-CH"/>
        </w:rPr>
      </w:pPr>
      <w:r w:rsidRPr="00066C50">
        <w:rPr>
          <w:lang w:val="fr-CH"/>
        </w:rPr>
        <w:t>16.</w:t>
      </w:r>
      <w:r w:rsidRPr="00066C50">
        <w:rPr>
          <w:lang w:val="fr-CH"/>
        </w:rPr>
        <w:tab/>
        <w:t>Le Président du Sous-Comité TMD a indiqué que son sous-comité avait réitéré son engagement à envisager des méthodes non-fondées sur des épreuves (valeurs extrêmes du pH, principes d</w:t>
      </w:r>
      <w:r w:rsidR="00322F95">
        <w:rPr>
          <w:lang w:val="fr-CH"/>
        </w:rPr>
        <w:t>’</w:t>
      </w:r>
      <w:r w:rsidRPr="00066C50">
        <w:rPr>
          <w:lang w:val="fr-CH"/>
        </w:rPr>
        <w:t>additivité et d</w:t>
      </w:r>
      <w:r w:rsidR="00322F95">
        <w:rPr>
          <w:lang w:val="fr-CH"/>
        </w:rPr>
        <w:t>’</w:t>
      </w:r>
      <w:r w:rsidRPr="00066C50">
        <w:rPr>
          <w:lang w:val="fr-CH"/>
        </w:rPr>
        <w:t>extrapolation) pour évaluer la corrosivité dans la mesure où ces méthodes sont capables d</w:t>
      </w:r>
      <w:r w:rsidR="00322F95">
        <w:rPr>
          <w:lang w:val="fr-CH"/>
        </w:rPr>
        <w:t>’</w:t>
      </w:r>
      <w:r w:rsidRPr="00066C50">
        <w:rPr>
          <w:lang w:val="fr-CH"/>
        </w:rPr>
        <w:t>assurer le degré de précision nécessaire à la détermination du groupe d</w:t>
      </w:r>
      <w:r w:rsidR="00322F95">
        <w:rPr>
          <w:lang w:val="fr-CH"/>
        </w:rPr>
        <w:t>’</w:t>
      </w:r>
      <w:r w:rsidRPr="00066C50">
        <w:rPr>
          <w:lang w:val="fr-CH"/>
        </w:rPr>
        <w:t>emballage pour le transport. Le Sous-Comité TMD a accepté que le CEFIC et l</w:t>
      </w:r>
      <w:r w:rsidR="00322F95">
        <w:rPr>
          <w:lang w:val="fr-CH"/>
        </w:rPr>
        <w:t>’</w:t>
      </w:r>
      <w:r w:rsidRPr="00066C50">
        <w:rPr>
          <w:lang w:val="fr-CH"/>
        </w:rPr>
        <w:t>AISE élaborent une proposition incluant en priorité la méthode d</w:t>
      </w:r>
      <w:r w:rsidR="00322F95">
        <w:rPr>
          <w:lang w:val="fr-CH"/>
        </w:rPr>
        <w:t>’</w:t>
      </w:r>
      <w:r w:rsidRPr="00066C50">
        <w:rPr>
          <w:lang w:val="fr-CH"/>
        </w:rPr>
        <w:t xml:space="preserve">additivité sur la base du document informel INF.20 (soumis à la </w:t>
      </w:r>
      <w:r w:rsidR="00DF7878">
        <w:rPr>
          <w:lang w:val="fr-CH"/>
        </w:rPr>
        <w:t xml:space="preserve">quarante-huitième </w:t>
      </w:r>
      <w:r w:rsidRPr="00066C50">
        <w:rPr>
          <w:lang w:val="fr-CH"/>
        </w:rPr>
        <w:t>session du Sous-Comité TMD)</w:t>
      </w:r>
      <w:r w:rsidR="00DA7B68">
        <w:rPr>
          <w:rStyle w:val="FootnoteReference"/>
          <w:lang w:val="fr-CH"/>
        </w:rPr>
        <w:footnoteReference w:id="5"/>
      </w:r>
      <w:r w:rsidRPr="00066C50">
        <w:rPr>
          <w:lang w:val="fr-CH"/>
        </w:rPr>
        <w:t>.</w:t>
      </w:r>
    </w:p>
    <w:p w:rsidR="006A2E93" w:rsidRPr="006A2E93" w:rsidRDefault="006A2E93" w:rsidP="006A2E93">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A2E93" w:rsidRPr="006A2E93" w:rsidSect="00FB3624">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01T10:45:00Z" w:initials="Start">
    <w:p w:rsidR="004D024E" w:rsidRPr="005B4B34" w:rsidRDefault="004D024E">
      <w:pPr>
        <w:pStyle w:val="CommentText"/>
        <w:rPr>
          <w:lang w:val="en-US"/>
        </w:rPr>
      </w:pPr>
      <w:r>
        <w:fldChar w:fldCharType="begin"/>
      </w:r>
      <w:r w:rsidRPr="005B4B34">
        <w:rPr>
          <w:rStyle w:val="CommentReference"/>
          <w:lang w:val="en-US"/>
        </w:rPr>
        <w:instrText xml:space="preserve"> </w:instrText>
      </w:r>
      <w:r w:rsidRPr="005B4B34">
        <w:rPr>
          <w:lang w:val="en-US"/>
        </w:rPr>
        <w:instrText>PAGE \# "'Page: '#'</w:instrText>
      </w:r>
      <w:r w:rsidRPr="005B4B34">
        <w:rPr>
          <w:lang w:val="en-US"/>
        </w:rPr>
        <w:br/>
        <w:instrText>'"</w:instrText>
      </w:r>
      <w:r w:rsidRPr="005B4B34">
        <w:rPr>
          <w:rStyle w:val="CommentReference"/>
          <w:lang w:val="en-US"/>
        </w:rPr>
        <w:instrText xml:space="preserve"> </w:instrText>
      </w:r>
      <w:r>
        <w:fldChar w:fldCharType="end"/>
      </w:r>
      <w:r>
        <w:rPr>
          <w:rStyle w:val="CommentReference"/>
        </w:rPr>
        <w:annotationRef/>
      </w:r>
      <w:r w:rsidRPr="005B4B34">
        <w:rPr>
          <w:lang w:val="en-US"/>
        </w:rPr>
        <w:t>&lt;&lt;ODS JOB NO&gt;&gt;N1528835F&lt;&lt;ODS JOB NO&gt;&gt;</w:t>
      </w:r>
    </w:p>
    <w:p w:rsidR="004D024E" w:rsidRPr="005B4B34" w:rsidRDefault="004D024E">
      <w:pPr>
        <w:pStyle w:val="CommentText"/>
        <w:rPr>
          <w:lang w:val="en-US"/>
        </w:rPr>
      </w:pPr>
      <w:r w:rsidRPr="005B4B34">
        <w:rPr>
          <w:lang w:val="en-US"/>
        </w:rPr>
        <w:t>&lt;&lt;ODS DOC SYMBOL1&gt;&gt;ST/SG/AC.10/C.4/60&lt;&lt;ODS DOC SYMBOL1&gt;&gt;</w:t>
      </w:r>
    </w:p>
    <w:p w:rsidR="004D024E" w:rsidRDefault="004D024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90" w:rsidRDefault="00606990" w:rsidP="00F3330B">
      <w:pPr>
        <w:spacing w:line="240" w:lineRule="auto"/>
      </w:pPr>
      <w:r>
        <w:separator/>
      </w:r>
    </w:p>
  </w:endnote>
  <w:endnote w:type="continuationSeparator" w:id="0">
    <w:p w:rsidR="00606990" w:rsidRDefault="0060699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D024E" w:rsidTr="00FB3624">
      <w:trPr>
        <w:jc w:val="center"/>
      </w:trPr>
      <w:tc>
        <w:tcPr>
          <w:tcW w:w="5126" w:type="dxa"/>
          <w:shd w:val="clear" w:color="auto" w:fill="auto"/>
        </w:tcPr>
        <w:p w:rsidR="004D024E" w:rsidRPr="00FB3624" w:rsidRDefault="004D024E" w:rsidP="00FB362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E73C2">
            <w:rPr>
              <w:b w:val="0"/>
              <w:w w:val="103"/>
              <w:sz w:val="14"/>
            </w:rPr>
            <w:t>GE.15-22554</w:t>
          </w:r>
          <w:r>
            <w:rPr>
              <w:b w:val="0"/>
              <w:w w:val="103"/>
              <w:sz w:val="14"/>
            </w:rPr>
            <w:fldChar w:fldCharType="end"/>
          </w:r>
        </w:p>
      </w:tc>
      <w:tc>
        <w:tcPr>
          <w:tcW w:w="5127" w:type="dxa"/>
          <w:shd w:val="clear" w:color="auto" w:fill="auto"/>
        </w:tcPr>
        <w:p w:rsidR="004D024E" w:rsidRPr="00FB3624" w:rsidRDefault="004D024E" w:rsidP="00FB3624">
          <w:pPr>
            <w:pStyle w:val="Footer"/>
            <w:rPr>
              <w:w w:val="103"/>
            </w:rPr>
          </w:pPr>
          <w:r>
            <w:rPr>
              <w:w w:val="103"/>
            </w:rPr>
            <w:fldChar w:fldCharType="begin"/>
          </w:r>
          <w:r>
            <w:rPr>
              <w:w w:val="103"/>
            </w:rPr>
            <w:instrText xml:space="preserve"> PAGE  \* Arabic  \* MERGEFORMAT </w:instrText>
          </w:r>
          <w:r>
            <w:rPr>
              <w:w w:val="103"/>
            </w:rPr>
            <w:fldChar w:fldCharType="separate"/>
          </w:r>
          <w:r w:rsidR="000C1669">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1669">
            <w:rPr>
              <w:noProof/>
              <w:w w:val="103"/>
            </w:rPr>
            <w:t>16</w:t>
          </w:r>
          <w:r>
            <w:rPr>
              <w:w w:val="103"/>
            </w:rPr>
            <w:fldChar w:fldCharType="end"/>
          </w:r>
        </w:p>
      </w:tc>
    </w:tr>
  </w:tbl>
  <w:p w:rsidR="004D024E" w:rsidRPr="00FB3624" w:rsidRDefault="004D024E" w:rsidP="00FB3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D024E" w:rsidTr="00FB3624">
      <w:trPr>
        <w:jc w:val="center"/>
      </w:trPr>
      <w:tc>
        <w:tcPr>
          <w:tcW w:w="5126" w:type="dxa"/>
          <w:shd w:val="clear" w:color="auto" w:fill="auto"/>
        </w:tcPr>
        <w:p w:rsidR="004D024E" w:rsidRPr="00FB3624" w:rsidRDefault="004D024E" w:rsidP="00FB362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C1669">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1669">
            <w:rPr>
              <w:noProof/>
              <w:w w:val="103"/>
            </w:rPr>
            <w:t>17</w:t>
          </w:r>
          <w:r>
            <w:rPr>
              <w:w w:val="103"/>
            </w:rPr>
            <w:fldChar w:fldCharType="end"/>
          </w:r>
        </w:p>
      </w:tc>
      <w:tc>
        <w:tcPr>
          <w:tcW w:w="5127" w:type="dxa"/>
          <w:shd w:val="clear" w:color="auto" w:fill="auto"/>
        </w:tcPr>
        <w:p w:rsidR="004D024E" w:rsidRPr="00FB3624" w:rsidRDefault="004D024E" w:rsidP="00FB362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E73C2">
            <w:rPr>
              <w:b w:val="0"/>
              <w:w w:val="103"/>
              <w:sz w:val="14"/>
            </w:rPr>
            <w:t>GE.15-22554</w:t>
          </w:r>
          <w:r>
            <w:rPr>
              <w:b w:val="0"/>
              <w:w w:val="103"/>
              <w:sz w:val="14"/>
            </w:rPr>
            <w:fldChar w:fldCharType="end"/>
          </w:r>
        </w:p>
      </w:tc>
    </w:tr>
  </w:tbl>
  <w:p w:rsidR="004D024E" w:rsidRPr="00FB3624" w:rsidRDefault="004D024E" w:rsidP="00FB3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4E" w:rsidRDefault="004D024E">
    <w:pPr>
      <w:pStyle w:val="Footer"/>
    </w:pPr>
    <w:r>
      <w:rPr>
        <w:noProof/>
        <w:lang w:val="en-GB" w:eastAsia="en-GB"/>
      </w:rPr>
      <w:drawing>
        <wp:anchor distT="0" distB="0" distL="114300" distR="114300" simplePos="0" relativeHeight="251658240" behindDoc="0" locked="0" layoutInCell="1" allowOverlap="1" wp14:anchorId="02321329" wp14:editId="5615CDA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4/6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4/6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D024E" w:rsidTr="00FB3624">
      <w:tc>
        <w:tcPr>
          <w:tcW w:w="3859" w:type="dxa"/>
        </w:tcPr>
        <w:p w:rsidR="004D024E" w:rsidRDefault="004D024E" w:rsidP="00FB362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E73C2">
            <w:rPr>
              <w:b w:val="0"/>
              <w:sz w:val="20"/>
            </w:rPr>
            <w:t>GE.15-22554 (F)</w:t>
          </w:r>
          <w:r>
            <w:rPr>
              <w:b w:val="0"/>
              <w:sz w:val="20"/>
            </w:rPr>
            <w:fldChar w:fldCharType="end"/>
          </w:r>
          <w:r w:rsidR="00A03E87">
            <w:rPr>
              <w:b w:val="0"/>
              <w:sz w:val="20"/>
            </w:rPr>
            <w:t xml:space="preserve">    250216    02</w:t>
          </w:r>
          <w:r>
            <w:rPr>
              <w:b w:val="0"/>
              <w:sz w:val="20"/>
            </w:rPr>
            <w:t>0316</w:t>
          </w:r>
        </w:p>
        <w:p w:rsidR="004D024E" w:rsidRPr="00FB3624" w:rsidRDefault="004D024E" w:rsidP="00FB362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E73C2">
            <w:rPr>
              <w:rFonts w:ascii="Barcode 3 of 9 by request" w:hAnsi="Barcode 3 of 9 by request"/>
              <w:b w:val="0"/>
              <w:spacing w:val="0"/>
              <w:w w:val="100"/>
              <w:sz w:val="24"/>
            </w:rPr>
            <w:t>*1522554*</w:t>
          </w:r>
          <w:r>
            <w:rPr>
              <w:rFonts w:ascii="Barcode 3 of 9 by request" w:hAnsi="Barcode 3 of 9 by request"/>
              <w:b w:val="0"/>
              <w:spacing w:val="0"/>
              <w:w w:val="100"/>
              <w:sz w:val="24"/>
            </w:rPr>
            <w:fldChar w:fldCharType="end"/>
          </w:r>
        </w:p>
      </w:tc>
      <w:tc>
        <w:tcPr>
          <w:tcW w:w="5127" w:type="dxa"/>
        </w:tcPr>
        <w:p w:rsidR="004D024E" w:rsidRDefault="004D024E" w:rsidP="00FB3624">
          <w:pPr>
            <w:pStyle w:val="Footer"/>
            <w:spacing w:line="240" w:lineRule="atLeast"/>
            <w:jc w:val="right"/>
            <w:rPr>
              <w:b w:val="0"/>
              <w:sz w:val="20"/>
            </w:rPr>
          </w:pPr>
          <w:r>
            <w:rPr>
              <w:b w:val="0"/>
              <w:noProof/>
              <w:sz w:val="20"/>
              <w:lang w:val="en-GB" w:eastAsia="en-GB"/>
            </w:rPr>
            <w:drawing>
              <wp:inline distT="0" distB="0" distL="0" distR="0" wp14:anchorId="1D80787D" wp14:editId="649B099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D024E" w:rsidRPr="00FB3624" w:rsidRDefault="004D024E" w:rsidP="00FB362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90" w:rsidRPr="003E47D8" w:rsidRDefault="00606990" w:rsidP="003E47D8">
      <w:pPr>
        <w:pStyle w:val="Footer"/>
        <w:spacing w:after="80"/>
        <w:rPr>
          <w:sz w:val="16"/>
        </w:rPr>
      </w:pPr>
      <w:r w:rsidRPr="003E47D8">
        <w:rPr>
          <w:sz w:val="16"/>
        </w:rPr>
        <w:t>__________________</w:t>
      </w:r>
    </w:p>
  </w:footnote>
  <w:footnote w:type="continuationSeparator" w:id="0">
    <w:p w:rsidR="00606990" w:rsidRPr="003E47D8" w:rsidRDefault="00606990" w:rsidP="003E47D8">
      <w:pPr>
        <w:pStyle w:val="Footer"/>
        <w:spacing w:after="80"/>
        <w:rPr>
          <w:sz w:val="16"/>
        </w:rPr>
      </w:pPr>
      <w:r w:rsidRPr="003E47D8">
        <w:rPr>
          <w:sz w:val="16"/>
        </w:rPr>
        <w:t>__________________</w:t>
      </w:r>
    </w:p>
  </w:footnote>
  <w:footnote w:id="1">
    <w:p w:rsidR="000A5E1D" w:rsidRPr="000A5E1D" w:rsidRDefault="000A5E1D" w:rsidP="0044421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Voir le rapport du Sous-Comité</w:t>
      </w:r>
      <w:r w:rsidR="00E67F85">
        <w:t xml:space="preserve"> </w:t>
      </w:r>
      <w:r>
        <w:t>SGH sur sa vingt-neuvième session (document ST/SG/AC.10/58, par.</w:t>
      </w:r>
      <w:r w:rsidR="0044421C">
        <w:t> </w:t>
      </w:r>
      <w:r>
        <w:t>29 et 30).</w:t>
      </w:r>
    </w:p>
  </w:footnote>
  <w:footnote w:id="2">
    <w:p w:rsidR="005B3B04" w:rsidRPr="00AE076E" w:rsidRDefault="005B3B04" w:rsidP="00AE076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rsidRPr="00AE076E">
        <w:rPr>
          <w:lang w:val="fr-CH"/>
        </w:rPr>
        <w:t xml:space="preserve"> </w:t>
      </w:r>
      <w:r w:rsidRPr="00AE076E">
        <w:rPr>
          <w:lang w:val="fr-CH"/>
        </w:rPr>
        <w:tab/>
      </w:r>
      <w:r w:rsidR="00AE076E" w:rsidRPr="00AE076E">
        <w:rPr>
          <w:lang w:val="fr-CH"/>
        </w:rPr>
        <w:t>Voir le document</w:t>
      </w:r>
      <w:r w:rsidRPr="00AE076E">
        <w:rPr>
          <w:lang w:val="fr-CH"/>
        </w:rPr>
        <w:t xml:space="preserve"> ST/SG/AC.10/58, par</w:t>
      </w:r>
      <w:r w:rsidR="00AE076E">
        <w:rPr>
          <w:lang w:val="fr-CH"/>
        </w:rPr>
        <w:t>. </w:t>
      </w:r>
      <w:r w:rsidRPr="00AE076E">
        <w:rPr>
          <w:lang w:val="fr-CH"/>
        </w:rPr>
        <w:t xml:space="preserve">39 </w:t>
      </w:r>
      <w:r w:rsidR="00AE076E">
        <w:rPr>
          <w:lang w:val="fr-CH"/>
        </w:rPr>
        <w:t xml:space="preserve">et </w:t>
      </w:r>
      <w:r w:rsidRPr="00AE076E">
        <w:rPr>
          <w:lang w:val="fr-CH"/>
        </w:rPr>
        <w:t>annex</w:t>
      </w:r>
      <w:r w:rsidR="00AE076E">
        <w:rPr>
          <w:lang w:val="fr-CH"/>
        </w:rPr>
        <w:t>e</w:t>
      </w:r>
      <w:r w:rsidRPr="00AE076E">
        <w:rPr>
          <w:lang w:val="fr-CH"/>
        </w:rPr>
        <w:t>.</w:t>
      </w:r>
    </w:p>
  </w:footnote>
  <w:footnote w:id="3">
    <w:p w:rsidR="00755551" w:rsidRPr="00D55CEB" w:rsidRDefault="00755551" w:rsidP="00D55CE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AE076E">
        <w:rPr>
          <w:lang w:val="fr-CH"/>
        </w:rPr>
        <w:tab/>
      </w:r>
      <w:r>
        <w:rPr>
          <w:rStyle w:val="FootnoteReference"/>
        </w:rPr>
        <w:footnoteRef/>
      </w:r>
      <w:r w:rsidRPr="00D55CEB">
        <w:rPr>
          <w:lang w:val="fr-CH"/>
        </w:rPr>
        <w:t xml:space="preserve"> </w:t>
      </w:r>
      <w:r w:rsidRPr="00D55CEB">
        <w:rPr>
          <w:lang w:val="fr-CH"/>
        </w:rPr>
        <w:tab/>
      </w:r>
      <w:r w:rsidR="00D55CEB" w:rsidRPr="00D55CEB">
        <w:rPr>
          <w:lang w:val="fr-CH"/>
        </w:rPr>
        <w:t>Voir le rapport du Sous-Comité SGH sur sa vingt-neuvième session</w:t>
      </w:r>
      <w:r w:rsidRPr="00D55CEB">
        <w:rPr>
          <w:lang w:val="fr-CH"/>
        </w:rPr>
        <w:t xml:space="preserve"> (document ST/SG/AC.10/58, par.</w:t>
      </w:r>
      <w:r w:rsidR="00D55CEB">
        <w:rPr>
          <w:lang w:val="fr-CH"/>
        </w:rPr>
        <w:t> </w:t>
      </w:r>
      <w:r w:rsidRPr="00D55CEB">
        <w:rPr>
          <w:lang w:val="fr-CH"/>
        </w:rPr>
        <w:t xml:space="preserve">29 </w:t>
      </w:r>
      <w:r w:rsidR="00D55CEB">
        <w:rPr>
          <w:lang w:val="fr-CH"/>
        </w:rPr>
        <w:t>et</w:t>
      </w:r>
      <w:r w:rsidRPr="00D55CEB">
        <w:rPr>
          <w:lang w:val="fr-CH"/>
        </w:rPr>
        <w:t xml:space="preserve"> 30).</w:t>
      </w:r>
    </w:p>
  </w:footnote>
  <w:footnote w:id="4">
    <w:p w:rsidR="00C431D7" w:rsidRPr="005B4B34" w:rsidRDefault="00C431D7" w:rsidP="00C431D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en-US"/>
        </w:rPr>
      </w:pPr>
      <w:r w:rsidRPr="00D55CEB">
        <w:rPr>
          <w:lang w:val="fr-CH"/>
        </w:rPr>
        <w:tab/>
      </w:r>
      <w:r>
        <w:rPr>
          <w:rStyle w:val="FootnoteReference"/>
        </w:rPr>
        <w:footnoteRef/>
      </w:r>
      <w:r w:rsidRPr="005B4B34">
        <w:rPr>
          <w:lang w:val="en-US"/>
        </w:rPr>
        <w:t xml:space="preserve"> </w:t>
      </w:r>
      <w:r w:rsidRPr="005B4B34">
        <w:rPr>
          <w:lang w:val="en-US"/>
        </w:rPr>
        <w:tab/>
      </w:r>
      <w:r>
        <w:rPr>
          <w:lang w:val="en-US"/>
        </w:rPr>
        <w:t>http://www.unece.org/fileadmin/DAM/trans/doc/2015/dgac10c4/UN-SCEGHS-29-INF13.pdf.</w:t>
      </w:r>
    </w:p>
  </w:footnote>
  <w:footnote w:id="5">
    <w:p w:rsidR="00DA7B68" w:rsidRPr="005B4B34" w:rsidRDefault="00DA7B68" w:rsidP="00DA7B6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en-US"/>
        </w:rPr>
      </w:pPr>
      <w:r w:rsidRPr="005B4B34">
        <w:rPr>
          <w:lang w:val="en-US"/>
        </w:rPr>
        <w:tab/>
      </w:r>
      <w:r>
        <w:rPr>
          <w:rStyle w:val="FootnoteReference"/>
        </w:rPr>
        <w:footnoteRef/>
      </w:r>
      <w:r w:rsidRPr="005B4B34">
        <w:rPr>
          <w:lang w:val="en-US"/>
        </w:rPr>
        <w:t xml:space="preserve"> </w:t>
      </w:r>
      <w:r w:rsidRPr="005B4B34">
        <w:rPr>
          <w:lang w:val="en-US"/>
        </w:rPr>
        <w:tab/>
      </w:r>
      <w:r>
        <w:rPr>
          <w:lang w:val="en-US"/>
        </w:rPr>
        <w:t>http://www.unece.org/fileadmin/DAM/trans/doc/2015/dgac10c3/UN-SCETDG-48-INF20.pdf.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D024E" w:rsidTr="00FB3624">
      <w:trPr>
        <w:trHeight w:hRule="exact" w:val="864"/>
        <w:jc w:val="center"/>
      </w:trPr>
      <w:tc>
        <w:tcPr>
          <w:tcW w:w="4882" w:type="dxa"/>
          <w:shd w:val="clear" w:color="auto" w:fill="auto"/>
          <w:vAlign w:val="bottom"/>
        </w:tcPr>
        <w:p w:rsidR="004D024E" w:rsidRPr="00FB3624" w:rsidRDefault="004D024E" w:rsidP="00FB362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E73C2">
            <w:rPr>
              <w:b/>
              <w:color w:val="000000"/>
            </w:rPr>
            <w:t>ST/SG/AC.10/C.4/60</w:t>
          </w:r>
          <w:r>
            <w:rPr>
              <w:b/>
              <w:color w:val="000000"/>
            </w:rPr>
            <w:fldChar w:fldCharType="end"/>
          </w:r>
        </w:p>
      </w:tc>
      <w:tc>
        <w:tcPr>
          <w:tcW w:w="5127" w:type="dxa"/>
          <w:shd w:val="clear" w:color="auto" w:fill="auto"/>
          <w:vAlign w:val="bottom"/>
        </w:tcPr>
        <w:p w:rsidR="004D024E" w:rsidRDefault="004D024E" w:rsidP="00FB3624">
          <w:pPr>
            <w:pStyle w:val="Header"/>
          </w:pPr>
        </w:p>
      </w:tc>
    </w:tr>
  </w:tbl>
  <w:p w:rsidR="004D024E" w:rsidRPr="00FB3624" w:rsidRDefault="004D024E" w:rsidP="00FB362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D024E" w:rsidTr="00FB3624">
      <w:trPr>
        <w:trHeight w:hRule="exact" w:val="864"/>
        <w:jc w:val="center"/>
      </w:trPr>
      <w:tc>
        <w:tcPr>
          <w:tcW w:w="4882" w:type="dxa"/>
          <w:shd w:val="clear" w:color="auto" w:fill="auto"/>
          <w:vAlign w:val="bottom"/>
        </w:tcPr>
        <w:p w:rsidR="004D024E" w:rsidRDefault="004D024E" w:rsidP="00FB3624">
          <w:pPr>
            <w:pStyle w:val="Header"/>
          </w:pPr>
        </w:p>
      </w:tc>
      <w:tc>
        <w:tcPr>
          <w:tcW w:w="5127" w:type="dxa"/>
          <w:shd w:val="clear" w:color="auto" w:fill="auto"/>
          <w:vAlign w:val="bottom"/>
        </w:tcPr>
        <w:p w:rsidR="004D024E" w:rsidRPr="00FB3624" w:rsidRDefault="004D024E" w:rsidP="00FB362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E73C2">
            <w:rPr>
              <w:b/>
              <w:color w:val="000000"/>
            </w:rPr>
            <w:t>ST/SG/AC.10/C.4/60</w:t>
          </w:r>
          <w:r>
            <w:rPr>
              <w:b/>
              <w:color w:val="000000"/>
            </w:rPr>
            <w:fldChar w:fldCharType="end"/>
          </w:r>
        </w:p>
      </w:tc>
    </w:tr>
  </w:tbl>
  <w:p w:rsidR="004D024E" w:rsidRPr="00FB3624" w:rsidRDefault="004D024E" w:rsidP="00FB362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D024E" w:rsidTr="00FB3624">
      <w:trPr>
        <w:trHeight w:hRule="exact" w:val="864"/>
      </w:trPr>
      <w:tc>
        <w:tcPr>
          <w:tcW w:w="1267" w:type="dxa"/>
          <w:tcBorders>
            <w:bottom w:val="single" w:sz="4" w:space="0" w:color="auto"/>
          </w:tcBorders>
          <w:shd w:val="clear" w:color="auto" w:fill="auto"/>
          <w:vAlign w:val="bottom"/>
        </w:tcPr>
        <w:p w:rsidR="004D024E" w:rsidRDefault="004D024E" w:rsidP="00FB3624">
          <w:pPr>
            <w:pStyle w:val="Header"/>
            <w:spacing w:after="120"/>
          </w:pPr>
        </w:p>
      </w:tc>
      <w:tc>
        <w:tcPr>
          <w:tcW w:w="2059" w:type="dxa"/>
          <w:tcBorders>
            <w:bottom w:val="single" w:sz="4" w:space="0" w:color="auto"/>
          </w:tcBorders>
          <w:shd w:val="clear" w:color="auto" w:fill="auto"/>
          <w:vAlign w:val="bottom"/>
        </w:tcPr>
        <w:p w:rsidR="004D024E" w:rsidRPr="00FB3624" w:rsidRDefault="004D024E" w:rsidP="00FB362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D024E" w:rsidRDefault="004D024E" w:rsidP="00FB3624">
          <w:pPr>
            <w:pStyle w:val="Header"/>
            <w:spacing w:after="120"/>
          </w:pPr>
        </w:p>
      </w:tc>
      <w:tc>
        <w:tcPr>
          <w:tcW w:w="6653" w:type="dxa"/>
          <w:gridSpan w:val="4"/>
          <w:tcBorders>
            <w:bottom w:val="single" w:sz="4" w:space="0" w:color="auto"/>
          </w:tcBorders>
          <w:shd w:val="clear" w:color="auto" w:fill="auto"/>
          <w:vAlign w:val="bottom"/>
        </w:tcPr>
        <w:p w:rsidR="004D024E" w:rsidRPr="00FB3624" w:rsidRDefault="004D024E" w:rsidP="00FB3624">
          <w:pPr>
            <w:spacing w:after="80" w:line="240" w:lineRule="auto"/>
            <w:jc w:val="right"/>
            <w:rPr>
              <w:position w:val="-4"/>
            </w:rPr>
          </w:pPr>
          <w:r>
            <w:rPr>
              <w:position w:val="-4"/>
              <w:sz w:val="40"/>
            </w:rPr>
            <w:t>ST</w:t>
          </w:r>
          <w:r>
            <w:rPr>
              <w:position w:val="-4"/>
            </w:rPr>
            <w:t>/SG/AC.10/C.4/60</w:t>
          </w:r>
        </w:p>
      </w:tc>
    </w:tr>
    <w:tr w:rsidR="004D024E" w:rsidRPr="00FB3624" w:rsidTr="00FB3624">
      <w:trPr>
        <w:gridAfter w:val="1"/>
        <w:wAfter w:w="18" w:type="dxa"/>
        <w:trHeight w:hRule="exact" w:val="2880"/>
      </w:trPr>
      <w:tc>
        <w:tcPr>
          <w:tcW w:w="1267" w:type="dxa"/>
          <w:tcBorders>
            <w:top w:val="single" w:sz="4" w:space="0" w:color="auto"/>
            <w:bottom w:val="single" w:sz="12" w:space="0" w:color="auto"/>
          </w:tcBorders>
          <w:shd w:val="clear" w:color="auto" w:fill="auto"/>
        </w:tcPr>
        <w:p w:rsidR="004D024E" w:rsidRPr="00FB3624" w:rsidRDefault="004D024E" w:rsidP="00FB3624">
          <w:pPr>
            <w:pStyle w:val="Header"/>
            <w:spacing w:before="120" w:line="240" w:lineRule="auto"/>
            <w:ind w:left="-72"/>
            <w:jc w:val="center"/>
          </w:pPr>
          <w:r>
            <w:t xml:space="preserve">  </w:t>
          </w:r>
          <w:r>
            <w:rPr>
              <w:noProof/>
              <w:lang w:val="en-GB" w:eastAsia="en-GB"/>
            </w:rPr>
            <w:drawing>
              <wp:inline distT="0" distB="0" distL="0" distR="0" wp14:anchorId="41DC09D6" wp14:editId="31721F9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024E" w:rsidRPr="00FB3624" w:rsidRDefault="004D024E" w:rsidP="00FB3624">
          <w:pPr>
            <w:pStyle w:val="XLarge"/>
            <w:spacing w:before="109"/>
          </w:pPr>
          <w:r>
            <w:t>Secrétariat</w:t>
          </w:r>
        </w:p>
      </w:tc>
      <w:tc>
        <w:tcPr>
          <w:tcW w:w="245" w:type="dxa"/>
          <w:tcBorders>
            <w:top w:val="single" w:sz="4" w:space="0" w:color="auto"/>
            <w:bottom w:val="single" w:sz="12" w:space="0" w:color="auto"/>
          </w:tcBorders>
          <w:shd w:val="clear" w:color="auto" w:fill="auto"/>
        </w:tcPr>
        <w:p w:rsidR="004D024E" w:rsidRPr="00FB3624" w:rsidRDefault="004D024E" w:rsidP="00FB3624">
          <w:pPr>
            <w:pStyle w:val="Header"/>
            <w:spacing w:before="109"/>
          </w:pPr>
        </w:p>
      </w:tc>
      <w:tc>
        <w:tcPr>
          <w:tcW w:w="3280" w:type="dxa"/>
          <w:tcBorders>
            <w:top w:val="single" w:sz="4" w:space="0" w:color="auto"/>
            <w:bottom w:val="single" w:sz="12" w:space="0" w:color="auto"/>
          </w:tcBorders>
          <w:shd w:val="clear" w:color="auto" w:fill="auto"/>
        </w:tcPr>
        <w:p w:rsidR="004D024E" w:rsidRPr="005B4B34" w:rsidRDefault="004D024E" w:rsidP="00FB3624">
          <w:pPr>
            <w:pStyle w:val="Distribution"/>
            <w:rPr>
              <w:color w:val="000000"/>
              <w:lang w:val="fr-CH"/>
            </w:rPr>
          </w:pPr>
          <w:proofErr w:type="spellStart"/>
          <w:r w:rsidRPr="005B4B34">
            <w:rPr>
              <w:color w:val="000000"/>
              <w:lang w:val="fr-CH"/>
            </w:rPr>
            <w:t>Distr</w:t>
          </w:r>
          <w:proofErr w:type="spellEnd"/>
          <w:r w:rsidRPr="005B4B34">
            <w:rPr>
              <w:color w:val="000000"/>
              <w:lang w:val="fr-CH"/>
            </w:rPr>
            <w:t>. générale</w:t>
          </w:r>
        </w:p>
        <w:p w:rsidR="004D024E" w:rsidRPr="005B4B34" w:rsidRDefault="004D024E" w:rsidP="00FB3624">
          <w:pPr>
            <w:pStyle w:val="Publication"/>
            <w:rPr>
              <w:color w:val="000000"/>
              <w:lang w:val="fr-CH"/>
            </w:rPr>
          </w:pPr>
          <w:r w:rsidRPr="005B4B34">
            <w:rPr>
              <w:color w:val="000000"/>
              <w:lang w:val="fr-CH"/>
            </w:rPr>
            <w:t>21 décembre 2015</w:t>
          </w:r>
        </w:p>
        <w:p w:rsidR="004D024E" w:rsidRPr="005B4B34" w:rsidRDefault="004D024E" w:rsidP="00FB3624">
          <w:pPr>
            <w:rPr>
              <w:lang w:val="fr-CH"/>
            </w:rPr>
          </w:pPr>
          <w:r w:rsidRPr="005B4B34">
            <w:rPr>
              <w:lang w:val="fr-CH"/>
            </w:rPr>
            <w:t>Français</w:t>
          </w:r>
        </w:p>
        <w:p w:rsidR="004D024E" w:rsidRPr="005B4B34" w:rsidRDefault="004D024E" w:rsidP="00FB3624">
          <w:pPr>
            <w:pStyle w:val="Original"/>
            <w:rPr>
              <w:color w:val="000000"/>
              <w:lang w:val="fr-CH"/>
            </w:rPr>
          </w:pPr>
          <w:r w:rsidRPr="005B4B34">
            <w:rPr>
              <w:color w:val="000000"/>
              <w:lang w:val="fr-CH"/>
            </w:rPr>
            <w:t>Original : anglais</w:t>
          </w:r>
        </w:p>
      </w:tc>
    </w:tr>
  </w:tbl>
  <w:p w:rsidR="004D024E" w:rsidRPr="005B4B34" w:rsidRDefault="004D024E" w:rsidP="00FB362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53177C"/>
    <w:multiLevelType w:val="singleLevel"/>
    <w:tmpl w:val="11CAC9A0"/>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0132E"/>
    <w:multiLevelType w:val="singleLevel"/>
    <w:tmpl w:val="11CAC9A0"/>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90022"/>
    <w:multiLevelType w:val="multilevel"/>
    <w:tmpl w:val="6EE22C6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554*"/>
    <w:docVar w:name="CreationDt" w:val="3/1/2016 10:45 AM"/>
    <w:docVar w:name="DocCategory" w:val="Doc"/>
    <w:docVar w:name="DocType" w:val="Final"/>
    <w:docVar w:name="DutyStation" w:val="Geneva"/>
    <w:docVar w:name="FooterJN" w:val="GE.15-22554"/>
    <w:docVar w:name="jobn" w:val="GE.15-22554 (F)"/>
    <w:docVar w:name="jobnDT" w:val="GE.15-22554 (F)   010316"/>
    <w:docVar w:name="jobnDTDT" w:val="GE.15-22554 (F)   010316   010316"/>
    <w:docVar w:name="JobNo" w:val="GE.1522554F"/>
    <w:docVar w:name="JobNo2" w:val="GE.1528835F"/>
    <w:docVar w:name="LocalDrive" w:val="0"/>
    <w:docVar w:name="OandT" w:val="CC"/>
    <w:docVar w:name="PaperSize" w:val="A4"/>
    <w:docVar w:name="sss1" w:val="ST/SG/AC.10/C.4/60"/>
    <w:docVar w:name="sss2" w:val="-"/>
    <w:docVar w:name="Symbol1" w:val="ST/SG/AC.10/C.4/60"/>
    <w:docVar w:name="Symbol2" w:val="-"/>
  </w:docVars>
  <w:rsids>
    <w:rsidRoot w:val="0095268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6C50"/>
    <w:rsid w:val="000675CF"/>
    <w:rsid w:val="00071173"/>
    <w:rsid w:val="0007246F"/>
    <w:rsid w:val="000746A5"/>
    <w:rsid w:val="00074EA0"/>
    <w:rsid w:val="00075140"/>
    <w:rsid w:val="000776CA"/>
    <w:rsid w:val="00077CC4"/>
    <w:rsid w:val="00083D89"/>
    <w:rsid w:val="00084F1C"/>
    <w:rsid w:val="00085112"/>
    <w:rsid w:val="0008708F"/>
    <w:rsid w:val="00091BC1"/>
    <w:rsid w:val="00091DBD"/>
    <w:rsid w:val="00094C31"/>
    <w:rsid w:val="00096B3C"/>
    <w:rsid w:val="000A18B6"/>
    <w:rsid w:val="000A24DE"/>
    <w:rsid w:val="000A2612"/>
    <w:rsid w:val="000A2DFB"/>
    <w:rsid w:val="000A3AB1"/>
    <w:rsid w:val="000A4A47"/>
    <w:rsid w:val="000A5E1D"/>
    <w:rsid w:val="000A74D1"/>
    <w:rsid w:val="000B0E9A"/>
    <w:rsid w:val="000B1A18"/>
    <w:rsid w:val="000B2CD0"/>
    <w:rsid w:val="000B3ED4"/>
    <w:rsid w:val="000B5AF0"/>
    <w:rsid w:val="000B6B84"/>
    <w:rsid w:val="000B7004"/>
    <w:rsid w:val="000C085A"/>
    <w:rsid w:val="000C1669"/>
    <w:rsid w:val="000C349B"/>
    <w:rsid w:val="000C683C"/>
    <w:rsid w:val="000D2607"/>
    <w:rsid w:val="000D44E3"/>
    <w:rsid w:val="000D5D82"/>
    <w:rsid w:val="000D66AC"/>
    <w:rsid w:val="000D7ED4"/>
    <w:rsid w:val="000E1550"/>
    <w:rsid w:val="000E1ABE"/>
    <w:rsid w:val="000F04A8"/>
    <w:rsid w:val="000F1B8A"/>
    <w:rsid w:val="000F299A"/>
    <w:rsid w:val="000F36A0"/>
    <w:rsid w:val="000F53E9"/>
    <w:rsid w:val="000F667A"/>
    <w:rsid w:val="000F6A05"/>
    <w:rsid w:val="000F6E7D"/>
    <w:rsid w:val="00101041"/>
    <w:rsid w:val="001027E2"/>
    <w:rsid w:val="0010575E"/>
    <w:rsid w:val="00106549"/>
    <w:rsid w:val="00107710"/>
    <w:rsid w:val="00107C97"/>
    <w:rsid w:val="00110242"/>
    <w:rsid w:val="0011255C"/>
    <w:rsid w:val="001126A7"/>
    <w:rsid w:val="00112FE9"/>
    <w:rsid w:val="001148F0"/>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BE3"/>
    <w:rsid w:val="00144DE1"/>
    <w:rsid w:val="00145A1F"/>
    <w:rsid w:val="001466A3"/>
    <w:rsid w:val="00147051"/>
    <w:rsid w:val="001471CF"/>
    <w:rsid w:val="00147C90"/>
    <w:rsid w:val="00151710"/>
    <w:rsid w:val="00151AC8"/>
    <w:rsid w:val="001528C0"/>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791"/>
    <w:rsid w:val="001B5A24"/>
    <w:rsid w:val="001C0599"/>
    <w:rsid w:val="001C2BC6"/>
    <w:rsid w:val="001C3C57"/>
    <w:rsid w:val="001C4664"/>
    <w:rsid w:val="001C4EBE"/>
    <w:rsid w:val="001C5B90"/>
    <w:rsid w:val="001C7C82"/>
    <w:rsid w:val="001D0E60"/>
    <w:rsid w:val="001D272D"/>
    <w:rsid w:val="001D280C"/>
    <w:rsid w:val="001D294E"/>
    <w:rsid w:val="001D688B"/>
    <w:rsid w:val="001E2D50"/>
    <w:rsid w:val="001E44F3"/>
    <w:rsid w:val="001F0501"/>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27CBA"/>
    <w:rsid w:val="00237D01"/>
    <w:rsid w:val="00240F64"/>
    <w:rsid w:val="002410E3"/>
    <w:rsid w:val="00241F29"/>
    <w:rsid w:val="00242452"/>
    <w:rsid w:val="00243D1C"/>
    <w:rsid w:val="00245B48"/>
    <w:rsid w:val="00246425"/>
    <w:rsid w:val="002515C7"/>
    <w:rsid w:val="002523F6"/>
    <w:rsid w:val="00252402"/>
    <w:rsid w:val="00254656"/>
    <w:rsid w:val="002548B3"/>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B8"/>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6689"/>
    <w:rsid w:val="002E6E45"/>
    <w:rsid w:val="002E76EC"/>
    <w:rsid w:val="002E79AF"/>
    <w:rsid w:val="002F048A"/>
    <w:rsid w:val="002F0E01"/>
    <w:rsid w:val="002F18EE"/>
    <w:rsid w:val="002F1E33"/>
    <w:rsid w:val="002F493A"/>
    <w:rsid w:val="002F5482"/>
    <w:rsid w:val="002F5972"/>
    <w:rsid w:val="002F6C45"/>
    <w:rsid w:val="00303A3C"/>
    <w:rsid w:val="00303D82"/>
    <w:rsid w:val="00303E4E"/>
    <w:rsid w:val="003047D2"/>
    <w:rsid w:val="00306DE1"/>
    <w:rsid w:val="0030788D"/>
    <w:rsid w:val="00316628"/>
    <w:rsid w:val="00316B58"/>
    <w:rsid w:val="00322F95"/>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1BCB"/>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0613"/>
    <w:rsid w:val="004216F7"/>
    <w:rsid w:val="00423B11"/>
    <w:rsid w:val="00423B2F"/>
    <w:rsid w:val="0042753D"/>
    <w:rsid w:val="004309B5"/>
    <w:rsid w:val="0043103D"/>
    <w:rsid w:val="00432662"/>
    <w:rsid w:val="00433AB0"/>
    <w:rsid w:val="00433CC1"/>
    <w:rsid w:val="004342B2"/>
    <w:rsid w:val="00441593"/>
    <w:rsid w:val="00443A00"/>
    <w:rsid w:val="0044421C"/>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1B28"/>
    <w:rsid w:val="00487428"/>
    <w:rsid w:val="00491CD5"/>
    <w:rsid w:val="00492510"/>
    <w:rsid w:val="00492DC3"/>
    <w:rsid w:val="004973EC"/>
    <w:rsid w:val="004A0AA6"/>
    <w:rsid w:val="004A1763"/>
    <w:rsid w:val="004A186E"/>
    <w:rsid w:val="004A2319"/>
    <w:rsid w:val="004A2455"/>
    <w:rsid w:val="004A673D"/>
    <w:rsid w:val="004A698E"/>
    <w:rsid w:val="004A7606"/>
    <w:rsid w:val="004B1DBB"/>
    <w:rsid w:val="004B56C6"/>
    <w:rsid w:val="004B7E99"/>
    <w:rsid w:val="004C1A6A"/>
    <w:rsid w:val="004C304C"/>
    <w:rsid w:val="004C38FF"/>
    <w:rsid w:val="004C5C41"/>
    <w:rsid w:val="004D024E"/>
    <w:rsid w:val="004D13C8"/>
    <w:rsid w:val="004D4F44"/>
    <w:rsid w:val="004D5D20"/>
    <w:rsid w:val="004D6212"/>
    <w:rsid w:val="004D789D"/>
    <w:rsid w:val="004E0FB8"/>
    <w:rsid w:val="004E272F"/>
    <w:rsid w:val="004E2B64"/>
    <w:rsid w:val="004E4258"/>
    <w:rsid w:val="004E47A4"/>
    <w:rsid w:val="004E5FB3"/>
    <w:rsid w:val="004E63AF"/>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B04"/>
    <w:rsid w:val="005B3C4C"/>
    <w:rsid w:val="005B4B34"/>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3C46"/>
    <w:rsid w:val="00606990"/>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29B3"/>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E93"/>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4DBD"/>
    <w:rsid w:val="00734DD3"/>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5551"/>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0D3B"/>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3078"/>
    <w:rsid w:val="007B4C73"/>
    <w:rsid w:val="007C0C1F"/>
    <w:rsid w:val="007C1F58"/>
    <w:rsid w:val="007C206E"/>
    <w:rsid w:val="007C2936"/>
    <w:rsid w:val="007C4A36"/>
    <w:rsid w:val="007C662A"/>
    <w:rsid w:val="007C7D7F"/>
    <w:rsid w:val="007D33BA"/>
    <w:rsid w:val="007D385A"/>
    <w:rsid w:val="007D5358"/>
    <w:rsid w:val="007D6FCB"/>
    <w:rsid w:val="007D7C5B"/>
    <w:rsid w:val="007D7FD4"/>
    <w:rsid w:val="007E2FEB"/>
    <w:rsid w:val="007E3CF9"/>
    <w:rsid w:val="007E74E9"/>
    <w:rsid w:val="007F0ED6"/>
    <w:rsid w:val="007F1AB9"/>
    <w:rsid w:val="007F3DCC"/>
    <w:rsid w:val="007F41AC"/>
    <w:rsid w:val="007F49BD"/>
    <w:rsid w:val="007F687B"/>
    <w:rsid w:val="007F6F95"/>
    <w:rsid w:val="007F77CB"/>
    <w:rsid w:val="00800903"/>
    <w:rsid w:val="008040BA"/>
    <w:rsid w:val="00804131"/>
    <w:rsid w:val="00804565"/>
    <w:rsid w:val="00806A3B"/>
    <w:rsid w:val="00807CA4"/>
    <w:rsid w:val="008100FD"/>
    <w:rsid w:val="008114C3"/>
    <w:rsid w:val="00812AD3"/>
    <w:rsid w:val="00814C2A"/>
    <w:rsid w:val="00816ECE"/>
    <w:rsid w:val="008173CF"/>
    <w:rsid w:val="00817884"/>
    <w:rsid w:val="0082537E"/>
    <w:rsid w:val="00825C31"/>
    <w:rsid w:val="00831BD0"/>
    <w:rsid w:val="00832975"/>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C91"/>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3296"/>
    <w:rsid w:val="00887256"/>
    <w:rsid w:val="00887BDD"/>
    <w:rsid w:val="00890252"/>
    <w:rsid w:val="00890BEA"/>
    <w:rsid w:val="00890EF0"/>
    <w:rsid w:val="0089184F"/>
    <w:rsid w:val="00891ADA"/>
    <w:rsid w:val="00894CBC"/>
    <w:rsid w:val="008962D4"/>
    <w:rsid w:val="008A1832"/>
    <w:rsid w:val="008A3ABC"/>
    <w:rsid w:val="008A4C0E"/>
    <w:rsid w:val="008A5334"/>
    <w:rsid w:val="008A630B"/>
    <w:rsid w:val="008A6CA0"/>
    <w:rsid w:val="008A734B"/>
    <w:rsid w:val="008B24ED"/>
    <w:rsid w:val="008B5932"/>
    <w:rsid w:val="008C1225"/>
    <w:rsid w:val="008C1646"/>
    <w:rsid w:val="008C189A"/>
    <w:rsid w:val="008C1E51"/>
    <w:rsid w:val="008C2C0E"/>
    <w:rsid w:val="008C2E85"/>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5476"/>
    <w:rsid w:val="008F6630"/>
    <w:rsid w:val="008F7622"/>
    <w:rsid w:val="0090311E"/>
    <w:rsid w:val="0090438E"/>
    <w:rsid w:val="00906110"/>
    <w:rsid w:val="0090704E"/>
    <w:rsid w:val="0091108F"/>
    <w:rsid w:val="00912181"/>
    <w:rsid w:val="009133F5"/>
    <w:rsid w:val="00913714"/>
    <w:rsid w:val="00914786"/>
    <w:rsid w:val="00915680"/>
    <w:rsid w:val="00915FB9"/>
    <w:rsid w:val="0091610E"/>
    <w:rsid w:val="00916373"/>
    <w:rsid w:val="00916548"/>
    <w:rsid w:val="00916A77"/>
    <w:rsid w:val="00921BE8"/>
    <w:rsid w:val="00922E3D"/>
    <w:rsid w:val="009316DC"/>
    <w:rsid w:val="00931752"/>
    <w:rsid w:val="00932D0F"/>
    <w:rsid w:val="00932FDF"/>
    <w:rsid w:val="0093368C"/>
    <w:rsid w:val="00936529"/>
    <w:rsid w:val="009379FF"/>
    <w:rsid w:val="00940B65"/>
    <w:rsid w:val="0094133A"/>
    <w:rsid w:val="0094148D"/>
    <w:rsid w:val="009419AD"/>
    <w:rsid w:val="00942E46"/>
    <w:rsid w:val="0095064A"/>
    <w:rsid w:val="00951A0B"/>
    <w:rsid w:val="00952689"/>
    <w:rsid w:val="009535B3"/>
    <w:rsid w:val="00953A36"/>
    <w:rsid w:val="00953F33"/>
    <w:rsid w:val="00955DBA"/>
    <w:rsid w:val="00956713"/>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A9B"/>
    <w:rsid w:val="009B4EEC"/>
    <w:rsid w:val="009C1815"/>
    <w:rsid w:val="009C5249"/>
    <w:rsid w:val="009C70D0"/>
    <w:rsid w:val="009C7F1B"/>
    <w:rsid w:val="009D5A2E"/>
    <w:rsid w:val="009D653C"/>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3E87"/>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3DDF"/>
    <w:rsid w:val="00A546A6"/>
    <w:rsid w:val="00A54A5E"/>
    <w:rsid w:val="00A55810"/>
    <w:rsid w:val="00A56CDD"/>
    <w:rsid w:val="00A56E3B"/>
    <w:rsid w:val="00A57C5A"/>
    <w:rsid w:val="00A64AD2"/>
    <w:rsid w:val="00A674D1"/>
    <w:rsid w:val="00A72C1F"/>
    <w:rsid w:val="00A72F5E"/>
    <w:rsid w:val="00A75482"/>
    <w:rsid w:val="00A75A3C"/>
    <w:rsid w:val="00A761B5"/>
    <w:rsid w:val="00A83E5E"/>
    <w:rsid w:val="00A84C12"/>
    <w:rsid w:val="00A85CA4"/>
    <w:rsid w:val="00A85D04"/>
    <w:rsid w:val="00A85DB4"/>
    <w:rsid w:val="00A86044"/>
    <w:rsid w:val="00A87564"/>
    <w:rsid w:val="00A90002"/>
    <w:rsid w:val="00A9194C"/>
    <w:rsid w:val="00A96709"/>
    <w:rsid w:val="00A97EBD"/>
    <w:rsid w:val="00AA260F"/>
    <w:rsid w:val="00AA5F19"/>
    <w:rsid w:val="00AA750A"/>
    <w:rsid w:val="00AB001C"/>
    <w:rsid w:val="00AB30D0"/>
    <w:rsid w:val="00AB37D7"/>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76E"/>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3E19"/>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67C"/>
    <w:rsid w:val="00B81A2A"/>
    <w:rsid w:val="00B82E95"/>
    <w:rsid w:val="00B84109"/>
    <w:rsid w:val="00B85BDA"/>
    <w:rsid w:val="00B870D6"/>
    <w:rsid w:val="00B874A9"/>
    <w:rsid w:val="00B913B0"/>
    <w:rsid w:val="00B932C8"/>
    <w:rsid w:val="00B93B31"/>
    <w:rsid w:val="00B9457F"/>
    <w:rsid w:val="00B965BF"/>
    <w:rsid w:val="00BA06B1"/>
    <w:rsid w:val="00BA1DF6"/>
    <w:rsid w:val="00BA2FF1"/>
    <w:rsid w:val="00BA3125"/>
    <w:rsid w:val="00BA3654"/>
    <w:rsid w:val="00BA600B"/>
    <w:rsid w:val="00BC05C8"/>
    <w:rsid w:val="00BC0F9A"/>
    <w:rsid w:val="00BC3D5F"/>
    <w:rsid w:val="00BC43E2"/>
    <w:rsid w:val="00BC573E"/>
    <w:rsid w:val="00BD0917"/>
    <w:rsid w:val="00BD1607"/>
    <w:rsid w:val="00BD45A0"/>
    <w:rsid w:val="00BD45BA"/>
    <w:rsid w:val="00BE1D55"/>
    <w:rsid w:val="00BE2F51"/>
    <w:rsid w:val="00BE3214"/>
    <w:rsid w:val="00BE5325"/>
    <w:rsid w:val="00BE5439"/>
    <w:rsid w:val="00BE62DB"/>
    <w:rsid w:val="00BE6CA5"/>
    <w:rsid w:val="00BE73C2"/>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1BF8"/>
    <w:rsid w:val="00C23EFE"/>
    <w:rsid w:val="00C26CD3"/>
    <w:rsid w:val="00C3047B"/>
    <w:rsid w:val="00C30749"/>
    <w:rsid w:val="00C3163F"/>
    <w:rsid w:val="00C35E4D"/>
    <w:rsid w:val="00C431D7"/>
    <w:rsid w:val="00C436F7"/>
    <w:rsid w:val="00C45393"/>
    <w:rsid w:val="00C45692"/>
    <w:rsid w:val="00C46175"/>
    <w:rsid w:val="00C472E3"/>
    <w:rsid w:val="00C479DB"/>
    <w:rsid w:val="00C47E57"/>
    <w:rsid w:val="00C55B02"/>
    <w:rsid w:val="00C56142"/>
    <w:rsid w:val="00C56B3A"/>
    <w:rsid w:val="00C56EFE"/>
    <w:rsid w:val="00C57F00"/>
    <w:rsid w:val="00C60C0B"/>
    <w:rsid w:val="00C66382"/>
    <w:rsid w:val="00C67F09"/>
    <w:rsid w:val="00C72788"/>
    <w:rsid w:val="00C75F9C"/>
    <w:rsid w:val="00C76A5E"/>
    <w:rsid w:val="00C770FD"/>
    <w:rsid w:val="00C81429"/>
    <w:rsid w:val="00C865D9"/>
    <w:rsid w:val="00C87110"/>
    <w:rsid w:val="00C90813"/>
    <w:rsid w:val="00C90C2B"/>
    <w:rsid w:val="00C9582B"/>
    <w:rsid w:val="00C978FA"/>
    <w:rsid w:val="00CA042E"/>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5C23"/>
    <w:rsid w:val="00CE1548"/>
    <w:rsid w:val="00CE2827"/>
    <w:rsid w:val="00CE3799"/>
    <w:rsid w:val="00CE4AA9"/>
    <w:rsid w:val="00CE5477"/>
    <w:rsid w:val="00CE7ADD"/>
    <w:rsid w:val="00CF295A"/>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203"/>
    <w:rsid w:val="00D447E5"/>
    <w:rsid w:val="00D457D0"/>
    <w:rsid w:val="00D463A4"/>
    <w:rsid w:val="00D4699C"/>
    <w:rsid w:val="00D47877"/>
    <w:rsid w:val="00D513A1"/>
    <w:rsid w:val="00D52BB3"/>
    <w:rsid w:val="00D55CEB"/>
    <w:rsid w:val="00D57D07"/>
    <w:rsid w:val="00D618E7"/>
    <w:rsid w:val="00D619A2"/>
    <w:rsid w:val="00D6375A"/>
    <w:rsid w:val="00D64A77"/>
    <w:rsid w:val="00D66AB5"/>
    <w:rsid w:val="00D67265"/>
    <w:rsid w:val="00D676A0"/>
    <w:rsid w:val="00D70856"/>
    <w:rsid w:val="00D73117"/>
    <w:rsid w:val="00D73D86"/>
    <w:rsid w:val="00D81404"/>
    <w:rsid w:val="00D8335C"/>
    <w:rsid w:val="00D84D67"/>
    <w:rsid w:val="00D9068D"/>
    <w:rsid w:val="00D92B16"/>
    <w:rsid w:val="00D93862"/>
    <w:rsid w:val="00D93CC2"/>
    <w:rsid w:val="00D9629E"/>
    <w:rsid w:val="00D97633"/>
    <w:rsid w:val="00DA05AF"/>
    <w:rsid w:val="00DA2106"/>
    <w:rsid w:val="00DA23EB"/>
    <w:rsid w:val="00DA4ECD"/>
    <w:rsid w:val="00DA7B68"/>
    <w:rsid w:val="00DB02EF"/>
    <w:rsid w:val="00DB0A56"/>
    <w:rsid w:val="00DB1007"/>
    <w:rsid w:val="00DB1699"/>
    <w:rsid w:val="00DB3DC8"/>
    <w:rsid w:val="00DB406E"/>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DF7878"/>
    <w:rsid w:val="00E00127"/>
    <w:rsid w:val="00E003D9"/>
    <w:rsid w:val="00E00C20"/>
    <w:rsid w:val="00E028F6"/>
    <w:rsid w:val="00E036CD"/>
    <w:rsid w:val="00E0543E"/>
    <w:rsid w:val="00E0753F"/>
    <w:rsid w:val="00E1038F"/>
    <w:rsid w:val="00E10BF1"/>
    <w:rsid w:val="00E11B5C"/>
    <w:rsid w:val="00E13E2B"/>
    <w:rsid w:val="00E22DB7"/>
    <w:rsid w:val="00E23C1B"/>
    <w:rsid w:val="00E24D2B"/>
    <w:rsid w:val="00E2514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67F85"/>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6437"/>
    <w:rsid w:val="00F13DC7"/>
    <w:rsid w:val="00F14729"/>
    <w:rsid w:val="00F14ED7"/>
    <w:rsid w:val="00F150D6"/>
    <w:rsid w:val="00F17670"/>
    <w:rsid w:val="00F17A90"/>
    <w:rsid w:val="00F2031D"/>
    <w:rsid w:val="00F24001"/>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6BD3"/>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115C"/>
    <w:rsid w:val="00FB3624"/>
    <w:rsid w:val="00FB3AA4"/>
    <w:rsid w:val="00FB3C35"/>
    <w:rsid w:val="00FB4627"/>
    <w:rsid w:val="00FC0F57"/>
    <w:rsid w:val="00FC1BC9"/>
    <w:rsid w:val="00FC4133"/>
    <w:rsid w:val="00FC41DA"/>
    <w:rsid w:val="00FC475B"/>
    <w:rsid w:val="00FC5C65"/>
    <w:rsid w:val="00FC75B8"/>
    <w:rsid w:val="00FC75D3"/>
    <w:rsid w:val="00FD318F"/>
    <w:rsid w:val="00FD40E5"/>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B3624"/>
    <w:rPr>
      <w:sz w:val="16"/>
      <w:szCs w:val="16"/>
    </w:rPr>
  </w:style>
  <w:style w:type="paragraph" w:styleId="CommentText">
    <w:name w:val="annotation text"/>
    <w:basedOn w:val="Normal"/>
    <w:link w:val="CommentTextChar"/>
    <w:uiPriority w:val="99"/>
    <w:semiHidden/>
    <w:unhideWhenUsed/>
    <w:rsid w:val="00FB3624"/>
    <w:pPr>
      <w:spacing w:line="240" w:lineRule="auto"/>
    </w:pPr>
    <w:rPr>
      <w:szCs w:val="20"/>
    </w:rPr>
  </w:style>
  <w:style w:type="character" w:customStyle="1" w:styleId="CommentTextChar">
    <w:name w:val="Comment Text Char"/>
    <w:basedOn w:val="DefaultParagraphFont"/>
    <w:link w:val="CommentText"/>
    <w:uiPriority w:val="99"/>
    <w:semiHidden/>
    <w:rsid w:val="00FB362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B3624"/>
    <w:rPr>
      <w:b/>
      <w:bCs/>
    </w:rPr>
  </w:style>
  <w:style w:type="character" w:customStyle="1" w:styleId="CommentSubjectChar">
    <w:name w:val="Comment Subject Char"/>
    <w:basedOn w:val="CommentTextChar"/>
    <w:link w:val="CommentSubject"/>
    <w:uiPriority w:val="99"/>
    <w:semiHidden/>
    <w:rsid w:val="00FB3624"/>
    <w:rPr>
      <w:rFonts w:ascii="Times New Roman" w:hAnsi="Times New Roman"/>
      <w:b/>
      <w:bCs/>
      <w:spacing w:val="4"/>
      <w:w w:val="103"/>
      <w:kern w:val="14"/>
      <w:lang w:val="fr-CA"/>
    </w:rPr>
  </w:style>
  <w:style w:type="table" w:styleId="TableGrid">
    <w:name w:val="Table Grid"/>
    <w:basedOn w:val="TableNormal"/>
    <w:uiPriority w:val="59"/>
    <w:rsid w:val="008A6CA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B3624"/>
    <w:rPr>
      <w:sz w:val="16"/>
      <w:szCs w:val="16"/>
    </w:rPr>
  </w:style>
  <w:style w:type="paragraph" w:styleId="CommentText">
    <w:name w:val="annotation text"/>
    <w:basedOn w:val="Normal"/>
    <w:link w:val="CommentTextChar"/>
    <w:uiPriority w:val="99"/>
    <w:semiHidden/>
    <w:unhideWhenUsed/>
    <w:rsid w:val="00FB3624"/>
    <w:pPr>
      <w:spacing w:line="240" w:lineRule="auto"/>
    </w:pPr>
    <w:rPr>
      <w:szCs w:val="20"/>
    </w:rPr>
  </w:style>
  <w:style w:type="character" w:customStyle="1" w:styleId="CommentTextChar">
    <w:name w:val="Comment Text Char"/>
    <w:basedOn w:val="DefaultParagraphFont"/>
    <w:link w:val="CommentText"/>
    <w:uiPriority w:val="99"/>
    <w:semiHidden/>
    <w:rsid w:val="00FB362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B3624"/>
    <w:rPr>
      <w:b/>
      <w:bCs/>
    </w:rPr>
  </w:style>
  <w:style w:type="character" w:customStyle="1" w:styleId="CommentSubjectChar">
    <w:name w:val="Comment Subject Char"/>
    <w:basedOn w:val="CommentTextChar"/>
    <w:link w:val="CommentSubject"/>
    <w:uiPriority w:val="99"/>
    <w:semiHidden/>
    <w:rsid w:val="00FB3624"/>
    <w:rPr>
      <w:rFonts w:ascii="Times New Roman" w:hAnsi="Times New Roman"/>
      <w:b/>
      <w:bCs/>
      <w:spacing w:val="4"/>
      <w:w w:val="103"/>
      <w:kern w:val="14"/>
      <w:lang w:val="fr-CA"/>
    </w:rPr>
  </w:style>
  <w:style w:type="table" w:styleId="TableGrid">
    <w:name w:val="Table Grid"/>
    <w:basedOn w:val="TableNormal"/>
    <w:uiPriority w:val="59"/>
    <w:rsid w:val="008A6CA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9567">
      <w:bodyDiv w:val="1"/>
      <w:marLeft w:val="0"/>
      <w:marRight w:val="0"/>
      <w:marTop w:val="0"/>
      <w:marBottom w:val="0"/>
      <w:divBdr>
        <w:top w:val="none" w:sz="0" w:space="0" w:color="auto"/>
        <w:left w:val="none" w:sz="0" w:space="0" w:color="auto"/>
        <w:bottom w:val="none" w:sz="0" w:space="0" w:color="auto"/>
        <w:right w:val="none" w:sz="0" w:space="0" w:color="auto"/>
      </w:divBdr>
    </w:div>
    <w:div w:id="15333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373E-999B-4046-8CBF-1F83CB52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5576</Words>
  <Characters>31789</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FTPU - Office 2010</vt:lpstr>
      <vt:lpstr>FTPU - Office 2010</vt:lpstr>
    </vt:vector>
  </TitlesOfParts>
  <Company>DCM</Company>
  <LinksUpToDate>false</LinksUpToDate>
  <CharactersWithSpaces>37291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Laurence Berthet</cp:lastModifiedBy>
  <cp:revision>3</cp:revision>
  <cp:lastPrinted>2016-03-02T09:05:00Z</cp:lastPrinted>
  <dcterms:created xsi:type="dcterms:W3CDTF">2016-05-30T09:02:00Z</dcterms:created>
  <dcterms:modified xsi:type="dcterms:W3CDTF">2016-05-30T09:15:00Z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1522554F</vt:lpwstr>
  </property>
  <property fmtid="{D5CDD505-2E9C-101B-9397-08002B2CF9AE}" pid="3" name="ODSRefJobNo">
    <vt:lpwstr>1528835F</vt:lpwstr>
  </property>
  <property fmtid="{D5CDD505-2E9C-101B-9397-08002B2CF9AE}" pid="4" name="Symbol1">
    <vt:lpwstr>ST/SG/AC.10/C.4/60</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décembre 2015</vt:lpwstr>
  </property>
  <property fmtid="{D5CDD505-2E9C-101B-9397-08002B2CF9AE}" pid="12" name="Original">
    <vt:lpwstr>anglais</vt:lpwstr>
  </property>
  <property fmtid="{D5CDD505-2E9C-101B-9397-08002B2CF9AE}" pid="13" name="Release Date">
    <vt:lpwstr>010316</vt:lpwstr>
  </property>
</Properties>
</file>