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2309A7" w:rsidRDefault="007C3966" w:rsidP="007C3966">
            <w:pPr>
              <w:jc w:val="right"/>
            </w:pPr>
            <w:r w:rsidRPr="007C3966">
              <w:rPr>
                <w:sz w:val="40"/>
              </w:rPr>
              <w:t>ST</w:t>
            </w:r>
            <w:r>
              <w:t>/SG/AC.10/C.4/2016/11</w:t>
            </w:r>
          </w:p>
        </w:tc>
      </w:tr>
      <w:tr w:rsidR="003107FA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7C3966" w:rsidP="007C3966">
            <w:pPr>
              <w:spacing w:before="240" w:line="240" w:lineRule="exact"/>
            </w:pPr>
            <w:r>
              <w:t>Distr.: General</w:t>
            </w:r>
          </w:p>
          <w:p w:rsidR="007C3966" w:rsidRDefault="00E244F9" w:rsidP="007C3966">
            <w:pPr>
              <w:spacing w:line="240" w:lineRule="exact"/>
            </w:pPr>
            <w:r>
              <w:t>19</w:t>
            </w:r>
            <w:r w:rsidR="00146BCB">
              <w:t xml:space="preserve"> September</w:t>
            </w:r>
            <w:r w:rsidR="007C3966">
              <w:t xml:space="preserve"> 2016</w:t>
            </w:r>
          </w:p>
          <w:p w:rsidR="007C3966" w:rsidRDefault="005C24A4" w:rsidP="007C3966">
            <w:pPr>
              <w:spacing w:line="240" w:lineRule="exact"/>
            </w:pPr>
            <w:r>
              <w:t>English</w:t>
            </w:r>
          </w:p>
          <w:p w:rsidR="007C3966" w:rsidRDefault="007C3966" w:rsidP="00D86004">
            <w:pPr>
              <w:spacing w:line="240" w:lineRule="exact"/>
            </w:pPr>
            <w:r>
              <w:t>Original: English</w:t>
            </w:r>
            <w:r w:rsidR="00D86004">
              <w:t xml:space="preserve"> and French</w:t>
            </w:r>
          </w:p>
        </w:tc>
      </w:tr>
    </w:tbl>
    <w:p w:rsidR="009F0F06" w:rsidRPr="009F0F06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:rsidR="009F0F06" w:rsidRPr="009F0F06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:rsidR="00C02E31" w:rsidRPr="00283442" w:rsidRDefault="00C02E31" w:rsidP="00C02E31">
      <w:pPr>
        <w:spacing w:before="120"/>
        <w:rPr>
          <w:b/>
        </w:rPr>
      </w:pPr>
      <w:r>
        <w:rPr>
          <w:b/>
          <w:bCs/>
        </w:rPr>
        <w:t>Thirty-second</w:t>
      </w:r>
      <w:r w:rsidRPr="00283442">
        <w:rPr>
          <w:b/>
          <w:bCs/>
        </w:rPr>
        <w:t xml:space="preserve"> </w:t>
      </w:r>
      <w:proofErr w:type="gramStart"/>
      <w:r w:rsidRPr="00283442">
        <w:rPr>
          <w:b/>
          <w:bCs/>
        </w:rPr>
        <w:t>session</w:t>
      </w:r>
      <w:proofErr w:type="gramEnd"/>
    </w:p>
    <w:p w:rsidR="00C02E31" w:rsidRPr="00283442" w:rsidRDefault="00C02E31" w:rsidP="00C02E31">
      <w:pPr>
        <w:jc w:val="both"/>
      </w:pPr>
      <w:r w:rsidRPr="000C5D6F">
        <w:t xml:space="preserve">Geneva, </w:t>
      </w:r>
      <w:r>
        <w:t>7</w:t>
      </w:r>
      <w:r w:rsidR="005C24A4">
        <w:t>-</w:t>
      </w:r>
      <w:r>
        <w:t xml:space="preserve">9 December </w:t>
      </w:r>
      <w:r w:rsidRPr="00A4086E">
        <w:t>2016</w:t>
      </w:r>
    </w:p>
    <w:p w:rsidR="009F0F06" w:rsidRDefault="009F0F06" w:rsidP="009F0F06">
      <w:r>
        <w:t>Item</w:t>
      </w:r>
      <w:r w:rsidR="00C02E31">
        <w:t xml:space="preserve"> 2 (a)</w:t>
      </w:r>
      <w:r>
        <w:t xml:space="preserve"> of the provisional agenda</w:t>
      </w:r>
    </w:p>
    <w:p w:rsidR="00C02E31" w:rsidRPr="00C02E31" w:rsidRDefault="00C02E31" w:rsidP="009F0F06">
      <w:pPr>
        <w:rPr>
          <w:b/>
        </w:rPr>
      </w:pPr>
      <w:r w:rsidRPr="00C02E31">
        <w:rPr>
          <w:b/>
        </w:rPr>
        <w:t>Classification criteria and related hazard communication:</w:t>
      </w:r>
    </w:p>
    <w:p w:rsidR="00C02E31" w:rsidRPr="00C02E31" w:rsidRDefault="005C24A4" w:rsidP="009F0F06">
      <w:pPr>
        <w:rPr>
          <w:b/>
        </w:rPr>
      </w:pPr>
      <w:proofErr w:type="gramStart"/>
      <w:r>
        <w:rPr>
          <w:b/>
        </w:rPr>
        <w:t>r</w:t>
      </w:r>
      <w:r w:rsidR="00C02E31" w:rsidRPr="00C02E31">
        <w:rPr>
          <w:b/>
        </w:rPr>
        <w:t>ecommendations</w:t>
      </w:r>
      <w:proofErr w:type="gramEnd"/>
      <w:r w:rsidR="00C02E31" w:rsidRPr="00C02E31">
        <w:rPr>
          <w:b/>
        </w:rPr>
        <w:t xml:space="preserve"> made by the Sub-Committee on its </w:t>
      </w:r>
    </w:p>
    <w:p w:rsidR="00C02E31" w:rsidRDefault="00C02E31" w:rsidP="009F0F06">
      <w:pPr>
        <w:rPr>
          <w:b/>
        </w:rPr>
      </w:pPr>
      <w:proofErr w:type="gramStart"/>
      <w:r w:rsidRPr="00C02E31">
        <w:rPr>
          <w:b/>
        </w:rPr>
        <w:t>twenty-</w:t>
      </w:r>
      <w:proofErr w:type="gramEnd"/>
      <w:r w:rsidRPr="00C02E31">
        <w:rPr>
          <w:b/>
        </w:rPr>
        <w:t>ninth, thirtieth and thirty-first sessions</w:t>
      </w:r>
    </w:p>
    <w:p w:rsidR="00C02E31" w:rsidRDefault="00C02E31" w:rsidP="00C02E31">
      <w:pPr>
        <w:pStyle w:val="HChG"/>
      </w:pPr>
      <w:r>
        <w:tab/>
      </w:r>
      <w:r>
        <w:tab/>
      </w:r>
      <w:r w:rsidR="002171B3">
        <w:t>Consolidated list of</w:t>
      </w:r>
      <w:r w:rsidRPr="008C6AFF">
        <w:t xml:space="preserve"> </w:t>
      </w:r>
      <w:r w:rsidR="009D0B2C">
        <w:t>amendments</w:t>
      </w:r>
      <w:r w:rsidR="00B848AC">
        <w:t xml:space="preserve"> adopted by the Sub-Committee at its </w:t>
      </w:r>
      <w:r w:rsidR="00B848AC" w:rsidRPr="00B848AC">
        <w:t>twenty-ninth, thirtieth and thirty-first sessions</w:t>
      </w:r>
    </w:p>
    <w:p w:rsidR="00C02E31" w:rsidRDefault="00C02E31" w:rsidP="0097178A">
      <w:pPr>
        <w:pStyle w:val="HChG"/>
      </w:pPr>
      <w:r>
        <w:tab/>
      </w:r>
      <w:r>
        <w:tab/>
        <w:t>Note by the secretariat</w:t>
      </w:r>
      <w:r w:rsidR="0097178A">
        <w:rPr>
          <w:rStyle w:val="FootnoteReference"/>
        </w:rPr>
        <w:footnoteReference w:id="2"/>
      </w:r>
    </w:p>
    <w:p w:rsidR="00670257" w:rsidRDefault="002171B3" w:rsidP="00670257">
      <w:pPr>
        <w:pStyle w:val="SingleTxtG"/>
      </w:pPr>
      <w:r>
        <w:t xml:space="preserve">This document contains </w:t>
      </w:r>
      <w:r w:rsidR="00BB6EB4">
        <w:t>the</w:t>
      </w:r>
      <w:r w:rsidR="00B848AC">
        <w:t xml:space="preserve"> consolidated list of </w:t>
      </w:r>
      <w:r w:rsidR="00BB6EB4">
        <w:t xml:space="preserve">drafts </w:t>
      </w:r>
      <w:r w:rsidR="009673CA">
        <w:t>amendments</w:t>
      </w:r>
      <w:r w:rsidR="00B848AC">
        <w:t xml:space="preserve"> </w:t>
      </w:r>
      <w:r w:rsidR="009673CA">
        <w:t xml:space="preserve">to the sixth revised edition of the Globally Harmonized System of Classification and Labelling of Chemicals (ST/SG/AC.10/30/Rev.6) adopted </w:t>
      </w:r>
      <w:r w:rsidR="00B848AC">
        <w:t xml:space="preserve">by the Sub-Committee at its </w:t>
      </w:r>
      <w:r w:rsidR="00B848AC" w:rsidRPr="00B848AC">
        <w:t>twenty-ninth, thirtieth and thirty-first sessions</w:t>
      </w:r>
      <w:r w:rsidR="00B848AC">
        <w:t xml:space="preserve">. </w:t>
      </w:r>
    </w:p>
    <w:p w:rsidR="00670257" w:rsidRDefault="00670257">
      <w:pPr>
        <w:suppressAutoHyphens w:val="0"/>
        <w:spacing w:line="240" w:lineRule="auto"/>
      </w:pPr>
      <w:r>
        <w:br w:type="page"/>
      </w:r>
    </w:p>
    <w:p w:rsidR="00B057A2" w:rsidRPr="00392081" w:rsidRDefault="00DB367C" w:rsidP="00DB367C">
      <w:pPr>
        <w:pStyle w:val="H1G"/>
      </w:pPr>
      <w:r>
        <w:lastRenderedPageBreak/>
        <w:tab/>
      </w:r>
      <w:r>
        <w:tab/>
      </w:r>
      <w:r w:rsidR="00B057A2" w:rsidRPr="00392081">
        <w:t>Chapter 1.2</w:t>
      </w:r>
    </w:p>
    <w:p w:rsidR="00B057A2" w:rsidRPr="00DB367C" w:rsidRDefault="00B057A2" w:rsidP="00DB367C">
      <w:pPr>
        <w:pStyle w:val="SingleTxtG"/>
      </w:pPr>
      <w:r w:rsidRPr="00DB367C">
        <w:t>Delete the definitions of “Skin corrosion”, “Skin irritation”, “Serious eye damage”, “Eye irritation”, “Dermal corrosion” and “Dermal irritation”.</w:t>
      </w:r>
    </w:p>
    <w:p w:rsidR="00B057A2" w:rsidRPr="00DB367C" w:rsidRDefault="00B057A2" w:rsidP="00DB367C">
      <w:pPr>
        <w:pStyle w:val="SingleTxtG"/>
      </w:pPr>
      <w:r w:rsidRPr="00DB367C">
        <w:t>In the definition of “Respiratory sensitizer”, replace (twice) “a substance” by “a substance or mixture”.</w:t>
      </w:r>
    </w:p>
    <w:p w:rsidR="00B057A2" w:rsidRPr="00DB367C" w:rsidRDefault="00B057A2" w:rsidP="00DB367C">
      <w:pPr>
        <w:pStyle w:val="SingleTxtG"/>
      </w:pPr>
      <w:r w:rsidRPr="00DB367C">
        <w:t>In the definition of “Skin sensitizer”, replace “a substance” by “a substance or mixture”.</w:t>
      </w:r>
    </w:p>
    <w:p w:rsidR="00B057A2" w:rsidRDefault="00B057A2" w:rsidP="00B057A2">
      <w:pPr>
        <w:pStyle w:val="SingleTxtG"/>
      </w:pPr>
      <w:r w:rsidRPr="005C5979">
        <w:rPr>
          <w:i/>
        </w:rPr>
        <w:t>(Reference document: ST/SG/AC.10/C.4/</w:t>
      </w:r>
      <w:r>
        <w:rPr>
          <w:i/>
        </w:rPr>
        <w:t>62, annex I)</w:t>
      </w:r>
      <w:r>
        <w:t xml:space="preserve"> </w:t>
      </w:r>
    </w:p>
    <w:p w:rsidR="001D3D99" w:rsidRPr="001D3D99" w:rsidRDefault="00DB367C" w:rsidP="00DB367C">
      <w:pPr>
        <w:pStyle w:val="H1G"/>
      </w:pPr>
      <w:r>
        <w:tab/>
      </w:r>
      <w:r>
        <w:tab/>
      </w:r>
      <w:r w:rsidR="001D3D99" w:rsidRPr="001D3D99">
        <w:t>Chapter 1.5</w:t>
      </w:r>
    </w:p>
    <w:p w:rsidR="001D3D99" w:rsidRDefault="00763041" w:rsidP="00763041">
      <w:pPr>
        <w:pStyle w:val="SingleTxtG"/>
        <w:ind w:left="2268" w:hanging="1134"/>
        <w:rPr>
          <w:color w:val="000000"/>
          <w:szCs w:val="22"/>
        </w:rPr>
      </w:pPr>
      <w:r>
        <w:t>Table 1.5.1</w:t>
      </w:r>
      <w:r>
        <w:tab/>
      </w:r>
      <w:proofErr w:type="gramStart"/>
      <w:r>
        <w:t>F</w:t>
      </w:r>
      <w:r w:rsidR="00EE18A8">
        <w:t>or</w:t>
      </w:r>
      <w:proofErr w:type="gramEnd"/>
      <w:r w:rsidR="00EE18A8">
        <w:t xml:space="preserve"> </w:t>
      </w:r>
      <w:r w:rsidR="008F5A1A">
        <w:t>the hazard class “</w:t>
      </w:r>
      <w:r w:rsidR="00EE18A8">
        <w:t>Aspiration hazard</w:t>
      </w:r>
      <w:r w:rsidR="008F5A1A">
        <w:t>”</w:t>
      </w:r>
      <w:r w:rsidR="00EE18A8">
        <w:t xml:space="preserve">, categories 1 and 2, replace the text under the heading “Cut-off value/concentration limit” with </w:t>
      </w:r>
      <w:r w:rsidR="00EE18A8" w:rsidRPr="00EE18A8">
        <w:t>“</w:t>
      </w:r>
      <w:r w:rsidR="00EE18A8" w:rsidRPr="00EE18A8">
        <w:rPr>
          <w:color w:val="000000"/>
          <w:szCs w:val="22"/>
        </w:rPr>
        <w:sym w:font="Symbol" w:char="F0B3"/>
      </w:r>
      <w:r w:rsidR="00EE18A8" w:rsidRPr="00EE18A8">
        <w:rPr>
          <w:color w:val="000000"/>
          <w:szCs w:val="22"/>
        </w:rPr>
        <w:t xml:space="preserve"> 1.0%”</w:t>
      </w:r>
      <w:r w:rsidR="00EE18A8">
        <w:rPr>
          <w:color w:val="000000"/>
          <w:szCs w:val="22"/>
        </w:rPr>
        <w:t>.</w:t>
      </w:r>
    </w:p>
    <w:p w:rsidR="00EE18A8" w:rsidRPr="006F5E91" w:rsidRDefault="00EE18A8" w:rsidP="00EE18A8">
      <w:pPr>
        <w:pStyle w:val="SingleTxtG"/>
      </w:pPr>
      <w:r>
        <w:t>1.5.3.3.1</w:t>
      </w:r>
      <w:r>
        <w:tab/>
        <w:t>Add the following sentence at the end of the paragraph:</w:t>
      </w:r>
    </w:p>
    <w:p w:rsidR="00EE18A8" w:rsidRPr="006C6FD8" w:rsidRDefault="00EE18A8" w:rsidP="00EE18A8">
      <w:pPr>
        <w:pStyle w:val="SingleTxtG"/>
        <w:ind w:left="2268"/>
      </w:pPr>
      <w:r w:rsidRPr="006C6FD8">
        <w:t>“Guidance on the preparation of SDS’s under the requirements of the GHS can be found in Annex 4.</w:t>
      </w:r>
      <w:proofErr w:type="gramStart"/>
      <w:r w:rsidRPr="006C6FD8">
        <w:t>”</w:t>
      </w:r>
      <w:r>
        <w:t>.</w:t>
      </w:r>
      <w:proofErr w:type="gramEnd"/>
    </w:p>
    <w:p w:rsidR="002E1E67" w:rsidRDefault="00EE18A8" w:rsidP="00EE18A8">
      <w:pPr>
        <w:pStyle w:val="SingleTxtG"/>
      </w:pPr>
      <w:r w:rsidRPr="00606F8F">
        <w:t>1.5.3.3.3</w:t>
      </w:r>
      <w:r w:rsidRPr="00606F8F">
        <w:tab/>
      </w:r>
      <w:r w:rsidR="00763041">
        <w:t>Delete</w:t>
      </w:r>
      <w:r w:rsidR="00D118E8">
        <w:t xml:space="preserve">. </w:t>
      </w:r>
    </w:p>
    <w:p w:rsidR="00EE18A8" w:rsidRDefault="002E1E67" w:rsidP="00EE18A8">
      <w:pPr>
        <w:pStyle w:val="SingleTxtG"/>
      </w:pPr>
      <w:r>
        <w:t>1.5.3.3.4</w:t>
      </w:r>
      <w:r>
        <w:tab/>
      </w:r>
      <w:r w:rsidR="00D118E8">
        <w:t xml:space="preserve">Current paragraph 1.5.3.3.4 becomes new paragraph </w:t>
      </w:r>
      <w:r w:rsidR="00EE18A8">
        <w:t>1.5.3.3.3.</w:t>
      </w:r>
    </w:p>
    <w:p w:rsidR="00EE18A8" w:rsidRDefault="00EE18A8" w:rsidP="00EE18A8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096DED" w:rsidRPr="00096DED" w:rsidRDefault="00DB367C" w:rsidP="00096DED">
      <w:pPr>
        <w:pStyle w:val="H1G"/>
      </w:pPr>
      <w:r>
        <w:tab/>
      </w:r>
      <w:r>
        <w:tab/>
      </w:r>
      <w:r w:rsidR="00096DED" w:rsidRPr="00096DED">
        <w:t>Chapter 2.17</w:t>
      </w:r>
    </w:p>
    <w:p w:rsidR="00096DED" w:rsidRPr="00FB0B68" w:rsidRDefault="00096DED" w:rsidP="007A0DA4">
      <w:pPr>
        <w:pStyle w:val="SingleTxtG"/>
        <w:ind w:left="2268" w:hanging="1134"/>
      </w:pPr>
      <w:r w:rsidRPr="00FB0B68">
        <w:t>2.17.2.1</w:t>
      </w:r>
      <w:r w:rsidRPr="00FB0B68">
        <w:tab/>
      </w:r>
      <w:r>
        <w:tab/>
      </w:r>
      <w:r w:rsidRPr="00FB0B68">
        <w:t>Amend the text before sub-paragraphs (a) and (b) to read as follows: “Any explosive while in a desensitized state shall be considered in this class unless, in that state:</w:t>
      </w:r>
      <w:proofErr w:type="gramStart"/>
      <w:r w:rsidRPr="00FB0B68">
        <w:t>”.</w:t>
      </w:r>
      <w:proofErr w:type="gramEnd"/>
    </w:p>
    <w:p w:rsidR="00096DED" w:rsidRPr="00FB0B68" w:rsidRDefault="00096DED" w:rsidP="007A0DA4">
      <w:pPr>
        <w:pStyle w:val="SingleTxtG"/>
        <w:ind w:left="2268" w:hanging="1134"/>
      </w:pPr>
      <w:r w:rsidRPr="00FB0B68">
        <w:t>2.17.2.1 (</w:t>
      </w:r>
      <w:proofErr w:type="gramStart"/>
      <w:r w:rsidRPr="00FB0B68">
        <w:t>a</w:t>
      </w:r>
      <w:proofErr w:type="gramEnd"/>
      <w:r w:rsidRPr="00FB0B68">
        <w:t>)</w:t>
      </w:r>
      <w:r w:rsidRPr="00FB0B68">
        <w:tab/>
        <w:t>Amend to read as follows:</w:t>
      </w:r>
    </w:p>
    <w:p w:rsidR="00096DED" w:rsidRPr="00FB0B68" w:rsidRDefault="00096DED" w:rsidP="007A0DA4">
      <w:pPr>
        <w:pStyle w:val="SingleTxtG"/>
        <w:tabs>
          <w:tab w:val="left" w:pos="2835"/>
        </w:tabs>
        <w:ind w:left="2268" w:hanging="1134"/>
      </w:pPr>
      <w:r w:rsidRPr="00FB0B68">
        <w:tab/>
      </w:r>
      <w:r w:rsidRPr="00FB0B68">
        <w:tab/>
        <w:t>“</w:t>
      </w:r>
      <w:r w:rsidRPr="00FB0B68">
        <w:rPr>
          <w:lang w:val="en-AU"/>
        </w:rPr>
        <w:t>(</w:t>
      </w:r>
      <w:proofErr w:type="gramStart"/>
      <w:r w:rsidRPr="00FB0B68">
        <w:rPr>
          <w:lang w:val="en-AU"/>
        </w:rPr>
        <w:t>a</w:t>
      </w:r>
      <w:proofErr w:type="gramEnd"/>
      <w:r w:rsidRPr="00FB0B68">
        <w:rPr>
          <w:lang w:val="en-AU"/>
        </w:rPr>
        <w:t>)</w:t>
      </w:r>
      <w:r w:rsidRPr="00FB0B68">
        <w:rPr>
          <w:lang w:val="en-AU"/>
        </w:rPr>
        <w:tab/>
      </w:r>
      <w:r w:rsidRPr="00FB0B68">
        <w:t>It is intended to produce a practical explosive or pyrotechnic effect;”.</w:t>
      </w:r>
    </w:p>
    <w:p w:rsidR="00096DED" w:rsidRPr="00FB0B68" w:rsidRDefault="00096DED" w:rsidP="007A0DA4">
      <w:pPr>
        <w:pStyle w:val="SingleTxtG"/>
        <w:ind w:left="2268" w:hanging="1134"/>
      </w:pPr>
      <w:r w:rsidRPr="00FB0B68">
        <w:t>2.17.2.1 (</w:t>
      </w:r>
      <w:proofErr w:type="gramStart"/>
      <w:r w:rsidRPr="00FB0B68">
        <w:t>b</w:t>
      </w:r>
      <w:proofErr w:type="gramEnd"/>
      <w:r w:rsidRPr="00FB0B68">
        <w:t>)</w:t>
      </w:r>
      <w:r w:rsidRPr="00FB0B68">
        <w:tab/>
        <w:t>Replace “their corrected burning rate” by “the corrected burning rate”.</w:t>
      </w:r>
    </w:p>
    <w:p w:rsidR="00096DED" w:rsidRPr="00FB0B68" w:rsidRDefault="00096DED" w:rsidP="007A0DA4">
      <w:pPr>
        <w:pStyle w:val="SingleTxtG"/>
        <w:ind w:left="2268" w:hanging="1134"/>
      </w:pPr>
      <w:r w:rsidRPr="00FB0B68">
        <w:t>2.17.2.1 (c)</w:t>
      </w:r>
      <w:r w:rsidRPr="00FB0B68">
        <w:tab/>
        <w:t xml:space="preserve">Replace “Their </w:t>
      </w:r>
      <w:r w:rsidRPr="00FB0B68">
        <w:rPr>
          <w:lang w:val="en-AU"/>
        </w:rPr>
        <w:t>exothermic decomposition</w:t>
      </w:r>
      <w:r w:rsidRPr="00FB0B68">
        <w:t>” by “</w:t>
      </w:r>
      <w:r>
        <w:t>T</w:t>
      </w:r>
      <w:r w:rsidRPr="00FB0B68">
        <w:t xml:space="preserve">he </w:t>
      </w:r>
      <w:r w:rsidRPr="00FB0B68">
        <w:rPr>
          <w:lang w:val="en-AU"/>
        </w:rPr>
        <w:t>exothermic decomposition</w:t>
      </w:r>
      <w:r w:rsidRPr="00FB0B68">
        <w:t>”.</w:t>
      </w:r>
    </w:p>
    <w:p w:rsidR="00096DED" w:rsidRPr="00FB0B68" w:rsidRDefault="00096DED" w:rsidP="007A0DA4">
      <w:pPr>
        <w:pStyle w:val="SingleTxtG"/>
        <w:ind w:left="2268" w:hanging="1134"/>
        <w:rPr>
          <w:i/>
          <w:lang w:val="en-AU"/>
        </w:rPr>
      </w:pPr>
      <w:r>
        <w:t xml:space="preserve">In </w:t>
      </w:r>
      <w:r w:rsidRPr="00FB0B68">
        <w:t>NOTE 1</w:t>
      </w:r>
      <w:r>
        <w:t>, a</w:t>
      </w:r>
      <w:r w:rsidRPr="00FB0B68">
        <w:t>fter “</w:t>
      </w:r>
      <w:r w:rsidRPr="00FB0B68">
        <w:rPr>
          <w:i/>
          <w:lang w:val="en-AU"/>
        </w:rPr>
        <w:t>which meet the criterion (a) or (b)</w:t>
      </w:r>
      <w:r w:rsidRPr="00FB0B68">
        <w:rPr>
          <w:lang w:val="en-AU"/>
        </w:rPr>
        <w:t>”</w:t>
      </w:r>
      <w:r w:rsidRPr="00FB0B68">
        <w:rPr>
          <w:i/>
          <w:lang w:val="en-AU"/>
        </w:rPr>
        <w:t xml:space="preserve"> </w:t>
      </w:r>
      <w:r>
        <w:rPr>
          <w:lang w:val="en-AU"/>
        </w:rPr>
        <w:t>insert</w:t>
      </w:r>
      <w:r w:rsidRPr="00FB0B68">
        <w:rPr>
          <w:i/>
          <w:lang w:val="en-AU"/>
        </w:rPr>
        <w:t xml:space="preserve"> </w:t>
      </w:r>
      <w:r w:rsidRPr="00FB0B68">
        <w:rPr>
          <w:lang w:val="en-AU"/>
        </w:rPr>
        <w:t>“</w:t>
      </w:r>
      <w:r w:rsidRPr="00FB0B68">
        <w:rPr>
          <w:i/>
          <w:lang w:val="en-AU"/>
        </w:rPr>
        <w:t>in their desensitized state</w:t>
      </w:r>
      <w:r w:rsidRPr="00FB0B68">
        <w:rPr>
          <w:lang w:val="en-AU"/>
        </w:rPr>
        <w:t>”.</w:t>
      </w:r>
    </w:p>
    <w:p w:rsidR="00096DED" w:rsidRDefault="00096DED" w:rsidP="00096DED">
      <w:pPr>
        <w:pStyle w:val="SingleTxtG"/>
      </w:pPr>
      <w:r w:rsidRPr="005C5979">
        <w:rPr>
          <w:i/>
        </w:rPr>
        <w:t>(Reference document: ST/SG/AC.10/C.4/</w:t>
      </w:r>
      <w:r>
        <w:rPr>
          <w:i/>
        </w:rPr>
        <w:t>62, annex I)</w:t>
      </w:r>
      <w:r>
        <w:t xml:space="preserve"> </w:t>
      </w:r>
    </w:p>
    <w:p w:rsidR="00B057A2" w:rsidRDefault="00096DED" w:rsidP="00DB367C">
      <w:pPr>
        <w:pStyle w:val="H1G"/>
        <w:rPr>
          <w:iCs/>
        </w:rPr>
      </w:pPr>
      <w:r>
        <w:tab/>
      </w:r>
      <w:r>
        <w:tab/>
      </w:r>
      <w:r w:rsidR="00B057A2" w:rsidRPr="00392081">
        <w:t xml:space="preserve">Chapter </w:t>
      </w:r>
      <w:r w:rsidR="00B057A2">
        <w:t>3.1</w:t>
      </w:r>
    </w:p>
    <w:p w:rsidR="009C10BE" w:rsidRPr="006F5E91" w:rsidRDefault="009C10BE" w:rsidP="009C10BE">
      <w:pPr>
        <w:pStyle w:val="SingleTxtG"/>
        <w:tabs>
          <w:tab w:val="left" w:pos="2268"/>
        </w:tabs>
      </w:pPr>
      <w:r>
        <w:t>3.1.1</w:t>
      </w:r>
      <w:r>
        <w:tab/>
        <w:t>Amend the definition for “acute toxicity” to read as follows:</w:t>
      </w:r>
    </w:p>
    <w:p w:rsidR="009C10BE" w:rsidRDefault="009C10BE" w:rsidP="007F068D">
      <w:pPr>
        <w:pStyle w:val="SingleTxtG"/>
        <w:ind w:left="2268"/>
      </w:pPr>
      <w:r>
        <w:rPr>
          <w:i/>
          <w:iCs/>
        </w:rPr>
        <w:t>“</w:t>
      </w:r>
      <w:r w:rsidRPr="006F5E91">
        <w:rPr>
          <w:i/>
          <w:iCs/>
        </w:rPr>
        <w:t xml:space="preserve">Acute toxicity </w:t>
      </w:r>
      <w:r w:rsidRPr="006F5E91">
        <w:t>refers to serious adverse health effects (i.e., lethality) occurring after a single or short-term oral, dermal or inhalation exposure to a substance or mixture.</w:t>
      </w:r>
      <w:r>
        <w:t>”</w:t>
      </w:r>
    </w:p>
    <w:p w:rsidR="009C10BE" w:rsidRDefault="009C10BE" w:rsidP="009C10BE">
      <w:pPr>
        <w:pStyle w:val="SingleTxtG"/>
        <w:rPr>
          <w:i/>
        </w:rPr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9C10BE" w:rsidRPr="00DB367C" w:rsidRDefault="009C10BE" w:rsidP="007A0DA4">
      <w:pPr>
        <w:pStyle w:val="SingleTxtG"/>
        <w:keepNext/>
        <w:keepLines/>
        <w:tabs>
          <w:tab w:val="left" w:pos="2268"/>
        </w:tabs>
      </w:pPr>
      <w:r w:rsidRPr="00DB367C">
        <w:lastRenderedPageBreak/>
        <w:t>3.1.2</w:t>
      </w:r>
      <w:r w:rsidRPr="00DB367C">
        <w:tab/>
        <w:t>Amend table 3.1.1 to read as follows:</w:t>
      </w:r>
    </w:p>
    <w:p w:rsidR="009C10BE" w:rsidRPr="00A9475B" w:rsidRDefault="009C10BE" w:rsidP="007A0DA4">
      <w:pPr>
        <w:pStyle w:val="SingleTxtG"/>
        <w:keepNext/>
        <w:keepLines/>
        <w:ind w:left="1418"/>
        <w:jc w:val="center"/>
        <w:rPr>
          <w:b/>
        </w:rPr>
      </w:pPr>
      <w:r>
        <w:rPr>
          <w:b/>
        </w:rPr>
        <w:t>“</w:t>
      </w:r>
      <w:r w:rsidRPr="00A9475B">
        <w:rPr>
          <w:b/>
        </w:rPr>
        <w:t>Table 3.1.1:  Acute toxicity estimate (ATE) values and criteria for acute toxicity hazard categories</w:t>
      </w:r>
    </w:p>
    <w:tbl>
      <w:tblPr>
        <w:tblW w:w="9208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1134"/>
        <w:gridCol w:w="1418"/>
        <w:gridCol w:w="1559"/>
        <w:gridCol w:w="1559"/>
        <w:gridCol w:w="1285"/>
      </w:tblGrid>
      <w:tr w:rsidR="009C10BE" w:rsidRPr="004A35B3" w:rsidTr="005C24A4">
        <w:trPr>
          <w:trHeight w:val="220"/>
          <w:jc w:val="center"/>
        </w:trPr>
        <w:tc>
          <w:tcPr>
            <w:tcW w:w="2253" w:type="dxa"/>
            <w:vAlign w:val="center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b/>
                <w:bCs/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Exposure route</w:t>
            </w:r>
          </w:p>
        </w:tc>
        <w:tc>
          <w:tcPr>
            <w:tcW w:w="1134" w:type="dxa"/>
            <w:vAlign w:val="center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ind w:left="-140" w:right="-69"/>
              <w:jc w:val="center"/>
              <w:rPr>
                <w:b/>
                <w:bCs/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Category 1</w:t>
            </w:r>
          </w:p>
        </w:tc>
        <w:tc>
          <w:tcPr>
            <w:tcW w:w="1418" w:type="dxa"/>
            <w:vAlign w:val="center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ind w:left="-140" w:right="-69"/>
              <w:jc w:val="center"/>
              <w:rPr>
                <w:b/>
                <w:bCs/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Category 2</w:t>
            </w:r>
          </w:p>
        </w:tc>
        <w:tc>
          <w:tcPr>
            <w:tcW w:w="1559" w:type="dxa"/>
            <w:vAlign w:val="center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ind w:left="-140" w:right="-69"/>
              <w:jc w:val="center"/>
              <w:rPr>
                <w:b/>
                <w:bCs/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Category 3</w:t>
            </w:r>
          </w:p>
        </w:tc>
        <w:tc>
          <w:tcPr>
            <w:tcW w:w="1559" w:type="dxa"/>
            <w:vAlign w:val="center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ind w:left="-140" w:right="-69"/>
              <w:jc w:val="center"/>
              <w:rPr>
                <w:b/>
                <w:bCs/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Category 4</w:t>
            </w:r>
          </w:p>
        </w:tc>
        <w:tc>
          <w:tcPr>
            <w:tcW w:w="1285" w:type="dxa"/>
            <w:vAlign w:val="center"/>
          </w:tcPr>
          <w:p w:rsidR="009C10BE" w:rsidRPr="004A35B3" w:rsidRDefault="009C10BE" w:rsidP="00855DCD">
            <w:pPr>
              <w:pStyle w:val="Style1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ind w:left="-140" w:right="-69"/>
              <w:jc w:val="center"/>
              <w:rPr>
                <w:b/>
                <w:bCs/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Category 5</w:t>
            </w:r>
          </w:p>
        </w:tc>
      </w:tr>
      <w:tr w:rsidR="009C10BE" w:rsidRPr="004A35B3" w:rsidTr="005C24A4">
        <w:trPr>
          <w:cantSplit/>
          <w:trHeight w:val="124"/>
          <w:jc w:val="center"/>
        </w:trPr>
        <w:tc>
          <w:tcPr>
            <w:tcW w:w="2253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 xml:space="preserve">Oral </w:t>
            </w:r>
            <w:r w:rsidRPr="004A35B3">
              <w:rPr>
                <w:sz w:val="16"/>
                <w:szCs w:val="16"/>
              </w:rPr>
              <w:t>(mg/kg bodyweight)</w:t>
            </w:r>
          </w:p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i/>
                <w:iCs/>
                <w:sz w:val="16"/>
                <w:szCs w:val="16"/>
              </w:rPr>
              <w:t>See notes (a) and (b)</w:t>
            </w:r>
          </w:p>
        </w:tc>
        <w:tc>
          <w:tcPr>
            <w:tcW w:w="1134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ATE ≤ 5</w:t>
            </w:r>
          </w:p>
        </w:tc>
        <w:tc>
          <w:tcPr>
            <w:tcW w:w="1418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5 &lt;  ATE ≤  50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50 &lt;ATE ≤ 300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300&lt; ATE ≤ 2000</w:t>
            </w:r>
          </w:p>
        </w:tc>
        <w:tc>
          <w:tcPr>
            <w:tcW w:w="1285" w:type="dxa"/>
            <w:vMerge w:val="restart"/>
            <w:vAlign w:val="center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C70134">
              <w:rPr>
                <w:sz w:val="16"/>
                <w:szCs w:val="16"/>
              </w:rPr>
              <w:t>2000 &lt; ATE ≤ 5000</w:t>
            </w:r>
            <w:r w:rsidRPr="004A35B3">
              <w:rPr>
                <w:sz w:val="16"/>
                <w:szCs w:val="16"/>
              </w:rPr>
              <w:br/>
            </w:r>
            <w:r w:rsidRPr="004A35B3">
              <w:rPr>
                <w:i/>
                <w:iCs/>
                <w:sz w:val="16"/>
                <w:szCs w:val="16"/>
              </w:rPr>
              <w:t>See detailed</w:t>
            </w:r>
            <w:r w:rsidRPr="004A35B3">
              <w:rPr>
                <w:i/>
                <w:iCs/>
                <w:sz w:val="16"/>
                <w:szCs w:val="16"/>
              </w:rPr>
              <w:br/>
              <w:t>criteria in</w:t>
            </w:r>
            <w:r w:rsidRPr="004A35B3">
              <w:rPr>
                <w:i/>
                <w:iCs/>
                <w:sz w:val="16"/>
                <w:szCs w:val="16"/>
              </w:rPr>
              <w:br/>
              <w:t>Note (g)</w:t>
            </w:r>
          </w:p>
        </w:tc>
      </w:tr>
      <w:tr w:rsidR="009C10BE" w:rsidRPr="004A35B3" w:rsidTr="005C24A4">
        <w:trPr>
          <w:cantSplit/>
          <w:trHeight w:val="158"/>
          <w:jc w:val="center"/>
        </w:trPr>
        <w:tc>
          <w:tcPr>
            <w:tcW w:w="2253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 xml:space="preserve">Dermal </w:t>
            </w:r>
            <w:r w:rsidRPr="004A35B3">
              <w:rPr>
                <w:sz w:val="16"/>
                <w:szCs w:val="16"/>
              </w:rPr>
              <w:t>(mg/kg bodyweight)</w:t>
            </w:r>
          </w:p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i/>
                <w:iCs/>
                <w:sz w:val="16"/>
                <w:szCs w:val="16"/>
              </w:rPr>
              <w:t>See notes (a) and (b)</w:t>
            </w:r>
          </w:p>
        </w:tc>
        <w:tc>
          <w:tcPr>
            <w:tcW w:w="1134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ATE ≤ 50</w:t>
            </w:r>
          </w:p>
        </w:tc>
        <w:tc>
          <w:tcPr>
            <w:tcW w:w="1418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50 &lt; ATE ≤ 200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200&lt; ATE ≤ 1000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1000&lt; ATE ≤ 2000</w:t>
            </w:r>
          </w:p>
        </w:tc>
        <w:tc>
          <w:tcPr>
            <w:tcW w:w="1285" w:type="dxa"/>
            <w:vMerge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C10BE" w:rsidRPr="004A35B3" w:rsidTr="005C24A4">
        <w:trPr>
          <w:cantSplit/>
          <w:trHeight w:val="206"/>
          <w:jc w:val="center"/>
        </w:trPr>
        <w:tc>
          <w:tcPr>
            <w:tcW w:w="2253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Gases</w:t>
            </w:r>
            <w:r w:rsidRPr="004A35B3">
              <w:rPr>
                <w:sz w:val="16"/>
                <w:szCs w:val="16"/>
              </w:rPr>
              <w:t xml:space="preserve"> (</w:t>
            </w:r>
            <w:proofErr w:type="spellStart"/>
            <w:r w:rsidRPr="004A35B3">
              <w:rPr>
                <w:sz w:val="16"/>
                <w:szCs w:val="16"/>
              </w:rPr>
              <w:t>ppmV</w:t>
            </w:r>
            <w:proofErr w:type="spellEnd"/>
            <w:r w:rsidRPr="004A35B3">
              <w:rPr>
                <w:sz w:val="16"/>
                <w:szCs w:val="16"/>
              </w:rPr>
              <w:t>)</w:t>
            </w:r>
          </w:p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ind w:left="1153" w:hanging="1153"/>
              <w:rPr>
                <w:i/>
                <w:iCs/>
                <w:sz w:val="16"/>
                <w:szCs w:val="16"/>
              </w:rPr>
            </w:pPr>
            <w:r w:rsidRPr="004A35B3">
              <w:rPr>
                <w:i/>
                <w:iCs/>
                <w:sz w:val="16"/>
                <w:szCs w:val="16"/>
              </w:rPr>
              <w:t>See notes (a), (b) and (c)</w:t>
            </w:r>
          </w:p>
        </w:tc>
        <w:tc>
          <w:tcPr>
            <w:tcW w:w="1134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ATE ≤ 100</w:t>
            </w:r>
          </w:p>
        </w:tc>
        <w:tc>
          <w:tcPr>
            <w:tcW w:w="1418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100&lt; ATE ≤ 500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500&lt; ATE ≤ 2500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2500&lt; ATE ≤ 20000</w:t>
            </w:r>
          </w:p>
        </w:tc>
        <w:tc>
          <w:tcPr>
            <w:tcW w:w="1285" w:type="dxa"/>
            <w:vMerge w:val="restart"/>
            <w:vAlign w:val="center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i/>
                <w:sz w:val="16"/>
                <w:szCs w:val="16"/>
                <w:u w:val="single"/>
                <w:vertAlign w:val="superscript"/>
              </w:rPr>
            </w:pPr>
            <w:r w:rsidRPr="004A35B3">
              <w:rPr>
                <w:i/>
                <w:iCs/>
                <w:sz w:val="16"/>
                <w:szCs w:val="16"/>
              </w:rPr>
              <w:t>See detailed</w:t>
            </w:r>
            <w:r w:rsidRPr="004A35B3">
              <w:rPr>
                <w:i/>
                <w:iCs/>
                <w:sz w:val="16"/>
                <w:szCs w:val="16"/>
              </w:rPr>
              <w:br/>
              <w:t>criteria in</w:t>
            </w:r>
            <w:r w:rsidRPr="004A35B3">
              <w:rPr>
                <w:i/>
                <w:iCs/>
                <w:sz w:val="16"/>
                <w:szCs w:val="16"/>
              </w:rPr>
              <w:br/>
              <w:t>Note (g)</w:t>
            </w:r>
          </w:p>
        </w:tc>
      </w:tr>
      <w:tr w:rsidR="009C10BE" w:rsidRPr="004A35B3" w:rsidTr="005C24A4">
        <w:trPr>
          <w:cantSplit/>
          <w:trHeight w:val="289"/>
          <w:jc w:val="center"/>
        </w:trPr>
        <w:tc>
          <w:tcPr>
            <w:tcW w:w="2253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Vapours</w:t>
            </w:r>
            <w:r w:rsidRPr="004A35B3">
              <w:rPr>
                <w:sz w:val="16"/>
                <w:szCs w:val="16"/>
              </w:rPr>
              <w:t xml:space="preserve"> (mg/l)</w:t>
            </w:r>
          </w:p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i/>
                <w:iCs/>
                <w:sz w:val="16"/>
                <w:szCs w:val="16"/>
              </w:rPr>
              <w:t>See notes (a), (b), (c), (d) and (e)</w:t>
            </w:r>
          </w:p>
        </w:tc>
        <w:tc>
          <w:tcPr>
            <w:tcW w:w="1134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ATE ≤ 0.5</w:t>
            </w:r>
          </w:p>
        </w:tc>
        <w:tc>
          <w:tcPr>
            <w:tcW w:w="1418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0.5 &lt;ATE ≤ 2.0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2.0&lt; ATE ≤ 10.0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10.0&lt; ATE ≤ 20.0</w:t>
            </w:r>
          </w:p>
        </w:tc>
        <w:tc>
          <w:tcPr>
            <w:tcW w:w="1285" w:type="dxa"/>
            <w:vMerge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i/>
                <w:sz w:val="16"/>
                <w:szCs w:val="16"/>
                <w:u w:val="single"/>
                <w:vertAlign w:val="superscript"/>
              </w:rPr>
            </w:pPr>
          </w:p>
        </w:tc>
      </w:tr>
      <w:tr w:rsidR="009C10BE" w:rsidRPr="004A35B3" w:rsidTr="005C24A4">
        <w:trPr>
          <w:cantSplit/>
          <w:trHeight w:val="365"/>
          <w:jc w:val="center"/>
        </w:trPr>
        <w:tc>
          <w:tcPr>
            <w:tcW w:w="2253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b/>
                <w:bCs/>
                <w:sz w:val="16"/>
                <w:szCs w:val="16"/>
              </w:rPr>
              <w:t>Dusts and Mists</w:t>
            </w:r>
            <w:r w:rsidRPr="004A35B3">
              <w:rPr>
                <w:sz w:val="16"/>
                <w:szCs w:val="16"/>
              </w:rPr>
              <w:t xml:space="preserve"> (mg/l)</w:t>
            </w:r>
          </w:p>
          <w:p w:rsidR="009C10BE" w:rsidRPr="004A35B3" w:rsidRDefault="009C10BE" w:rsidP="00855DCD">
            <w:pPr>
              <w:pStyle w:val="HTMLAddress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rPr>
                <w:sz w:val="16"/>
                <w:szCs w:val="16"/>
              </w:rPr>
            </w:pPr>
            <w:r w:rsidRPr="004A35B3">
              <w:rPr>
                <w:iCs w:val="0"/>
                <w:sz w:val="16"/>
                <w:szCs w:val="16"/>
              </w:rPr>
              <w:t>See</w:t>
            </w:r>
            <w:r w:rsidRPr="004A35B3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4A35B3">
              <w:rPr>
                <w:iCs w:val="0"/>
                <w:sz w:val="16"/>
                <w:szCs w:val="16"/>
              </w:rPr>
              <w:t>notes (a), (b), (c) and</w:t>
            </w:r>
            <w:r w:rsidRPr="004A35B3">
              <w:rPr>
                <w:sz w:val="16"/>
                <w:szCs w:val="16"/>
              </w:rPr>
              <w:t xml:space="preserve"> (f) </w:t>
            </w:r>
          </w:p>
        </w:tc>
        <w:tc>
          <w:tcPr>
            <w:tcW w:w="1134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ATE ≤ 0.05</w:t>
            </w:r>
          </w:p>
        </w:tc>
        <w:tc>
          <w:tcPr>
            <w:tcW w:w="1418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0.05&lt; ATE ≤ 0.5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0.5&lt; ATE ≤ 1.0</w:t>
            </w:r>
          </w:p>
        </w:tc>
        <w:tc>
          <w:tcPr>
            <w:tcW w:w="1559" w:type="dxa"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4A35B3">
              <w:rPr>
                <w:sz w:val="16"/>
                <w:szCs w:val="16"/>
              </w:rPr>
              <w:t>1.0&lt; ATE ≤ 5.0</w:t>
            </w:r>
          </w:p>
        </w:tc>
        <w:tc>
          <w:tcPr>
            <w:tcW w:w="1285" w:type="dxa"/>
            <w:vMerge/>
          </w:tcPr>
          <w:p w:rsidR="009C10BE" w:rsidRPr="004A35B3" w:rsidRDefault="009C10BE" w:rsidP="00855D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 w:line="240" w:lineRule="auto"/>
              <w:jc w:val="center"/>
              <w:rPr>
                <w:i/>
                <w:sz w:val="16"/>
                <w:szCs w:val="16"/>
                <w:u w:val="single"/>
                <w:vertAlign w:val="superscript"/>
              </w:rPr>
            </w:pPr>
          </w:p>
        </w:tc>
      </w:tr>
    </w:tbl>
    <w:p w:rsidR="009C10BE" w:rsidRDefault="009C10BE" w:rsidP="009C10BE">
      <w:pPr>
        <w:spacing w:before="120" w:after="120"/>
        <w:jc w:val="center"/>
        <w:rPr>
          <w:i/>
          <w:iCs/>
        </w:rPr>
      </w:pPr>
      <w:r w:rsidRPr="0081498D">
        <w:rPr>
          <w:b/>
          <w:bCs/>
          <w:i/>
          <w:iCs/>
        </w:rPr>
        <w:t>Note</w:t>
      </w:r>
      <w:r w:rsidRPr="0081498D">
        <w:rPr>
          <w:i/>
          <w:iCs/>
        </w:rPr>
        <w:t>:</w:t>
      </w:r>
      <w:r w:rsidRPr="0081498D">
        <w:tab/>
      </w:r>
      <w:r w:rsidRPr="0081498D">
        <w:rPr>
          <w:i/>
          <w:iCs/>
        </w:rPr>
        <w:t>Gas concentration</w:t>
      </w:r>
      <w:r w:rsidR="00305870">
        <w:rPr>
          <w:i/>
          <w:iCs/>
        </w:rPr>
        <w:t>s</w:t>
      </w:r>
      <w:r w:rsidRPr="0081498D">
        <w:rPr>
          <w:i/>
          <w:iCs/>
        </w:rPr>
        <w:t xml:space="preserve"> are expressed in parts per million per volume (</w:t>
      </w:r>
      <w:proofErr w:type="spellStart"/>
      <w:r w:rsidRPr="0081498D">
        <w:rPr>
          <w:i/>
          <w:iCs/>
        </w:rPr>
        <w:t>ppmV</w:t>
      </w:r>
      <w:proofErr w:type="spellEnd"/>
      <w:r w:rsidRPr="0081498D">
        <w:rPr>
          <w:i/>
          <w:iCs/>
        </w:rPr>
        <w:t>).</w:t>
      </w:r>
      <w:proofErr w:type="gramStart"/>
      <w:r w:rsidRPr="00C70134">
        <w:rPr>
          <w:iCs/>
        </w:rPr>
        <w:t>”.</w:t>
      </w:r>
      <w:proofErr w:type="gramEnd"/>
    </w:p>
    <w:p w:rsidR="009C10BE" w:rsidRDefault="009C10BE" w:rsidP="009C10BE">
      <w:pPr>
        <w:pStyle w:val="SingleTxtG"/>
      </w:pPr>
      <w:r w:rsidRPr="005C5979">
        <w:rPr>
          <w:i/>
        </w:rPr>
        <w:t>(Reference document: ST/SG/AC.10/C.4/</w:t>
      </w:r>
      <w:r>
        <w:rPr>
          <w:i/>
        </w:rPr>
        <w:t>62, annex I)</w:t>
      </w:r>
      <w:r>
        <w:t xml:space="preserve"> </w:t>
      </w:r>
    </w:p>
    <w:p w:rsidR="004B0CAC" w:rsidRPr="003A789F" w:rsidRDefault="004B0CAC" w:rsidP="004B0CAC">
      <w:pPr>
        <w:pStyle w:val="SingleTxtG"/>
        <w:tabs>
          <w:tab w:val="left" w:pos="2268"/>
        </w:tabs>
      </w:pPr>
      <w:r w:rsidRPr="00EF6E9D">
        <w:t>3.1.2.1</w:t>
      </w:r>
      <w:r w:rsidRPr="00EF6E9D">
        <w:tab/>
      </w:r>
      <w:r w:rsidR="0093421C" w:rsidRPr="00EF6E9D">
        <w:t>Insert the following sentence before the current last sentence</w:t>
      </w:r>
      <w:r w:rsidR="00460DEF" w:rsidRPr="00EF6E9D">
        <w:t xml:space="preserve"> (“Explanatory notes…Table 3.1.1”)</w:t>
      </w:r>
      <w:r w:rsidRPr="00EF6E9D">
        <w:t>:</w:t>
      </w:r>
      <w:r w:rsidR="00352FA9" w:rsidRPr="00EF6E9D">
        <w:t xml:space="preserve"> </w:t>
      </w:r>
    </w:p>
    <w:p w:rsidR="004B0CAC" w:rsidRPr="0093421C" w:rsidRDefault="0093421C" w:rsidP="0093421C">
      <w:pPr>
        <w:pStyle w:val="SingleTxtG"/>
        <w:tabs>
          <w:tab w:val="left" w:pos="2268"/>
        </w:tabs>
        <w:ind w:left="2268" w:hanging="1134"/>
      </w:pPr>
      <w:r w:rsidRPr="0093421C">
        <w:tab/>
      </w:r>
      <w:r>
        <w:t>“</w:t>
      </w:r>
      <w:r w:rsidR="004B0CAC" w:rsidRPr="0093421C">
        <w:t xml:space="preserve">While some </w:t>
      </w:r>
      <w:r w:rsidR="004B0CAC" w:rsidRPr="0093421C">
        <w:rPr>
          <w:i/>
        </w:rPr>
        <w:t>in vivo</w:t>
      </w:r>
      <w:r w:rsidR="004B0CAC" w:rsidRPr="0093421C">
        <w:t xml:space="preserve"> methods determine LD</w:t>
      </w:r>
      <w:r w:rsidR="004B0CAC" w:rsidRPr="0093421C">
        <w:rPr>
          <w:vertAlign w:val="subscript"/>
        </w:rPr>
        <w:t>50</w:t>
      </w:r>
      <w:r w:rsidR="004B0CAC" w:rsidRPr="0093421C">
        <w:t>/LC</w:t>
      </w:r>
      <w:r w:rsidR="004B0CAC" w:rsidRPr="0093421C">
        <w:rPr>
          <w:vertAlign w:val="subscript"/>
        </w:rPr>
        <w:t>50</w:t>
      </w:r>
      <w:r w:rsidR="004B0CAC" w:rsidRPr="0093421C">
        <w:t xml:space="preserve"> values directly, other newer </w:t>
      </w:r>
      <w:r w:rsidR="004B0CAC" w:rsidRPr="0093421C">
        <w:rPr>
          <w:i/>
        </w:rPr>
        <w:t>in vivo</w:t>
      </w:r>
      <w:r w:rsidR="004B0CAC" w:rsidRPr="0093421C">
        <w:t xml:space="preserve"> methods (e.g. using fewer animals) consider other indicators of acute toxicity, such as significant clinical signs of toxicity, which are used by reference to assign the hazard category.</w:t>
      </w:r>
      <w:proofErr w:type="gramStart"/>
      <w:r w:rsidR="004B0CAC" w:rsidRPr="0093421C">
        <w:t>”.</w:t>
      </w:r>
      <w:proofErr w:type="gramEnd"/>
    </w:p>
    <w:p w:rsidR="004B0CAC" w:rsidRDefault="004B0CAC" w:rsidP="004B0CAC">
      <w:pPr>
        <w:pStyle w:val="SingleTxtG"/>
        <w:rPr>
          <w:i/>
        </w:rPr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9C10BE" w:rsidRPr="009C10BE" w:rsidRDefault="009C10BE" w:rsidP="009C10BE">
      <w:pPr>
        <w:pStyle w:val="SingleTxtG"/>
        <w:tabs>
          <w:tab w:val="left" w:pos="2268"/>
        </w:tabs>
      </w:pPr>
      <w:r w:rsidRPr="009C10BE">
        <w:t>3.1.2.3</w:t>
      </w:r>
      <w:r w:rsidRPr="009C10BE">
        <w:tab/>
        <w:t>Add the following new sentence at the end of the paragraph:</w:t>
      </w:r>
    </w:p>
    <w:p w:rsidR="009C10BE" w:rsidRPr="006C6FD8" w:rsidRDefault="009C10BE" w:rsidP="009C10BE">
      <w:pPr>
        <w:pStyle w:val="SingleTxtG"/>
        <w:ind w:left="2268"/>
      </w:pPr>
      <w:r w:rsidRPr="006C6FD8">
        <w:t>“In cases where data from human experience (i.e. occupational data, data from accident databases, epidemiology studies</w:t>
      </w:r>
      <w:r>
        <w:t>,</w:t>
      </w:r>
      <w:r w:rsidRPr="007A0ECA">
        <w:t xml:space="preserve"> </w:t>
      </w:r>
      <w:r>
        <w:t>clinical reports</w:t>
      </w:r>
      <w:r w:rsidRPr="006C6FD8">
        <w:t>) is also available, it should be considered in a weight of evidence approach consistent with the pri</w:t>
      </w:r>
      <w:r>
        <w:t>nciples described in 1.3.2.4.9.</w:t>
      </w:r>
      <w:proofErr w:type="gramStart"/>
      <w:r w:rsidRPr="006C6FD8">
        <w:t>”.</w:t>
      </w:r>
      <w:proofErr w:type="gramEnd"/>
    </w:p>
    <w:p w:rsidR="009C10BE" w:rsidRDefault="009C10BE" w:rsidP="009C10BE">
      <w:pPr>
        <w:pStyle w:val="SingleTxtG"/>
      </w:pPr>
      <w:r w:rsidRPr="005C5979">
        <w:rPr>
          <w:i/>
        </w:rPr>
        <w:t>(Reference document: ST/SG/AC.10/C.4/</w:t>
      </w:r>
      <w:r>
        <w:rPr>
          <w:i/>
        </w:rPr>
        <w:t>62, annex I)</w:t>
      </w:r>
      <w:r>
        <w:t xml:space="preserve"> </w:t>
      </w:r>
    </w:p>
    <w:p w:rsidR="004B0CAC" w:rsidRPr="00401BE5" w:rsidRDefault="004B0CAC" w:rsidP="00DB367C">
      <w:pPr>
        <w:pStyle w:val="H1G"/>
        <w:rPr>
          <w:lang w:val="en-US"/>
        </w:rPr>
      </w:pPr>
      <w:r>
        <w:rPr>
          <w:lang w:val="en-US"/>
        </w:rPr>
        <w:tab/>
      </w:r>
      <w:r w:rsidR="00DB367C">
        <w:rPr>
          <w:lang w:val="en-US"/>
        </w:rPr>
        <w:tab/>
      </w:r>
      <w:r>
        <w:rPr>
          <w:lang w:val="en-US"/>
        </w:rPr>
        <w:t>Chapter 3.2</w:t>
      </w:r>
    </w:p>
    <w:p w:rsidR="004B0CAC" w:rsidRPr="00D21378" w:rsidRDefault="004B0CAC" w:rsidP="004B0CAC">
      <w:pPr>
        <w:pStyle w:val="SingleTxtG"/>
        <w:tabs>
          <w:tab w:val="left" w:pos="2268"/>
        </w:tabs>
      </w:pPr>
      <w:r w:rsidRPr="00D21378">
        <w:t>3.2.1.1</w:t>
      </w:r>
      <w:r w:rsidRPr="00D21378">
        <w:tab/>
        <w:t>Amend</w:t>
      </w:r>
      <w:r>
        <w:t xml:space="preserve"> </w:t>
      </w:r>
      <w:r w:rsidRPr="00D21378">
        <w:t>to read as follows:</w:t>
      </w:r>
    </w:p>
    <w:p w:rsidR="004B0CAC" w:rsidRPr="00D21378" w:rsidRDefault="004B0CAC" w:rsidP="005A211A">
      <w:pPr>
        <w:pStyle w:val="SingleTxtG"/>
        <w:ind w:left="2268"/>
      </w:pPr>
      <w:r w:rsidRPr="00D21378">
        <w:rPr>
          <w:i/>
          <w:iCs/>
        </w:rPr>
        <w:t>“Skin corrosion</w:t>
      </w:r>
      <w:r w:rsidRPr="00D21378">
        <w:t xml:space="preserve"> refers to the production of irreversible damage to the skin; namely, visible necrosis through the epidermis and into the dermis occurring after exposure to a substance or mixture.</w:t>
      </w:r>
    </w:p>
    <w:p w:rsidR="004B0CAC" w:rsidRDefault="004B0CAC" w:rsidP="005A211A">
      <w:pPr>
        <w:pStyle w:val="SingleTxtG"/>
        <w:ind w:left="2268"/>
      </w:pPr>
      <w:r w:rsidRPr="00D21378">
        <w:rPr>
          <w:i/>
          <w:iCs/>
        </w:rPr>
        <w:t>Skin irritation</w:t>
      </w:r>
      <w:r w:rsidRPr="00D21378">
        <w:t xml:space="preserve"> refers to the production of reversible damage to the skin occurring after exposure to a substance or mixture.</w:t>
      </w:r>
      <w:proofErr w:type="gramStart"/>
      <w:r w:rsidRPr="00D21378">
        <w:t>”</w:t>
      </w:r>
      <w:r>
        <w:t>.</w:t>
      </w:r>
      <w:proofErr w:type="gramEnd"/>
    </w:p>
    <w:p w:rsidR="00EF6E9D" w:rsidRDefault="00EF6E9D" w:rsidP="005A211A">
      <w:pPr>
        <w:pStyle w:val="SingleTxtG"/>
        <w:ind w:left="2268"/>
      </w:pPr>
      <w:r w:rsidRPr="00EF6E9D">
        <w:rPr>
          <w:u w:val="single"/>
        </w:rPr>
        <w:t>Consequential amendment</w:t>
      </w:r>
      <w:r>
        <w:t>: Delete related footnote 1 and renumber subsequent footnotes accordingly.</w:t>
      </w:r>
    </w:p>
    <w:p w:rsidR="004B0CAC" w:rsidRPr="00C7409D" w:rsidRDefault="004B0CAC" w:rsidP="004B0CAC">
      <w:pPr>
        <w:pStyle w:val="SingleTxtG"/>
        <w:rPr>
          <w:sz w:val="24"/>
          <w:szCs w:val="24"/>
        </w:rPr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Pr="003E03B8" w:rsidRDefault="004B0CAC" w:rsidP="00A1217A">
      <w:pPr>
        <w:pStyle w:val="H1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3E03B8">
        <w:rPr>
          <w:lang w:val="en-US"/>
        </w:rPr>
        <w:t>Chapter 3.3</w:t>
      </w:r>
    </w:p>
    <w:p w:rsidR="004B0CAC" w:rsidRDefault="004B0CAC" w:rsidP="00A1217A">
      <w:pPr>
        <w:pStyle w:val="SingleTxtG"/>
        <w:keepNext/>
        <w:keepLines/>
      </w:pPr>
      <w:r>
        <w:t>3.3.1.1</w:t>
      </w:r>
      <w:r>
        <w:tab/>
      </w:r>
      <w:r>
        <w:tab/>
        <w:t>Amend to read as follows:</w:t>
      </w:r>
    </w:p>
    <w:p w:rsidR="004B0CAC" w:rsidRDefault="004B0CAC" w:rsidP="005A211A">
      <w:pPr>
        <w:pStyle w:val="SingleTxtG"/>
        <w:ind w:left="2268"/>
      </w:pPr>
      <w:r>
        <w:rPr>
          <w:i/>
          <w:iCs/>
        </w:rPr>
        <w:t>“Serious eye damage</w:t>
      </w:r>
      <w:r>
        <w:t xml:space="preserve"> refers to the production of tissue damage in the eye, or serious physical decay of vision, which is not fully reversible, occurring after exposure of the eye to a substance or mixture.</w:t>
      </w:r>
    </w:p>
    <w:p w:rsidR="004B0CAC" w:rsidRDefault="004B0CAC" w:rsidP="005A211A">
      <w:pPr>
        <w:pStyle w:val="SingleTxtG"/>
        <w:ind w:left="2268"/>
      </w:pPr>
      <w:r>
        <w:rPr>
          <w:i/>
          <w:iCs/>
        </w:rPr>
        <w:t>Eye irritation</w:t>
      </w:r>
      <w:r>
        <w:t xml:space="preserve"> refers to the production of changes in the eye, which are fully reversible, occurring after exposure of the eye to a substance or mixture.</w:t>
      </w:r>
      <w:proofErr w:type="gramStart"/>
      <w:r>
        <w:t>”.</w:t>
      </w:r>
      <w:proofErr w:type="gramEnd"/>
    </w:p>
    <w:p w:rsidR="00EF6E9D" w:rsidRDefault="00EF6E9D" w:rsidP="005A211A">
      <w:pPr>
        <w:pStyle w:val="SingleTxtG"/>
        <w:ind w:left="2268"/>
      </w:pPr>
      <w:r w:rsidRPr="00EF6E9D">
        <w:rPr>
          <w:u w:val="single"/>
        </w:rPr>
        <w:t>Consequential amendment</w:t>
      </w:r>
      <w:r>
        <w:t>: Delete related footnote 1 and renumber subsequent footnotes accordingly.</w:t>
      </w:r>
    </w:p>
    <w:p w:rsidR="004B0CAC" w:rsidRPr="00A70C7F" w:rsidRDefault="004B0CAC" w:rsidP="004B0CAC">
      <w:pPr>
        <w:pStyle w:val="SingleTxtG"/>
        <w:rPr>
          <w:b/>
        </w:rPr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Pr="00943D42" w:rsidRDefault="004B0CAC" w:rsidP="00DB367C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43D42">
        <w:rPr>
          <w:lang w:val="en-US"/>
        </w:rPr>
        <w:t xml:space="preserve">Chapter 3.4 </w:t>
      </w:r>
    </w:p>
    <w:p w:rsidR="004B0CAC" w:rsidRPr="00943D42" w:rsidRDefault="004B0CAC" w:rsidP="004B0CAC">
      <w:pPr>
        <w:pStyle w:val="SingleTxtG"/>
        <w:keepNext/>
        <w:keepLines/>
      </w:pPr>
      <w:r w:rsidRPr="00943D42">
        <w:t>3.4.1.1</w:t>
      </w:r>
      <w:r w:rsidRPr="00943D42">
        <w:tab/>
      </w:r>
      <w:r>
        <w:tab/>
      </w:r>
      <w:r w:rsidRPr="00943D42">
        <w:t>Amend to read as follows:</w:t>
      </w:r>
    </w:p>
    <w:p w:rsidR="004B0CAC" w:rsidRDefault="004B0CAC" w:rsidP="005A211A">
      <w:pPr>
        <w:pStyle w:val="SingleTxtG"/>
        <w:keepNext/>
        <w:keepLines/>
        <w:ind w:left="2268"/>
      </w:pPr>
      <w:r>
        <w:rPr>
          <w:i/>
        </w:rPr>
        <w:t>“Respiratory sensitization</w:t>
      </w:r>
      <w:r>
        <w:t xml:space="preserve"> refers </w:t>
      </w:r>
      <w:r w:rsidRPr="00E65F20">
        <w:t>to hypersensitivity</w:t>
      </w:r>
      <w:r>
        <w:t xml:space="preserve"> of the airways after inhalation of a substance or a mixture.</w:t>
      </w:r>
    </w:p>
    <w:p w:rsidR="004B0CAC" w:rsidRDefault="004B0CAC" w:rsidP="005A211A">
      <w:pPr>
        <w:pStyle w:val="SingleTxtG"/>
        <w:ind w:left="2268"/>
      </w:pPr>
      <w:r>
        <w:rPr>
          <w:i/>
        </w:rPr>
        <w:t>Skin sensitization</w:t>
      </w:r>
      <w:r>
        <w:t xml:space="preserve"> refers to an allergic response after skin contact with a substance or a mixture.</w:t>
      </w:r>
      <w:proofErr w:type="gramStart"/>
      <w:r>
        <w:t>”.</w:t>
      </w:r>
      <w:proofErr w:type="gramEnd"/>
    </w:p>
    <w:p w:rsidR="00EF6E9D" w:rsidRDefault="00EF6E9D" w:rsidP="005A211A">
      <w:pPr>
        <w:pStyle w:val="SingleTxtG"/>
        <w:ind w:left="2268"/>
      </w:pPr>
      <w:r w:rsidRPr="00EF6E9D">
        <w:rPr>
          <w:u w:val="single"/>
        </w:rPr>
        <w:t>Consequential amendment</w:t>
      </w:r>
      <w:r>
        <w:t>: Delete related footnote 1 and renumber subsequent footnotes accordingly.</w:t>
      </w:r>
    </w:p>
    <w:p w:rsidR="004B0CAC" w:rsidRDefault="004B0CAC" w:rsidP="004B0CAC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Pr="00943D42" w:rsidRDefault="004B0CAC" w:rsidP="00DB367C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Chapter 3.5</w:t>
      </w:r>
    </w:p>
    <w:p w:rsidR="004B0CAC" w:rsidRPr="00DA3BF0" w:rsidRDefault="004B0CAC" w:rsidP="004B0CAC">
      <w:pPr>
        <w:pStyle w:val="SingleTxtG"/>
        <w:tabs>
          <w:tab w:val="left" w:pos="1985"/>
        </w:tabs>
      </w:pPr>
      <w:r>
        <w:t>3.5.1.1</w:t>
      </w:r>
      <w:r>
        <w:tab/>
      </w:r>
      <w:r>
        <w:tab/>
      </w:r>
      <w:r w:rsidRPr="00DA3BF0">
        <w:t xml:space="preserve">Insert </w:t>
      </w:r>
      <w:r>
        <w:t xml:space="preserve">a </w:t>
      </w:r>
      <w:r w:rsidRPr="00DA3BF0">
        <w:t xml:space="preserve">new paragraph </w:t>
      </w:r>
      <w:r>
        <w:t xml:space="preserve">to read </w:t>
      </w:r>
      <w:r w:rsidRPr="00DA3BF0">
        <w:t>as follows:</w:t>
      </w:r>
    </w:p>
    <w:p w:rsidR="004B0CAC" w:rsidRPr="00DA3BF0" w:rsidRDefault="004B0CAC" w:rsidP="005A211A">
      <w:pPr>
        <w:pStyle w:val="SingleTxtG"/>
        <w:ind w:left="2268"/>
      </w:pPr>
      <w:r>
        <w:t>“</w:t>
      </w:r>
      <w:r w:rsidRPr="00DA3BF0">
        <w:t xml:space="preserve">3.5.1.1 </w:t>
      </w:r>
      <w:r w:rsidRPr="00DA3BF0">
        <w:tab/>
      </w:r>
      <w:r w:rsidRPr="00DA3BF0">
        <w:rPr>
          <w:i/>
        </w:rPr>
        <w:t>Germ cell mutagenicity</w:t>
      </w:r>
      <w:r w:rsidRPr="00DA3BF0">
        <w:t xml:space="preserve"> refers to heritable gene mutations, including heritable structural and numerical chromosome aberrations in germ cells occurring after exposure to a substance or mixture.</w:t>
      </w:r>
      <w:proofErr w:type="gramStart"/>
      <w:r>
        <w:t>”.</w:t>
      </w:r>
      <w:proofErr w:type="gramEnd"/>
    </w:p>
    <w:p w:rsidR="004B0CAC" w:rsidRDefault="00D118E8" w:rsidP="00D118E8">
      <w:pPr>
        <w:pStyle w:val="SingleTxtG"/>
        <w:ind w:left="2268"/>
      </w:pPr>
      <w:r>
        <w:tab/>
      </w:r>
      <w:r w:rsidR="004B0CAC">
        <w:t>C</w:t>
      </w:r>
      <w:r w:rsidR="004B0CAC" w:rsidRPr="00DA3BF0">
        <w:t xml:space="preserve">urrent paragraphs 3.5.1.1 </w:t>
      </w:r>
      <w:r w:rsidR="004B0CAC">
        <w:t>to</w:t>
      </w:r>
      <w:r w:rsidR="004B0CAC" w:rsidRPr="00DA3BF0">
        <w:t xml:space="preserve"> 3.5.1.4 </w:t>
      </w:r>
      <w:r w:rsidR="004B0CAC">
        <w:t>become new paragraphs</w:t>
      </w:r>
      <w:r w:rsidR="004B0CAC" w:rsidRPr="00DA3BF0">
        <w:t xml:space="preserve"> 3.5.1.2 </w:t>
      </w:r>
      <w:r w:rsidR="004B0CAC">
        <w:t>to</w:t>
      </w:r>
      <w:r w:rsidR="004B0CAC" w:rsidRPr="00DA3BF0">
        <w:t xml:space="preserve"> 3.5.1.5.</w:t>
      </w:r>
    </w:p>
    <w:p w:rsidR="004B0CAC" w:rsidRPr="00DA3BF0" w:rsidRDefault="004B0CAC" w:rsidP="004B0CAC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Pr="00EA0C4F" w:rsidRDefault="004B0CAC" w:rsidP="00DB367C">
      <w:pPr>
        <w:pStyle w:val="H1G"/>
        <w:rPr>
          <w:lang w:val="en-US"/>
        </w:rPr>
      </w:pPr>
      <w:bookmarkStart w:id="0" w:name="_Toc11573781"/>
      <w:r>
        <w:rPr>
          <w:lang w:val="en-US"/>
        </w:rPr>
        <w:tab/>
      </w:r>
      <w:r>
        <w:rPr>
          <w:lang w:val="en-US"/>
        </w:rPr>
        <w:tab/>
      </w:r>
      <w:r w:rsidRPr="00EA0C4F">
        <w:rPr>
          <w:lang w:val="en-US"/>
        </w:rPr>
        <w:t>Chapter 3.6</w:t>
      </w:r>
      <w:bookmarkEnd w:id="0"/>
    </w:p>
    <w:p w:rsidR="004B0CAC" w:rsidRDefault="004B0CAC" w:rsidP="004B0CAC">
      <w:pPr>
        <w:pStyle w:val="SingleTxtG"/>
        <w:tabs>
          <w:tab w:val="left" w:pos="1985"/>
        </w:tabs>
      </w:pPr>
      <w:r>
        <w:t>3.6.1</w:t>
      </w:r>
      <w:r>
        <w:tab/>
        <w:t xml:space="preserve">Amend the </w:t>
      </w:r>
      <w:r w:rsidRPr="00DA3BF0">
        <w:t xml:space="preserve">first sentence </w:t>
      </w:r>
      <w:r>
        <w:t>to read as follows</w:t>
      </w:r>
      <w:r w:rsidRPr="00DA3BF0">
        <w:t xml:space="preserve">: </w:t>
      </w:r>
    </w:p>
    <w:p w:rsidR="004B0CAC" w:rsidRDefault="004B0CAC" w:rsidP="005A211A">
      <w:pPr>
        <w:pStyle w:val="SingleTxtG"/>
        <w:ind w:left="1985"/>
      </w:pPr>
      <w:r>
        <w:rPr>
          <w:i/>
        </w:rPr>
        <w:t>“</w:t>
      </w:r>
      <w:r w:rsidRPr="00AE5B4F">
        <w:rPr>
          <w:i/>
        </w:rPr>
        <w:t>Carcinogenicity</w:t>
      </w:r>
      <w:r w:rsidRPr="00AE5B4F">
        <w:t xml:space="preserve"> refers to the</w:t>
      </w:r>
      <w:r w:rsidRPr="00AE5B4F">
        <w:rPr>
          <w:color w:val="1F497D"/>
        </w:rPr>
        <w:t xml:space="preserve"> </w:t>
      </w:r>
      <w:r w:rsidRPr="00AE5B4F">
        <w:t>induction of cancer or an increase in the incidence of cancer after expo</w:t>
      </w:r>
      <w:bookmarkStart w:id="1" w:name="_Toc11573801"/>
      <w:r>
        <w:t>sure to a substance or mixture.</w:t>
      </w:r>
      <w:proofErr w:type="gramStart"/>
      <w:r>
        <w:t>”.</w:t>
      </w:r>
      <w:proofErr w:type="gramEnd"/>
    </w:p>
    <w:p w:rsidR="004B0CAC" w:rsidRPr="00AE5B4F" w:rsidRDefault="004B0CAC" w:rsidP="004B0CAC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Pr="00EA0C4F" w:rsidRDefault="004B0CAC" w:rsidP="00D118E8">
      <w:pPr>
        <w:pStyle w:val="H1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EA0C4F">
        <w:rPr>
          <w:lang w:val="en-US"/>
        </w:rPr>
        <w:t>Chapter 3.7</w:t>
      </w:r>
    </w:p>
    <w:bookmarkEnd w:id="1"/>
    <w:p w:rsidR="00DD3994" w:rsidRDefault="004B0CAC" w:rsidP="00E96E1B">
      <w:pPr>
        <w:pStyle w:val="SingleTxtG"/>
        <w:keepNext/>
        <w:keepLines/>
        <w:ind w:left="2268" w:hanging="1134"/>
      </w:pPr>
      <w:r w:rsidRPr="00EE5A1B">
        <w:t>3.7.1.1</w:t>
      </w:r>
      <w:r w:rsidRPr="00EE5A1B">
        <w:tab/>
        <w:t xml:space="preserve">Amend the first sentence </w:t>
      </w:r>
      <w:r w:rsidR="00283140" w:rsidRPr="00EE5A1B">
        <w:t xml:space="preserve">to read </w:t>
      </w:r>
      <w:r w:rsidRPr="00EE5A1B">
        <w:t>as follows</w:t>
      </w:r>
      <w:r w:rsidR="00DD3994" w:rsidRPr="00EE5A1B">
        <w:t>:</w:t>
      </w:r>
    </w:p>
    <w:p w:rsidR="004B0CAC" w:rsidRDefault="004B0CAC" w:rsidP="00E96E1B">
      <w:pPr>
        <w:pStyle w:val="SingleTxtG"/>
        <w:ind w:left="2268" w:hanging="1134"/>
      </w:pPr>
      <w:r>
        <w:tab/>
      </w:r>
      <w:r>
        <w:rPr>
          <w:i/>
          <w:iCs/>
        </w:rPr>
        <w:t>“</w:t>
      </w:r>
      <w:r w:rsidRPr="002D6CA9">
        <w:rPr>
          <w:i/>
          <w:iCs/>
        </w:rPr>
        <w:t>Reproductive toxicity</w:t>
      </w:r>
      <w:r w:rsidRPr="002D6CA9">
        <w:t xml:space="preserve"> refers to adverse effects on sexual function and fertility in adult males and females, as well as developmental toxicity in the offspring</w:t>
      </w:r>
      <w:r>
        <w:t>,</w:t>
      </w:r>
      <w:r w:rsidRPr="002D6CA9">
        <w:t xml:space="preserve"> </w:t>
      </w:r>
      <w:r w:rsidRPr="00DD3994">
        <w:t>occurring after exposure to a substance or mixture.”</w:t>
      </w:r>
    </w:p>
    <w:p w:rsidR="004B0CAC" w:rsidRDefault="00E96E1B" w:rsidP="00E96E1B">
      <w:pPr>
        <w:pStyle w:val="SingleTxtG"/>
        <w:ind w:left="2268" w:hanging="1134"/>
        <w:rPr>
          <w:b/>
        </w:rPr>
      </w:pPr>
      <w:r>
        <w:tab/>
      </w:r>
      <w:r w:rsidR="004B0CAC">
        <w:t>In the last paragraph, replace “Nonetheless, chemicals with these effects” with “Nonetheless, substances and mixtures with these effects”.</w:t>
      </w:r>
      <w:r w:rsidR="004B0CAC" w:rsidRPr="002D6CA9">
        <w:rPr>
          <w:b/>
        </w:rPr>
        <w:t xml:space="preserve"> </w:t>
      </w:r>
    </w:p>
    <w:p w:rsidR="004B0CAC" w:rsidRPr="002D6CA9" w:rsidRDefault="004B0CAC" w:rsidP="004B0CAC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Pr="00EA0C4F" w:rsidRDefault="004B0CAC" w:rsidP="00F605E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Chapter 3.8</w:t>
      </w:r>
    </w:p>
    <w:p w:rsidR="004B0CAC" w:rsidRPr="00484BE2" w:rsidRDefault="004B0CAC" w:rsidP="00F605E2">
      <w:pPr>
        <w:pStyle w:val="SingleTxtG"/>
        <w:keepNext/>
        <w:keepLines/>
        <w:rPr>
          <w:snapToGrid w:val="0"/>
        </w:rPr>
      </w:pPr>
      <w:r>
        <w:rPr>
          <w:snapToGrid w:val="0"/>
        </w:rPr>
        <w:t>3.8.1.1</w:t>
      </w:r>
      <w:r>
        <w:rPr>
          <w:snapToGrid w:val="0"/>
        </w:rPr>
        <w:tab/>
      </w:r>
      <w:r>
        <w:rPr>
          <w:snapToGrid w:val="0"/>
        </w:rPr>
        <w:tab/>
        <w:t xml:space="preserve">Amend </w:t>
      </w:r>
      <w:r w:rsidR="00DD3994">
        <w:rPr>
          <w:snapToGrid w:val="0"/>
        </w:rPr>
        <w:t xml:space="preserve">the first sentence </w:t>
      </w:r>
      <w:r>
        <w:rPr>
          <w:snapToGrid w:val="0"/>
        </w:rPr>
        <w:t>to read as follows</w:t>
      </w:r>
      <w:r w:rsidRPr="00484BE2">
        <w:rPr>
          <w:snapToGrid w:val="0"/>
        </w:rPr>
        <w:t>:</w:t>
      </w:r>
    </w:p>
    <w:p w:rsidR="004B0CAC" w:rsidRDefault="004B0CAC" w:rsidP="00E96E1B">
      <w:pPr>
        <w:pStyle w:val="SingleTxtG"/>
        <w:ind w:left="2268"/>
      </w:pPr>
      <w:r>
        <w:rPr>
          <w:i/>
          <w:snapToGrid w:val="0"/>
        </w:rPr>
        <w:t>“</w:t>
      </w:r>
      <w:r w:rsidRPr="00C7328C">
        <w:rPr>
          <w:i/>
          <w:snapToGrid w:val="0"/>
        </w:rPr>
        <w:t xml:space="preserve">Specific target organ toxicity – single exposure </w:t>
      </w:r>
      <w:r w:rsidRPr="005D6D71">
        <w:rPr>
          <w:snapToGrid w:val="0"/>
        </w:rPr>
        <w:t>refers to specific, non-lethal toxic effects on target organs that arise from a single exposure to a substance or mixture.</w:t>
      </w:r>
      <w:r w:rsidR="00DD3994">
        <w:rPr>
          <w:snapToGrid w:val="0"/>
        </w:rPr>
        <w:t>”</w:t>
      </w:r>
      <w:r w:rsidRPr="005D6D71">
        <w:rPr>
          <w:snapToGrid w:val="0"/>
        </w:rPr>
        <w:t xml:space="preserve"> </w:t>
      </w:r>
    </w:p>
    <w:p w:rsidR="004B0CAC" w:rsidRPr="005D6D71" w:rsidRDefault="004B0CAC" w:rsidP="004B0CAC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Pr="003077F4" w:rsidRDefault="004B0CAC" w:rsidP="00DB367C">
      <w:pPr>
        <w:pStyle w:val="H1G"/>
        <w:rPr>
          <w:lang w:val="en-US"/>
        </w:rPr>
      </w:pPr>
      <w:bookmarkStart w:id="2" w:name="_Toc11573817"/>
      <w:r>
        <w:rPr>
          <w:lang w:val="en-US"/>
        </w:rPr>
        <w:tab/>
      </w:r>
      <w:r>
        <w:rPr>
          <w:lang w:val="en-US"/>
        </w:rPr>
        <w:tab/>
      </w:r>
      <w:r w:rsidRPr="003077F4">
        <w:rPr>
          <w:lang w:val="en-US"/>
        </w:rPr>
        <w:t>Chapter 3.9</w:t>
      </w:r>
      <w:bookmarkEnd w:id="2"/>
    </w:p>
    <w:p w:rsidR="004B0CAC" w:rsidRPr="005D6D71" w:rsidRDefault="004B0CAC" w:rsidP="004B0CAC">
      <w:pPr>
        <w:pStyle w:val="SingleTxtG"/>
      </w:pPr>
      <w:r>
        <w:t>3.9.1.1</w:t>
      </w:r>
      <w:r>
        <w:tab/>
      </w:r>
      <w:r>
        <w:tab/>
        <w:t xml:space="preserve">Amend </w:t>
      </w:r>
      <w:r w:rsidR="00DD3994">
        <w:rPr>
          <w:snapToGrid w:val="0"/>
        </w:rPr>
        <w:t xml:space="preserve">the first sentence </w:t>
      </w:r>
      <w:r>
        <w:t>to read as follows:</w:t>
      </w:r>
    </w:p>
    <w:p w:rsidR="004B0CAC" w:rsidRDefault="004B0CAC" w:rsidP="00E96E1B">
      <w:pPr>
        <w:pStyle w:val="SingleTxtG"/>
        <w:ind w:left="2268"/>
      </w:pPr>
      <w:r>
        <w:rPr>
          <w:i/>
          <w:snapToGrid w:val="0"/>
        </w:rPr>
        <w:t>“</w:t>
      </w:r>
      <w:r w:rsidRPr="00C7328C">
        <w:rPr>
          <w:i/>
          <w:snapToGrid w:val="0"/>
        </w:rPr>
        <w:t xml:space="preserve">Specific target organ toxicity – repeated exposure </w:t>
      </w:r>
      <w:r w:rsidRPr="005D6D71">
        <w:rPr>
          <w:snapToGrid w:val="0"/>
        </w:rPr>
        <w:t xml:space="preserve">refers to specific toxic effects on target organs that arise from </w:t>
      </w:r>
      <w:r>
        <w:rPr>
          <w:snapToGrid w:val="0"/>
        </w:rPr>
        <w:t>repeated</w:t>
      </w:r>
      <w:r w:rsidRPr="005D6D71">
        <w:rPr>
          <w:snapToGrid w:val="0"/>
        </w:rPr>
        <w:t xml:space="preserve"> expos</w:t>
      </w:r>
      <w:r w:rsidR="00DD3994">
        <w:rPr>
          <w:snapToGrid w:val="0"/>
        </w:rPr>
        <w:t>ure to a substance or mixture</w:t>
      </w:r>
      <w:proofErr w:type="gramStart"/>
      <w:r w:rsidR="00DD3994">
        <w:rPr>
          <w:snapToGrid w:val="0"/>
        </w:rPr>
        <w:t xml:space="preserve">. </w:t>
      </w:r>
      <w:r>
        <w:t>”</w:t>
      </w:r>
      <w:proofErr w:type="gramEnd"/>
      <w:r>
        <w:t>.</w:t>
      </w:r>
    </w:p>
    <w:p w:rsidR="004B0CAC" w:rsidRPr="005D6D71" w:rsidRDefault="004B0CAC" w:rsidP="004B0CAC">
      <w:pPr>
        <w:pStyle w:val="SingleTxtG"/>
        <w:rPr>
          <w:snapToGrid w:val="0"/>
        </w:rPr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4B0CAC" w:rsidRDefault="004B0CAC" w:rsidP="00096DE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96DED">
        <w:rPr>
          <w:lang w:val="en-US"/>
        </w:rPr>
        <w:t>Chapter 3.10</w:t>
      </w:r>
    </w:p>
    <w:p w:rsidR="004B0CAC" w:rsidRPr="002F55C8" w:rsidRDefault="004B0CAC" w:rsidP="004B0CAC">
      <w:pPr>
        <w:pStyle w:val="SingleTxtG"/>
        <w:keepNext/>
        <w:keepLines/>
        <w:tabs>
          <w:tab w:val="left" w:pos="2268"/>
        </w:tabs>
        <w:spacing w:after="80"/>
      </w:pPr>
      <w:r w:rsidRPr="002F55C8">
        <w:t>3.10.1</w:t>
      </w:r>
      <w:r w:rsidRPr="002F55C8">
        <w:tab/>
        <w:t>Amend the title to read: “</w:t>
      </w:r>
      <w:r w:rsidRPr="002F55C8">
        <w:rPr>
          <w:b/>
        </w:rPr>
        <w:t>Definitions and general considerations</w:t>
      </w:r>
      <w:r w:rsidRPr="002F55C8">
        <w:t>”</w:t>
      </w:r>
    </w:p>
    <w:p w:rsidR="004B0CAC" w:rsidRDefault="004B0CAC" w:rsidP="004B0CAC">
      <w:pPr>
        <w:pStyle w:val="SingleTxtG"/>
        <w:keepNext/>
        <w:keepLines/>
        <w:tabs>
          <w:tab w:val="left" w:pos="2268"/>
        </w:tabs>
        <w:spacing w:after="80"/>
      </w:pPr>
      <w:r>
        <w:t>3.10.1.1</w:t>
      </w:r>
      <w:r>
        <w:tab/>
      </w:r>
      <w:r w:rsidRPr="002F55C8">
        <w:tab/>
      </w:r>
      <w:r>
        <w:t>Delete.</w:t>
      </w:r>
    </w:p>
    <w:p w:rsidR="004B0CAC" w:rsidRDefault="004B0CAC" w:rsidP="004B0CAC">
      <w:pPr>
        <w:pStyle w:val="SingleTxtG"/>
        <w:tabs>
          <w:tab w:val="left" w:pos="2268"/>
        </w:tabs>
        <w:spacing w:after="80"/>
      </w:pPr>
      <w:r>
        <w:t>3.10.1.2</w:t>
      </w:r>
      <w:r>
        <w:tab/>
        <w:t>Renumber as 3.10.1.1.</w:t>
      </w:r>
    </w:p>
    <w:p w:rsidR="004B0CAC" w:rsidRDefault="004B0CAC" w:rsidP="004B0CAC">
      <w:pPr>
        <w:pStyle w:val="SingleTxtG"/>
        <w:keepNext/>
        <w:keepLines/>
        <w:tabs>
          <w:tab w:val="left" w:pos="2268"/>
        </w:tabs>
        <w:spacing w:after="80"/>
      </w:pPr>
      <w:r>
        <w:t>3.10.1.3</w:t>
      </w:r>
      <w:r>
        <w:tab/>
        <w:t>Renumber as 3.10.1.2 and amend to read:</w:t>
      </w:r>
    </w:p>
    <w:p w:rsidR="004B0CAC" w:rsidRDefault="004B0CAC" w:rsidP="004B0CAC">
      <w:pPr>
        <w:pStyle w:val="SingleTxtG"/>
        <w:spacing w:after="80"/>
        <w:ind w:left="2268"/>
      </w:pPr>
      <w:r w:rsidRPr="002F55C8">
        <w:tab/>
        <w:t>“</w:t>
      </w:r>
      <w:r w:rsidRPr="002F55C8">
        <w:rPr>
          <w:i/>
        </w:rPr>
        <w:t>Aspiration hazard</w:t>
      </w:r>
      <w:r w:rsidRPr="002F55C8">
        <w:t xml:space="preserve"> refers to severe acute effects such as chemical pneumonia, pulmonary injury or death after aspiration of a substance or mixture.</w:t>
      </w:r>
      <w:r>
        <w:t>”</w:t>
      </w:r>
    </w:p>
    <w:p w:rsidR="004B0CAC" w:rsidRPr="002F55C8" w:rsidRDefault="004B0CAC" w:rsidP="004B0CAC">
      <w:pPr>
        <w:pStyle w:val="SingleTxtG"/>
        <w:tabs>
          <w:tab w:val="left" w:pos="2268"/>
          <w:tab w:val="left" w:pos="3402"/>
        </w:tabs>
      </w:pPr>
      <w:r>
        <w:t xml:space="preserve">3.10.1.4 </w:t>
      </w:r>
      <w:proofErr w:type="gramStart"/>
      <w:r>
        <w:t>and</w:t>
      </w:r>
      <w:proofErr w:type="gramEnd"/>
      <w:r>
        <w:t xml:space="preserve"> 3.10.1.5</w:t>
      </w:r>
      <w:r>
        <w:tab/>
        <w:t>Renumber as 3.10.1.3 and 3.10.1.4.</w:t>
      </w:r>
    </w:p>
    <w:p w:rsidR="009C10BE" w:rsidRPr="006F5E91" w:rsidRDefault="009C10BE" w:rsidP="009C10BE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ST/SG/AC.10/C.4/2016/9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670257" w:rsidRPr="00096DED" w:rsidRDefault="00A67704" w:rsidP="00E96E1B">
      <w:pPr>
        <w:pStyle w:val="H1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bookmarkStart w:id="3" w:name="_GoBack"/>
      <w:bookmarkEnd w:id="3"/>
      <w:r w:rsidR="00670257" w:rsidRPr="00096DED">
        <w:rPr>
          <w:lang w:val="en-US"/>
        </w:rPr>
        <w:t>Annex 3</w:t>
      </w:r>
    </w:p>
    <w:p w:rsidR="00B66648" w:rsidRPr="00670257" w:rsidRDefault="00B66648" w:rsidP="00E96E1B">
      <w:pPr>
        <w:pStyle w:val="H23G"/>
      </w:pPr>
      <w:r>
        <w:tab/>
      </w:r>
      <w:r>
        <w:tab/>
      </w:r>
      <w:r w:rsidRPr="00670257">
        <w:t xml:space="preserve">Section 2, </w:t>
      </w:r>
      <w:r>
        <w:t>paragraph</w:t>
      </w:r>
      <w:r w:rsidRPr="00670257">
        <w:t xml:space="preserve"> A3.2.</w:t>
      </w:r>
      <w:r w:rsidR="007F068D">
        <w:t>3.3</w:t>
      </w:r>
    </w:p>
    <w:p w:rsidR="007A0DA4" w:rsidRDefault="000267A3" w:rsidP="00E96E1B">
      <w:pPr>
        <w:pStyle w:val="SingleTxtG"/>
        <w:keepNext/>
        <w:keepLines/>
      </w:pPr>
      <w:r>
        <w:t xml:space="preserve">Amend the beginning of the </w:t>
      </w:r>
      <w:r w:rsidR="00B66648" w:rsidRPr="00496E12">
        <w:t xml:space="preserve">last sentence </w:t>
      </w:r>
      <w:r>
        <w:t xml:space="preserve">to read as follows: </w:t>
      </w:r>
    </w:p>
    <w:p w:rsidR="00B66648" w:rsidRDefault="00B66648" w:rsidP="007A0DA4">
      <w:pPr>
        <w:pStyle w:val="SingleTxtG"/>
        <w:ind w:left="1701"/>
        <w:rPr>
          <w:i/>
        </w:rPr>
      </w:pPr>
      <w:r w:rsidRPr="00496E12">
        <w:t>“</w:t>
      </w:r>
      <w:r w:rsidR="000267A3">
        <w:t xml:space="preserve">For example in P280 </w:t>
      </w:r>
      <w:r w:rsidR="00496E12" w:rsidRPr="00496E12">
        <w:t>“</w:t>
      </w:r>
      <w:r w:rsidR="00496E12" w:rsidRPr="000267A3">
        <w:rPr>
          <w:b/>
        </w:rPr>
        <w:t>Wear protective gloves/protective clothing/eye protection/face protection/hearing protection/…</w:t>
      </w:r>
      <w:r w:rsidR="00496E12" w:rsidRPr="000267A3">
        <w:t>”</w:t>
      </w:r>
      <w:r w:rsidR="000267A3">
        <w:t xml:space="preserve"> could read” </w:t>
      </w:r>
      <w:r w:rsidR="000267A3" w:rsidRPr="000267A3">
        <w:rPr>
          <w:i/>
        </w:rPr>
        <w:t>(remainder of the sentence unchanged)</w:t>
      </w:r>
    </w:p>
    <w:p w:rsidR="000267A3" w:rsidRPr="00496E12" w:rsidRDefault="000267A3" w:rsidP="00496E12">
      <w:pPr>
        <w:pStyle w:val="SingleTxtG"/>
      </w:pPr>
      <w:r w:rsidRPr="005C5979">
        <w:rPr>
          <w:i/>
        </w:rPr>
        <w:t xml:space="preserve">(Reference: </w:t>
      </w:r>
      <w:r>
        <w:rPr>
          <w:i/>
        </w:rPr>
        <w:t xml:space="preserve">consequential amendment to the amendment </w:t>
      </w:r>
      <w:r w:rsidR="005B1C6C">
        <w:rPr>
          <w:i/>
        </w:rPr>
        <w:t xml:space="preserve">of the text of precautionary statement </w:t>
      </w:r>
      <w:r>
        <w:rPr>
          <w:i/>
        </w:rPr>
        <w:t>P280)</w:t>
      </w:r>
    </w:p>
    <w:p w:rsidR="003E7199" w:rsidRPr="00670257" w:rsidRDefault="003E7199" w:rsidP="003E7199">
      <w:pPr>
        <w:pStyle w:val="H23G"/>
      </w:pPr>
      <w:r>
        <w:tab/>
      </w:r>
      <w:r>
        <w:tab/>
      </w:r>
      <w:r w:rsidRPr="00670257">
        <w:t>Section 2, Table A3.2.</w:t>
      </w:r>
      <w:r>
        <w:t>2</w:t>
      </w:r>
    </w:p>
    <w:p w:rsidR="003E7199" w:rsidRPr="00873EC4" w:rsidRDefault="003E7199" w:rsidP="00873EC4">
      <w:pPr>
        <w:pStyle w:val="SingleTxtG"/>
        <w:rPr>
          <w:b/>
        </w:rPr>
      </w:pPr>
      <w:r w:rsidRPr="00873EC4">
        <w:rPr>
          <w:b/>
        </w:rPr>
        <w:t>P280</w:t>
      </w:r>
    </w:p>
    <w:p w:rsidR="003E7199" w:rsidRDefault="003E7199" w:rsidP="003E7199">
      <w:pPr>
        <w:pStyle w:val="SingleTxtG"/>
      </w:pPr>
      <w:r>
        <w:t>A</w:t>
      </w:r>
      <w:r w:rsidRPr="006C7D88">
        <w:t xml:space="preserve">mend </w:t>
      </w:r>
      <w:r>
        <w:t xml:space="preserve">the text </w:t>
      </w:r>
      <w:r w:rsidR="005B1C6C">
        <w:t xml:space="preserve">of the precautionary statement </w:t>
      </w:r>
      <w:r>
        <w:t xml:space="preserve">in column 2 </w:t>
      </w:r>
      <w:r w:rsidRPr="006C7D88">
        <w:t>to read as follows:</w:t>
      </w:r>
      <w:r>
        <w:t xml:space="preserve"> </w:t>
      </w:r>
    </w:p>
    <w:p w:rsidR="003E7199" w:rsidRPr="005B1C6C" w:rsidRDefault="003E7199" w:rsidP="003E7199">
      <w:pPr>
        <w:pStyle w:val="SingleTxtG"/>
        <w:ind w:left="1701"/>
        <w:rPr>
          <w:b/>
        </w:rPr>
      </w:pPr>
      <w:r w:rsidRPr="005B1C6C">
        <w:rPr>
          <w:b/>
        </w:rPr>
        <w:t>“Wear protective gloves/protective clothing/eye protection/face protection/hearing protection/…”</w:t>
      </w:r>
    </w:p>
    <w:p w:rsidR="005017B3" w:rsidRDefault="005B1C6C" w:rsidP="005017B3">
      <w:pPr>
        <w:pStyle w:val="SingleTxtG"/>
      </w:pPr>
      <w:r>
        <w:t xml:space="preserve">For the hazard classes </w:t>
      </w:r>
      <w:r w:rsidR="005017B3">
        <w:t>“Explosives”, “Flammable gases”</w:t>
      </w:r>
      <w:r w:rsidR="00DD3994">
        <w:t xml:space="preserve">, </w:t>
      </w:r>
      <w:r w:rsidR="005017B3">
        <w:t xml:space="preserve">“Flammable liquids”, “Flammable solids”, “Self-reactive substances and mixtures”, “Pyrophoric liquids”, “Pyrophoric solids”, “Self-heating substances and mixtures”, “Substances and mixtures which, in contact with water, emit flammable gases”, “Oxidizing liquids”, “Oxidizing solids”, “Organic peroxides”,  “Desensitized explosives”, </w:t>
      </w:r>
      <w:r w:rsidR="006E7C61">
        <w:t>“Germ cell mutagenicity”, “</w:t>
      </w:r>
      <w:r w:rsidR="005017B3">
        <w:t>Carcinogenicity</w:t>
      </w:r>
      <w:r w:rsidR="006E7C61">
        <w:t>” and “</w:t>
      </w:r>
      <w:r w:rsidR="005017B3">
        <w:t>Reproductive toxicity</w:t>
      </w:r>
      <w:r w:rsidR="006E7C61">
        <w:t>”: amend the precautionary statement in column (5) to read as follows:</w:t>
      </w:r>
    </w:p>
    <w:p w:rsidR="006E7C61" w:rsidRDefault="006E7C61" w:rsidP="006E7C61">
      <w:pPr>
        <w:pStyle w:val="SingleTxtG"/>
        <w:ind w:left="1701"/>
      </w:pPr>
      <w:r w:rsidRPr="003E7199">
        <w:t>“Manufacturer/supplier or the competent authority to specify the appropriate personal protective equipment.</w:t>
      </w:r>
      <w:proofErr w:type="gramStart"/>
      <w:r w:rsidRPr="003E7199">
        <w:t>”</w:t>
      </w:r>
      <w:r>
        <w:t>.</w:t>
      </w:r>
      <w:proofErr w:type="gramEnd"/>
    </w:p>
    <w:p w:rsidR="006E7C61" w:rsidRPr="006F5E91" w:rsidRDefault="006E7C61" w:rsidP="006E7C61">
      <w:pPr>
        <w:pStyle w:val="SingleTxtG"/>
      </w:pPr>
      <w:r w:rsidRPr="005C5979">
        <w:rPr>
          <w:i/>
        </w:rPr>
        <w:t xml:space="preserve">(Reference document: </w:t>
      </w:r>
      <w:r>
        <w:rPr>
          <w:i/>
        </w:rPr>
        <w:t xml:space="preserve">ST/SG/AC.10/C.4/2016/1 and </w:t>
      </w:r>
      <w:r w:rsidRPr="005C5979">
        <w:rPr>
          <w:i/>
        </w:rPr>
        <w:t>ST/SG/AC.10/C.4/</w:t>
      </w:r>
      <w:r>
        <w:rPr>
          <w:i/>
        </w:rPr>
        <w:t>62, annex I)</w:t>
      </w:r>
    </w:p>
    <w:p w:rsidR="00DB1609" w:rsidRDefault="00DB1609" w:rsidP="00DB1609">
      <w:pPr>
        <w:pStyle w:val="H23G"/>
      </w:pPr>
      <w:r>
        <w:tab/>
      </w:r>
      <w:r>
        <w:tab/>
      </w:r>
      <w:r w:rsidRPr="00670257">
        <w:t>Section 2, Table A3.2.5</w:t>
      </w:r>
    </w:p>
    <w:p w:rsidR="00DB1609" w:rsidRPr="003E7199" w:rsidRDefault="00DB1609" w:rsidP="00DB160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3E7199">
        <w:rPr>
          <w:b/>
        </w:rPr>
        <w:t>P503</w:t>
      </w:r>
    </w:p>
    <w:p w:rsidR="00DB1609" w:rsidRPr="005C5979" w:rsidRDefault="00DB1609" w:rsidP="00DB1609">
      <w:pPr>
        <w:pStyle w:val="SingleTxtG"/>
      </w:pPr>
      <w:r w:rsidRPr="005C5979">
        <w:t xml:space="preserve">Insert a new </w:t>
      </w:r>
      <w:r>
        <w:t xml:space="preserve">precautionary statement </w:t>
      </w:r>
      <w:r w:rsidRPr="005C5979">
        <w:t>P503 to read as follows:</w:t>
      </w:r>
    </w:p>
    <w:tbl>
      <w:tblPr>
        <w:tblStyle w:val="TableGrid"/>
        <w:tblW w:w="9085" w:type="dxa"/>
        <w:tblInd w:w="159" w:type="dxa"/>
        <w:tblLook w:val="04A0" w:firstRow="1" w:lastRow="0" w:firstColumn="1" w:lastColumn="0" w:noHBand="0" w:noVBand="1"/>
      </w:tblPr>
      <w:tblGrid>
        <w:gridCol w:w="630"/>
        <w:gridCol w:w="2168"/>
        <w:gridCol w:w="1038"/>
        <w:gridCol w:w="1202"/>
        <w:gridCol w:w="4047"/>
      </w:tblGrid>
      <w:tr w:rsidR="00DB1609" w:rsidRPr="005C5979" w:rsidTr="00A677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Code</w:t>
            </w:r>
          </w:p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(1)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Disposal precautionary statements</w:t>
            </w:r>
          </w:p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(2)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Hazard class</w:t>
            </w:r>
          </w:p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(3)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Hazard category</w:t>
            </w:r>
          </w:p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(4)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Conditions for use</w:t>
            </w:r>
          </w:p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(5)</w:t>
            </w:r>
          </w:p>
        </w:tc>
      </w:tr>
      <w:tr w:rsidR="00DB1609" w:rsidRPr="005C5979" w:rsidTr="00A677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A557E2">
            <w:pPr>
              <w:pStyle w:val="ListParagraph"/>
              <w:suppressAutoHyphens/>
              <w:ind w:left="0" w:right="-184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P503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926CBE" w:rsidRDefault="00DB1609" w:rsidP="00F07EF6">
            <w:pPr>
              <w:pStyle w:val="ListParagraph"/>
              <w:suppressAutoHyphens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26CB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 to manufacturer/</w:t>
            </w:r>
            <w:r w:rsidRPr="00926CB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br/>
              <w:t>supplier/… for information on disposal/recovery/recycling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A557E2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Explosives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(c</w:t>
            </w:r>
            <w:r w:rsidR="00DB1609" w:rsidRPr="005C59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hapter 2.1)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F07EF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Unstable exp</w:t>
            </w:r>
            <w:r w:rsidRPr="00926CB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losive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5C59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Divisions 1.1, 1.2, 1.3, 1.4 and 1.5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9" w:rsidRPr="005C5979" w:rsidRDefault="00DB1609" w:rsidP="00F07EF6">
            <w:pPr>
              <w:pStyle w:val="ListParagraph"/>
              <w:suppressAutoHyphens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C59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… Manufacturer/supplier 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</w:t>
            </w:r>
            <w:r w:rsidRPr="005C59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competent authority to specify appropriate source of information in accordance with local/regional/national/international regulation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5C59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as applicable</w:t>
            </w:r>
          </w:p>
        </w:tc>
      </w:tr>
    </w:tbl>
    <w:p w:rsidR="00DB1609" w:rsidRPr="005E5F6E" w:rsidRDefault="00DB1609" w:rsidP="00DB1609">
      <w:pPr>
        <w:pStyle w:val="SingleTxtG"/>
        <w:rPr>
          <w:u w:val="single"/>
        </w:rPr>
      </w:pPr>
      <w:r w:rsidRPr="005E5F6E">
        <w:rPr>
          <w:u w:val="single"/>
        </w:rPr>
        <w:t>Consequential amendment</w:t>
      </w:r>
    </w:p>
    <w:p w:rsidR="00DB1609" w:rsidRPr="005C5979" w:rsidRDefault="00DB1609" w:rsidP="00DB1609">
      <w:pPr>
        <w:pStyle w:val="SingleTxtG"/>
      </w:pPr>
      <w:r w:rsidRPr="005C5979">
        <w:t>For P501, delete the entry for explosives in columns (3) and (4).</w:t>
      </w:r>
    </w:p>
    <w:p w:rsidR="00DB1609" w:rsidRDefault="006E7C61" w:rsidP="00600233">
      <w:pPr>
        <w:pStyle w:val="H23G"/>
      </w:pPr>
      <w:r>
        <w:tab/>
      </w:r>
      <w:r>
        <w:tab/>
      </w:r>
      <w:r w:rsidRPr="00670257">
        <w:t xml:space="preserve">Section </w:t>
      </w:r>
      <w:r>
        <w:t>3</w:t>
      </w:r>
      <w:r w:rsidRPr="00670257">
        <w:t xml:space="preserve">, </w:t>
      </w:r>
      <w:r>
        <w:t xml:space="preserve">matrix tables in paragraph A3.3.5.1 </w:t>
      </w:r>
    </w:p>
    <w:p w:rsidR="006E7C61" w:rsidRPr="00DB1609" w:rsidRDefault="00DB1609" w:rsidP="00DB1609">
      <w:pPr>
        <w:pStyle w:val="Bullet1G"/>
        <w:tabs>
          <w:tab w:val="clear" w:pos="1701"/>
          <w:tab w:val="num" w:pos="1418"/>
        </w:tabs>
        <w:ind w:left="1418" w:hanging="284"/>
      </w:pPr>
      <w:r>
        <w:t>For the t</w:t>
      </w:r>
      <w:r w:rsidRPr="00DB1609">
        <w:t xml:space="preserve">ables </w:t>
      </w:r>
      <w:r w:rsidR="006E7C61" w:rsidRPr="00DB1609">
        <w:t>applicable to the following hazard classes and categories: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600233">
        <w:t>“</w:t>
      </w:r>
      <w:r w:rsidR="006E7C61">
        <w:t>Explosives</w:t>
      </w:r>
      <w:r w:rsidR="00600233">
        <w:t>”, categories:</w:t>
      </w:r>
      <w:r w:rsidR="006E7C61">
        <w:t xml:space="preserve"> </w:t>
      </w:r>
      <w:r w:rsidR="00600233">
        <w:t>U</w:t>
      </w:r>
      <w:r w:rsidR="006E7C61">
        <w:t>nstable explosive and divisions 1.1</w:t>
      </w:r>
      <w:r w:rsidR="00600233">
        <w:t xml:space="preserve"> to </w:t>
      </w:r>
      <w:r w:rsidR="006E7C61">
        <w:t>1.5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600233">
        <w:t>“</w:t>
      </w:r>
      <w:r w:rsidR="006E7C61">
        <w:t>Flammable gases</w:t>
      </w:r>
      <w:r w:rsidR="00600233">
        <w:t>”</w:t>
      </w:r>
      <w:proofErr w:type="gramStart"/>
      <w:r w:rsidR="00600233">
        <w:t>,  category</w:t>
      </w:r>
      <w:proofErr w:type="gramEnd"/>
      <w:r w:rsidR="00600233">
        <w:t xml:space="preserve">: </w:t>
      </w:r>
      <w:r w:rsidR="006E7C61">
        <w:t>Pyrophoric gas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600233">
        <w:t>“</w:t>
      </w:r>
      <w:r w:rsidR="006E7C61">
        <w:t>Flammable liquids</w:t>
      </w:r>
      <w:r w:rsidR="00600233">
        <w:t>”, categories 1 to 4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lastRenderedPageBreak/>
        <w:t xml:space="preserve">- </w:t>
      </w:r>
      <w:r>
        <w:tab/>
      </w:r>
      <w:r w:rsidR="00600233">
        <w:t>“</w:t>
      </w:r>
      <w:r w:rsidR="006E7C61">
        <w:t>Flammable solids</w:t>
      </w:r>
      <w:r w:rsidR="00600233">
        <w:t>”, categories 1 and 2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600233">
        <w:t>“</w:t>
      </w:r>
      <w:r w:rsidR="006E7C61">
        <w:t>Self-reactive substances and mixtures</w:t>
      </w:r>
      <w:r w:rsidR="00600233">
        <w:t>”, t</w:t>
      </w:r>
      <w:r w:rsidR="006E7C61">
        <w:t xml:space="preserve">ypes </w:t>
      </w:r>
      <w:proofErr w:type="gramStart"/>
      <w:r w:rsidR="006E7C61">
        <w:t xml:space="preserve">A </w:t>
      </w:r>
      <w:r w:rsidR="00600233">
        <w:t xml:space="preserve"> to</w:t>
      </w:r>
      <w:proofErr w:type="gramEnd"/>
      <w:r w:rsidR="006E7C61">
        <w:t xml:space="preserve"> F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600233">
        <w:t>“</w:t>
      </w:r>
      <w:r w:rsidR="006E7C61">
        <w:t>Pyrophoric liquids</w:t>
      </w:r>
      <w:r w:rsidR="00600233">
        <w:t>” and “</w:t>
      </w:r>
      <w:r w:rsidR="006E7C61">
        <w:t>Pyrophoric solids</w:t>
      </w:r>
      <w:r w:rsidR="00600233">
        <w:t>”: category 1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600233">
        <w:t>“</w:t>
      </w:r>
      <w:r w:rsidR="006E7C61">
        <w:t>Self-heating substances and mixtures</w:t>
      </w:r>
      <w:r w:rsidR="00600233">
        <w:t>”, categories 1 and</w:t>
      </w:r>
      <w:r w:rsidR="006E7C61">
        <w:t xml:space="preserve"> 2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600233">
        <w:t>“</w:t>
      </w:r>
      <w:r w:rsidR="006E7C61">
        <w:t>Substances and mixtures which, in contact with water, emit flammable gases</w:t>
      </w:r>
      <w:r w:rsidR="00600233">
        <w:t>”, “</w:t>
      </w:r>
      <w:r w:rsidR="006E7C61">
        <w:t>Oxidizing liquids</w:t>
      </w:r>
      <w:r w:rsidR="00600233">
        <w:t>” and “</w:t>
      </w:r>
      <w:r w:rsidR="006E7C61">
        <w:t>Oxidizing solids</w:t>
      </w:r>
      <w:r w:rsidR="00600233">
        <w:t>”, categories 1 to 3</w:t>
      </w:r>
      <w:r w:rsidR="006E7C61">
        <w:t xml:space="preserve"> </w:t>
      </w:r>
    </w:p>
    <w:p w:rsid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5204B4">
        <w:t>“</w:t>
      </w:r>
      <w:r w:rsidR="006E7C61">
        <w:t>Organic peroxides</w:t>
      </w:r>
      <w:r w:rsidR="005204B4">
        <w:t>”</w:t>
      </w:r>
      <w:r w:rsidR="00600233">
        <w:t xml:space="preserve">, </w:t>
      </w:r>
      <w:r w:rsidR="006E7C61">
        <w:t xml:space="preserve">Types A </w:t>
      </w:r>
      <w:r w:rsidR="00600233">
        <w:t xml:space="preserve">to </w:t>
      </w:r>
      <w:r w:rsidR="006E7C61">
        <w:t>F</w:t>
      </w:r>
    </w:p>
    <w:p w:rsidR="006E7C61" w:rsidRPr="006E7C61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5204B4">
        <w:t>“</w:t>
      </w:r>
      <w:r w:rsidR="006E7C61">
        <w:t>Desensitized explosives</w:t>
      </w:r>
      <w:r w:rsidR="005204B4">
        <w:t xml:space="preserve">”, categories </w:t>
      </w:r>
      <w:r w:rsidR="006E7C61">
        <w:t>1</w:t>
      </w:r>
      <w:r w:rsidR="005204B4">
        <w:t xml:space="preserve"> to</w:t>
      </w:r>
      <w:r w:rsidR="006E7C61">
        <w:t xml:space="preserve"> 4</w:t>
      </w:r>
    </w:p>
    <w:p w:rsidR="005017B3" w:rsidRDefault="00BC19F1" w:rsidP="00BC19F1">
      <w:pPr>
        <w:pStyle w:val="Bullet2G"/>
        <w:numPr>
          <w:ilvl w:val="0"/>
          <w:numId w:val="0"/>
        </w:numPr>
        <w:ind w:left="1985" w:hanging="284"/>
      </w:pPr>
      <w:r>
        <w:t xml:space="preserve">- </w:t>
      </w:r>
      <w:r>
        <w:tab/>
      </w:r>
      <w:r w:rsidR="005204B4">
        <w:t xml:space="preserve">“Germ cell mutagenicity”, “Carcinogenicity” and “Reproductive toxicity”: categories 1 </w:t>
      </w:r>
      <w:proofErr w:type="gramStart"/>
      <w:r w:rsidR="005204B4">
        <w:t>and  2</w:t>
      </w:r>
      <w:proofErr w:type="gramEnd"/>
      <w:r w:rsidR="005204B4">
        <w:t xml:space="preserve"> </w:t>
      </w:r>
    </w:p>
    <w:p w:rsidR="005017B3" w:rsidRDefault="005204B4" w:rsidP="00DB1609">
      <w:pPr>
        <w:pStyle w:val="SingleTxtG"/>
        <w:ind w:left="1418"/>
      </w:pPr>
      <w:r>
        <w:t xml:space="preserve">Under the column “Prevention”, amend precautionary statement P280 </w:t>
      </w:r>
      <w:r w:rsidR="00B6576A">
        <w:t>to read as follows</w:t>
      </w:r>
      <w:r>
        <w:t>:</w:t>
      </w:r>
    </w:p>
    <w:p w:rsidR="005204B4" w:rsidRPr="00296F00" w:rsidRDefault="005204B4" w:rsidP="00296F00">
      <w:pPr>
        <w:pStyle w:val="SingleTxtG"/>
        <w:ind w:left="1418"/>
      </w:pPr>
      <w:r w:rsidRPr="00296F00">
        <w:t>“</w:t>
      </w:r>
      <w:r w:rsidRPr="00296F00">
        <w:rPr>
          <w:b/>
        </w:rPr>
        <w:t>Wear protective gloves/protective clothing/eye protection/face protection/hearing protection/…</w:t>
      </w:r>
    </w:p>
    <w:p w:rsidR="005B1C6C" w:rsidRDefault="005204B4" w:rsidP="00296F00">
      <w:pPr>
        <w:pStyle w:val="SingleTxtG"/>
        <w:ind w:left="1418"/>
      </w:pPr>
      <w:proofErr w:type="gramStart"/>
      <w:r w:rsidRPr="003E7199">
        <w:t>Manufacturer/supplier or the competent authority to specify the appropriate personal protective equipment.</w:t>
      </w:r>
      <w:r>
        <w:t>”</w:t>
      </w:r>
      <w:proofErr w:type="gramEnd"/>
    </w:p>
    <w:p w:rsidR="005204B4" w:rsidRPr="00496E12" w:rsidRDefault="005204B4" w:rsidP="005204B4">
      <w:pPr>
        <w:pStyle w:val="SingleTxtG"/>
      </w:pPr>
      <w:r w:rsidRPr="005C5979">
        <w:rPr>
          <w:i/>
        </w:rPr>
        <w:t xml:space="preserve">(Reference: </w:t>
      </w:r>
      <w:r>
        <w:rPr>
          <w:i/>
        </w:rPr>
        <w:t>consequential amendment to the amendment of the text of precautionary statement P280)</w:t>
      </w:r>
    </w:p>
    <w:p w:rsidR="00670257" w:rsidRPr="005C5979" w:rsidRDefault="00670257" w:rsidP="00296F00">
      <w:pPr>
        <w:pStyle w:val="Bullet1G"/>
        <w:tabs>
          <w:tab w:val="clear" w:pos="1701"/>
          <w:tab w:val="num" w:pos="1418"/>
        </w:tabs>
        <w:ind w:left="1418" w:hanging="284"/>
      </w:pPr>
      <w:r w:rsidRPr="005C5979">
        <w:t>In the tables for Explosives (</w:t>
      </w:r>
      <w:r w:rsidRPr="00926CBE">
        <w:t>Unstable explosives and Divisions</w:t>
      </w:r>
      <w:r w:rsidR="00296F00">
        <w:t xml:space="preserve"> 1.1, 1.2, 1.3, 1.4 and </w:t>
      </w:r>
      <w:r w:rsidRPr="005C5979">
        <w:t>1.5), replace precautionary statement P501 by the following:</w:t>
      </w:r>
    </w:p>
    <w:p w:rsidR="00670257" w:rsidRPr="005C5979" w:rsidRDefault="00670257" w:rsidP="00296F00">
      <w:pPr>
        <w:pStyle w:val="SingleTxtG"/>
        <w:ind w:left="1418"/>
      </w:pPr>
      <w:r w:rsidRPr="005C5979">
        <w:t>“P503</w:t>
      </w:r>
      <w:r w:rsidR="00296F00">
        <w:br/>
      </w:r>
      <w:r w:rsidRPr="00296F00">
        <w:rPr>
          <w:b/>
        </w:rPr>
        <w:t>Refer to manufacturer/supplier/… for information on disposal/recovery/recycling.</w:t>
      </w:r>
      <w:r w:rsidR="00296F00">
        <w:rPr>
          <w:b/>
        </w:rPr>
        <w:br/>
      </w:r>
      <w:r w:rsidRPr="005C5979">
        <w:t>Manufacturer/supplier or competent authority to specify appropriate source of information in accordance with local/regional/national/international regulation as applicable.</w:t>
      </w:r>
      <w:proofErr w:type="gramStart"/>
      <w:r>
        <w:t>”.</w:t>
      </w:r>
      <w:proofErr w:type="gramEnd"/>
    </w:p>
    <w:p w:rsidR="00885DE5" w:rsidRDefault="00670257" w:rsidP="00670257">
      <w:pPr>
        <w:pStyle w:val="SingleTxtG"/>
      </w:pPr>
      <w:r w:rsidRPr="005C5979">
        <w:rPr>
          <w:i/>
        </w:rPr>
        <w:t>(Reference document: ST/SG/AC.10/C.4/</w:t>
      </w:r>
      <w:r>
        <w:rPr>
          <w:i/>
        </w:rPr>
        <w:t>60, annex I)</w:t>
      </w:r>
      <w:r>
        <w:t xml:space="preserve"> </w:t>
      </w:r>
    </w:p>
    <w:p w:rsidR="00C9119B" w:rsidRDefault="00C9119B" w:rsidP="00C9119B">
      <w:pPr>
        <w:pStyle w:val="H1G"/>
        <w:rPr>
          <w:lang w:val="en-US"/>
        </w:rPr>
      </w:pPr>
      <w:r w:rsidRPr="00096DED">
        <w:rPr>
          <w:lang w:val="en-US"/>
        </w:rPr>
        <w:tab/>
      </w:r>
      <w:r w:rsidRPr="00096DED">
        <w:rPr>
          <w:lang w:val="en-US"/>
        </w:rPr>
        <w:tab/>
        <w:t xml:space="preserve">Annex </w:t>
      </w:r>
      <w:r>
        <w:rPr>
          <w:lang w:val="en-US"/>
        </w:rPr>
        <w:t>7</w:t>
      </w:r>
    </w:p>
    <w:p w:rsidR="00C9119B" w:rsidRPr="00296F00" w:rsidRDefault="00C9119B" w:rsidP="00C9119B">
      <w:pPr>
        <w:pStyle w:val="SingleTxtG"/>
      </w:pPr>
      <w:r w:rsidRPr="00C9119B">
        <w:t xml:space="preserve">In example 7, replace the statement </w:t>
      </w:r>
      <w:r w:rsidRPr="00C9119B">
        <w:rPr>
          <w:b/>
        </w:rPr>
        <w:t>“Wear protective gloves, protective clothing/eye protection/face protection [as specified….]”</w:t>
      </w:r>
      <w:r w:rsidRPr="00C9119B">
        <w:t xml:space="preserve"> with </w:t>
      </w:r>
      <w:r w:rsidRPr="00C9119B">
        <w:rPr>
          <w:b/>
        </w:rPr>
        <w:t>“Wear protective gloves/protective clothing/eye protection/face protection/hearing protection/…”</w:t>
      </w:r>
    </w:p>
    <w:p w:rsidR="00C9119B" w:rsidRPr="00496E12" w:rsidRDefault="00C9119B" w:rsidP="00C9119B">
      <w:pPr>
        <w:pStyle w:val="SingleTxtG"/>
      </w:pPr>
      <w:r w:rsidRPr="005C5979">
        <w:rPr>
          <w:i/>
        </w:rPr>
        <w:t xml:space="preserve">(Reference: </w:t>
      </w:r>
      <w:r>
        <w:rPr>
          <w:i/>
        </w:rPr>
        <w:t>consequential amendment to the amendment of the text of precautionary statement P280)</w:t>
      </w:r>
    </w:p>
    <w:p w:rsidR="00F0077F" w:rsidRPr="00F0077F" w:rsidRDefault="00F0077F" w:rsidP="00F007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0077F" w:rsidRPr="00F0077F" w:rsidSect="007C396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66" w:rsidRDefault="007C3966"/>
  </w:endnote>
  <w:endnote w:type="continuationSeparator" w:id="0">
    <w:p w:rsidR="007C3966" w:rsidRDefault="007C3966"/>
  </w:endnote>
  <w:endnote w:type="continuationNotice" w:id="1">
    <w:p w:rsidR="007C3966" w:rsidRDefault="007C3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66" w:rsidRPr="007C3966" w:rsidRDefault="007C3966" w:rsidP="007C3966">
    <w:pPr>
      <w:pStyle w:val="Footer"/>
      <w:tabs>
        <w:tab w:val="right" w:pos="9638"/>
      </w:tabs>
      <w:rPr>
        <w:sz w:val="18"/>
      </w:rPr>
    </w:pPr>
    <w:r w:rsidRPr="007C3966">
      <w:rPr>
        <w:b/>
        <w:sz w:val="18"/>
      </w:rPr>
      <w:fldChar w:fldCharType="begin"/>
    </w:r>
    <w:r w:rsidRPr="007C3966">
      <w:rPr>
        <w:b/>
        <w:sz w:val="18"/>
      </w:rPr>
      <w:instrText xml:space="preserve"> PAGE  \* MERGEFORMAT </w:instrText>
    </w:r>
    <w:r w:rsidRPr="007C3966">
      <w:rPr>
        <w:b/>
        <w:sz w:val="18"/>
      </w:rPr>
      <w:fldChar w:fldCharType="separate"/>
    </w:r>
    <w:r w:rsidR="00086220">
      <w:rPr>
        <w:b/>
        <w:noProof/>
        <w:sz w:val="18"/>
      </w:rPr>
      <w:t>6</w:t>
    </w:r>
    <w:r w:rsidRPr="007C396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66" w:rsidRPr="007C3966" w:rsidRDefault="007C3966" w:rsidP="007C3966">
    <w:pPr>
      <w:pStyle w:val="Footer"/>
      <w:tabs>
        <w:tab w:val="right" w:pos="9638"/>
      </w:tabs>
      <w:rPr>
        <w:b/>
        <w:sz w:val="18"/>
      </w:rPr>
    </w:pPr>
    <w:r>
      <w:tab/>
    </w:r>
    <w:r w:rsidRPr="007C3966">
      <w:rPr>
        <w:b/>
        <w:sz w:val="18"/>
      </w:rPr>
      <w:fldChar w:fldCharType="begin"/>
    </w:r>
    <w:r w:rsidRPr="007C3966">
      <w:rPr>
        <w:b/>
        <w:sz w:val="18"/>
      </w:rPr>
      <w:instrText xml:space="preserve"> PAGE  \* MERGEFORMAT </w:instrText>
    </w:r>
    <w:r w:rsidRPr="007C3966">
      <w:rPr>
        <w:b/>
        <w:sz w:val="18"/>
      </w:rPr>
      <w:fldChar w:fldCharType="separate"/>
    </w:r>
    <w:r w:rsidR="00086220">
      <w:rPr>
        <w:b/>
        <w:noProof/>
        <w:sz w:val="18"/>
      </w:rPr>
      <w:t>7</w:t>
    </w:r>
    <w:r w:rsidRPr="007C396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66" w:rsidRPr="000B175B" w:rsidRDefault="007C39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3966" w:rsidRPr="00FC68B7" w:rsidRDefault="007C39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3966" w:rsidRDefault="007C3966"/>
  </w:footnote>
  <w:footnote w:id="2">
    <w:p w:rsidR="0097178A" w:rsidRPr="006547FF" w:rsidRDefault="0097178A" w:rsidP="0097178A">
      <w:pPr>
        <w:pStyle w:val="FootnoteText"/>
        <w:tabs>
          <w:tab w:val="clear" w:pos="1021"/>
        </w:tabs>
        <w:ind w:left="1418" w:hanging="284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2015-2016 approved by the Committee at its seventh session (see ST/SG/AC.10/C.3/92, paragraph 95 and ST/SG/AC.10/42, para. 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66" w:rsidRPr="007C3966" w:rsidRDefault="007C3966">
    <w:pPr>
      <w:pStyle w:val="Header"/>
    </w:pPr>
    <w:r>
      <w:t>ST/SG/AC.10/C.4/2016/11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66" w:rsidRPr="007C3966" w:rsidRDefault="007C3966" w:rsidP="007C3966">
    <w:pPr>
      <w:pStyle w:val="Header"/>
      <w:jc w:val="right"/>
    </w:pPr>
    <w:r>
      <w:t>ST/SG/AC.10/C.4/2016/11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66"/>
    <w:rsid w:val="000267A3"/>
    <w:rsid w:val="00050F6B"/>
    <w:rsid w:val="00057FD8"/>
    <w:rsid w:val="00072C8C"/>
    <w:rsid w:val="00086220"/>
    <w:rsid w:val="00091419"/>
    <w:rsid w:val="000931C0"/>
    <w:rsid w:val="00096DED"/>
    <w:rsid w:val="000B175B"/>
    <w:rsid w:val="000B3A0F"/>
    <w:rsid w:val="000E0415"/>
    <w:rsid w:val="0011582C"/>
    <w:rsid w:val="00117787"/>
    <w:rsid w:val="00131D42"/>
    <w:rsid w:val="00146BCB"/>
    <w:rsid w:val="001633FB"/>
    <w:rsid w:val="00165900"/>
    <w:rsid w:val="001B4B04"/>
    <w:rsid w:val="001C6663"/>
    <w:rsid w:val="001C7895"/>
    <w:rsid w:val="001D26DF"/>
    <w:rsid w:val="001D2FDC"/>
    <w:rsid w:val="001D3D99"/>
    <w:rsid w:val="00211E0B"/>
    <w:rsid w:val="002171B3"/>
    <w:rsid w:val="002309A7"/>
    <w:rsid w:val="00237785"/>
    <w:rsid w:val="00241466"/>
    <w:rsid w:val="002725CA"/>
    <w:rsid w:val="00280EB7"/>
    <w:rsid w:val="00283140"/>
    <w:rsid w:val="00296F00"/>
    <w:rsid w:val="002B1CDA"/>
    <w:rsid w:val="002E1E67"/>
    <w:rsid w:val="00305870"/>
    <w:rsid w:val="003107FA"/>
    <w:rsid w:val="003229D8"/>
    <w:rsid w:val="00352FA9"/>
    <w:rsid w:val="0039277A"/>
    <w:rsid w:val="003972E0"/>
    <w:rsid w:val="003C2CC4"/>
    <w:rsid w:val="003D4B23"/>
    <w:rsid w:val="003E7199"/>
    <w:rsid w:val="004325CB"/>
    <w:rsid w:val="00437F3F"/>
    <w:rsid w:val="00446DE4"/>
    <w:rsid w:val="00460DEF"/>
    <w:rsid w:val="00496E12"/>
    <w:rsid w:val="004B0CAC"/>
    <w:rsid w:val="004B2C9D"/>
    <w:rsid w:val="005017B3"/>
    <w:rsid w:val="005204B4"/>
    <w:rsid w:val="00527910"/>
    <w:rsid w:val="005420F2"/>
    <w:rsid w:val="00590144"/>
    <w:rsid w:val="005A211A"/>
    <w:rsid w:val="005B1C6C"/>
    <w:rsid w:val="005B3DB3"/>
    <w:rsid w:val="005C24A4"/>
    <w:rsid w:val="00600233"/>
    <w:rsid w:val="00611FC4"/>
    <w:rsid w:val="006176FB"/>
    <w:rsid w:val="0063419C"/>
    <w:rsid w:val="00640B26"/>
    <w:rsid w:val="00670257"/>
    <w:rsid w:val="00693D79"/>
    <w:rsid w:val="006A7392"/>
    <w:rsid w:val="006C0D34"/>
    <w:rsid w:val="006E564B"/>
    <w:rsid w:val="006E7C61"/>
    <w:rsid w:val="0072632A"/>
    <w:rsid w:val="00756807"/>
    <w:rsid w:val="00763041"/>
    <w:rsid w:val="00790791"/>
    <w:rsid w:val="007A0DA4"/>
    <w:rsid w:val="007B6BA5"/>
    <w:rsid w:val="007C3390"/>
    <w:rsid w:val="007C3966"/>
    <w:rsid w:val="007C4F4B"/>
    <w:rsid w:val="007F068D"/>
    <w:rsid w:val="007F6611"/>
    <w:rsid w:val="008175E9"/>
    <w:rsid w:val="008242D7"/>
    <w:rsid w:val="00871FD5"/>
    <w:rsid w:val="00873EC4"/>
    <w:rsid w:val="00885DE5"/>
    <w:rsid w:val="008979B1"/>
    <w:rsid w:val="008A6B25"/>
    <w:rsid w:val="008A6C4F"/>
    <w:rsid w:val="008E0E46"/>
    <w:rsid w:val="008F5A1A"/>
    <w:rsid w:val="0093421C"/>
    <w:rsid w:val="00945A5D"/>
    <w:rsid w:val="00963CBA"/>
    <w:rsid w:val="009673CA"/>
    <w:rsid w:val="0097178A"/>
    <w:rsid w:val="0099124E"/>
    <w:rsid w:val="00991261"/>
    <w:rsid w:val="0099386C"/>
    <w:rsid w:val="009C10BE"/>
    <w:rsid w:val="009D0B2C"/>
    <w:rsid w:val="009F0F06"/>
    <w:rsid w:val="00A1217A"/>
    <w:rsid w:val="00A1427D"/>
    <w:rsid w:val="00A557E2"/>
    <w:rsid w:val="00A56BA9"/>
    <w:rsid w:val="00A67704"/>
    <w:rsid w:val="00A72F22"/>
    <w:rsid w:val="00A748A6"/>
    <w:rsid w:val="00A75EC9"/>
    <w:rsid w:val="00A81FD3"/>
    <w:rsid w:val="00A879A4"/>
    <w:rsid w:val="00B057A2"/>
    <w:rsid w:val="00B257BD"/>
    <w:rsid w:val="00B30179"/>
    <w:rsid w:val="00B3317B"/>
    <w:rsid w:val="00B6576A"/>
    <w:rsid w:val="00B66648"/>
    <w:rsid w:val="00B81E12"/>
    <w:rsid w:val="00B848AC"/>
    <w:rsid w:val="00B93068"/>
    <w:rsid w:val="00BB6EB4"/>
    <w:rsid w:val="00BC19F1"/>
    <w:rsid w:val="00BC74E9"/>
    <w:rsid w:val="00BE618E"/>
    <w:rsid w:val="00C02E31"/>
    <w:rsid w:val="00C463DD"/>
    <w:rsid w:val="00C62F76"/>
    <w:rsid w:val="00C745C3"/>
    <w:rsid w:val="00C77AF4"/>
    <w:rsid w:val="00C9119B"/>
    <w:rsid w:val="00CE4A8F"/>
    <w:rsid w:val="00CF5DB3"/>
    <w:rsid w:val="00D118E8"/>
    <w:rsid w:val="00D2031B"/>
    <w:rsid w:val="00D25FE2"/>
    <w:rsid w:val="00D358EB"/>
    <w:rsid w:val="00D43252"/>
    <w:rsid w:val="00D753D8"/>
    <w:rsid w:val="00D86004"/>
    <w:rsid w:val="00D96CC5"/>
    <w:rsid w:val="00D978C6"/>
    <w:rsid w:val="00DA67AD"/>
    <w:rsid w:val="00DB1609"/>
    <w:rsid w:val="00DB367C"/>
    <w:rsid w:val="00DD3994"/>
    <w:rsid w:val="00E02534"/>
    <w:rsid w:val="00E130AB"/>
    <w:rsid w:val="00E244F9"/>
    <w:rsid w:val="00E5644E"/>
    <w:rsid w:val="00E7260F"/>
    <w:rsid w:val="00E8535A"/>
    <w:rsid w:val="00E96630"/>
    <w:rsid w:val="00E96E1B"/>
    <w:rsid w:val="00EA772F"/>
    <w:rsid w:val="00EB6832"/>
    <w:rsid w:val="00ED10AE"/>
    <w:rsid w:val="00ED7A2A"/>
    <w:rsid w:val="00EE18A8"/>
    <w:rsid w:val="00EE5A1B"/>
    <w:rsid w:val="00EF1D7F"/>
    <w:rsid w:val="00EF6E9D"/>
    <w:rsid w:val="00F0077F"/>
    <w:rsid w:val="00F40E75"/>
    <w:rsid w:val="00F54674"/>
    <w:rsid w:val="00F605E2"/>
    <w:rsid w:val="00FC68B7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ZchnZchn"/>
    <w:qFormat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7C3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966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97178A"/>
    <w:rPr>
      <w:sz w:val="18"/>
      <w:lang w:eastAsia="en-US"/>
    </w:rPr>
  </w:style>
  <w:style w:type="character" w:customStyle="1" w:styleId="SingleTxtGZchnZchn">
    <w:name w:val="_ Single Txt_G Zchn Zchn"/>
    <w:link w:val="SingleTxtG"/>
    <w:rsid w:val="002171B3"/>
    <w:rPr>
      <w:lang w:eastAsia="en-US"/>
    </w:rPr>
  </w:style>
  <w:style w:type="character" w:customStyle="1" w:styleId="SingleTxtGChar">
    <w:name w:val="_ Single Txt_G Char"/>
    <w:qFormat/>
    <w:rsid w:val="00670257"/>
    <w:rPr>
      <w:lang w:eastAsia="en-US"/>
    </w:rPr>
  </w:style>
  <w:style w:type="paragraph" w:styleId="ListParagraph">
    <w:name w:val="List Paragraph"/>
    <w:basedOn w:val="Normal"/>
    <w:uiPriority w:val="34"/>
    <w:qFormat/>
    <w:rsid w:val="006702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H1GChar">
    <w:name w:val="_ H_1_G Char"/>
    <w:link w:val="H1G"/>
    <w:rsid w:val="00B057A2"/>
    <w:rPr>
      <w:b/>
      <w:sz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B057A2"/>
    <w:rPr>
      <w:i/>
      <w:iCs/>
      <w:lang w:eastAsia="en-US"/>
    </w:rPr>
  </w:style>
  <w:style w:type="paragraph" w:customStyle="1" w:styleId="Style1">
    <w:name w:val="Style1"/>
    <w:basedOn w:val="Normal"/>
    <w:rsid w:val="00B057A2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har1">
    <w:name w:val="_ Single Txt_G Char1"/>
    <w:locked/>
    <w:rsid w:val="004B0CA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ZchnZchn"/>
    <w:qFormat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7C3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966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97178A"/>
    <w:rPr>
      <w:sz w:val="18"/>
      <w:lang w:eastAsia="en-US"/>
    </w:rPr>
  </w:style>
  <w:style w:type="character" w:customStyle="1" w:styleId="SingleTxtGZchnZchn">
    <w:name w:val="_ Single Txt_G Zchn Zchn"/>
    <w:link w:val="SingleTxtG"/>
    <w:rsid w:val="002171B3"/>
    <w:rPr>
      <w:lang w:eastAsia="en-US"/>
    </w:rPr>
  </w:style>
  <w:style w:type="character" w:customStyle="1" w:styleId="SingleTxtGChar">
    <w:name w:val="_ Single Txt_G Char"/>
    <w:qFormat/>
    <w:rsid w:val="00670257"/>
    <w:rPr>
      <w:lang w:eastAsia="en-US"/>
    </w:rPr>
  </w:style>
  <w:style w:type="paragraph" w:styleId="ListParagraph">
    <w:name w:val="List Paragraph"/>
    <w:basedOn w:val="Normal"/>
    <w:uiPriority w:val="34"/>
    <w:qFormat/>
    <w:rsid w:val="006702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H1GChar">
    <w:name w:val="_ H_1_G Char"/>
    <w:link w:val="H1G"/>
    <w:rsid w:val="00B057A2"/>
    <w:rPr>
      <w:b/>
      <w:sz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B057A2"/>
    <w:rPr>
      <w:i/>
      <w:iCs/>
      <w:lang w:eastAsia="en-US"/>
    </w:rPr>
  </w:style>
  <w:style w:type="paragraph" w:customStyle="1" w:styleId="Style1">
    <w:name w:val="Style1"/>
    <w:basedOn w:val="Normal"/>
    <w:rsid w:val="00B057A2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har1">
    <w:name w:val="_ Single Txt_G Char1"/>
    <w:locked/>
    <w:rsid w:val="004B0C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216</TotalTime>
  <Pages>7</Pages>
  <Words>1737</Words>
  <Characters>10750</Characters>
  <Application>Microsoft Office Word</Application>
  <DocSecurity>0</DocSecurity>
  <Lines>295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25</cp:revision>
  <cp:lastPrinted>2016-09-19T09:54:00Z</cp:lastPrinted>
  <dcterms:created xsi:type="dcterms:W3CDTF">2016-07-14T08:33:00Z</dcterms:created>
  <dcterms:modified xsi:type="dcterms:W3CDTF">2016-09-19T09:55:00Z</dcterms:modified>
</cp:coreProperties>
</file>