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:rsidTr="000305D3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132EA9" w:rsidRPr="00DB58B5" w:rsidRDefault="00132EA9" w:rsidP="00A552F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32EA9" w:rsidRPr="00DB58B5" w:rsidRDefault="00132EA9" w:rsidP="009C312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A552F5" w:rsidRPr="00DB58B5" w:rsidRDefault="00A552F5" w:rsidP="00A552F5">
            <w:pPr>
              <w:jc w:val="right"/>
            </w:pPr>
            <w:r w:rsidRPr="00A552F5">
              <w:rPr>
                <w:sz w:val="40"/>
              </w:rPr>
              <w:t>ST</w:t>
            </w:r>
            <w:r>
              <w:t>/SG/AC.10/C.3/2016/30−</w:t>
            </w:r>
            <w:r w:rsidRPr="00A552F5">
              <w:rPr>
                <w:sz w:val="40"/>
              </w:rPr>
              <w:t>ST</w:t>
            </w:r>
            <w:r>
              <w:t>/SG/AC.10/C.4/2016/6</w:t>
            </w:r>
          </w:p>
        </w:tc>
      </w:tr>
      <w:tr w:rsidR="00132EA9" w:rsidRPr="00DB58B5" w:rsidTr="009C312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Pr="00DB58B5" w:rsidRDefault="00132EA9" w:rsidP="009C3129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2E76D5A0" wp14:editId="1FEE2CF3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132EA9" w:rsidRPr="00740562" w:rsidRDefault="00132EA9" w:rsidP="009C312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132EA9" w:rsidRDefault="00A552F5" w:rsidP="009C3129">
            <w:pPr>
              <w:spacing w:before="240"/>
            </w:pPr>
            <w:r>
              <w:t>Distr. générale</w:t>
            </w:r>
          </w:p>
          <w:p w:rsidR="00A552F5" w:rsidRDefault="00A552F5" w:rsidP="00A552F5">
            <w:pPr>
              <w:spacing w:line="240" w:lineRule="exact"/>
            </w:pPr>
            <w:r>
              <w:t>8 avril 2016</w:t>
            </w:r>
          </w:p>
          <w:p w:rsidR="00A552F5" w:rsidRDefault="00A552F5" w:rsidP="00A552F5">
            <w:pPr>
              <w:spacing w:line="240" w:lineRule="exact"/>
            </w:pPr>
            <w:r>
              <w:t>Français</w:t>
            </w:r>
          </w:p>
          <w:p w:rsidR="00A552F5" w:rsidRPr="00DB58B5" w:rsidRDefault="00A552F5" w:rsidP="00A552F5">
            <w:pPr>
              <w:spacing w:line="240" w:lineRule="exact"/>
            </w:pPr>
            <w:r>
              <w:t>Original : anglais</w:t>
            </w:r>
          </w:p>
        </w:tc>
      </w:tr>
    </w:tbl>
    <w:p w:rsidR="00A552F5" w:rsidRPr="00A552F5" w:rsidRDefault="00A552F5" w:rsidP="00A552F5">
      <w:pPr>
        <w:spacing w:before="120"/>
        <w:rPr>
          <w:b/>
          <w:sz w:val="24"/>
          <w:szCs w:val="24"/>
          <w:lang w:val="fr-FR"/>
        </w:rPr>
      </w:pPr>
      <w:r w:rsidRPr="00A552F5">
        <w:rPr>
          <w:b/>
          <w:sz w:val="24"/>
          <w:szCs w:val="24"/>
          <w:lang w:val="fr-FR"/>
        </w:rPr>
        <w:t>Comité d’experts du transpo</w:t>
      </w:r>
      <w:r>
        <w:rPr>
          <w:b/>
          <w:sz w:val="24"/>
          <w:szCs w:val="24"/>
          <w:lang w:val="fr-FR"/>
        </w:rPr>
        <w:t>rt des marchandises dangereuses</w:t>
      </w:r>
      <w:r>
        <w:rPr>
          <w:b/>
          <w:sz w:val="24"/>
          <w:szCs w:val="24"/>
          <w:lang w:val="fr-FR"/>
        </w:rPr>
        <w:br/>
      </w:r>
      <w:r w:rsidRPr="00A552F5">
        <w:rPr>
          <w:b/>
          <w:sz w:val="24"/>
          <w:szCs w:val="24"/>
          <w:lang w:val="fr-FR"/>
        </w:rPr>
        <w:t>et du Système géné</w:t>
      </w:r>
      <w:r>
        <w:rPr>
          <w:b/>
          <w:sz w:val="24"/>
          <w:szCs w:val="24"/>
          <w:lang w:val="fr-FR"/>
        </w:rPr>
        <w:t>ral harmonisé de classification</w:t>
      </w:r>
      <w:r>
        <w:rPr>
          <w:b/>
          <w:sz w:val="24"/>
          <w:szCs w:val="24"/>
          <w:lang w:val="fr-FR"/>
        </w:rPr>
        <w:br/>
      </w:r>
      <w:r w:rsidRPr="00A552F5">
        <w:rPr>
          <w:b/>
          <w:sz w:val="24"/>
          <w:szCs w:val="24"/>
          <w:lang w:val="fr-FR"/>
        </w:rPr>
        <w:t>et d’étiquetage des produits chimiques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3"/>
        <w:gridCol w:w="5046"/>
      </w:tblGrid>
      <w:tr w:rsidR="00A552F5" w:rsidRPr="00A93C1E" w:rsidTr="006928D2">
        <w:tc>
          <w:tcPr>
            <w:tcW w:w="4644" w:type="dxa"/>
            <w:shd w:val="clear" w:color="auto" w:fill="auto"/>
          </w:tcPr>
          <w:p w:rsidR="00A552F5" w:rsidRPr="00A93C1E" w:rsidRDefault="00A552F5" w:rsidP="006928D2">
            <w:pPr>
              <w:spacing w:before="120" w:after="240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="00A34250">
              <w:rPr>
                <w:b/>
                <w:lang w:val="fr-FR"/>
              </w:rPr>
              <w:t>experts du transport des </w:t>
            </w:r>
            <w:r w:rsidRPr="00A93C1E">
              <w:rPr>
                <w:b/>
                <w:lang w:val="fr-FR"/>
              </w:rPr>
              <w:t>marchandises dangereuses</w:t>
            </w:r>
          </w:p>
        </w:tc>
        <w:tc>
          <w:tcPr>
            <w:tcW w:w="5103" w:type="dxa"/>
            <w:shd w:val="clear" w:color="auto" w:fill="auto"/>
          </w:tcPr>
          <w:p w:rsidR="00A552F5" w:rsidRPr="00A93C1E" w:rsidRDefault="00A552F5" w:rsidP="006928D2">
            <w:pPr>
              <w:spacing w:before="120"/>
              <w:ind w:left="113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Sous-Comité d</w:t>
            </w:r>
            <w:r>
              <w:rPr>
                <w:b/>
                <w:lang w:val="fr-FR"/>
              </w:rPr>
              <w:t>’</w:t>
            </w:r>
            <w:r w:rsidRPr="00A93C1E">
              <w:rPr>
                <w:b/>
                <w:lang w:val="fr-FR"/>
              </w:rPr>
              <w:t>exper</w:t>
            </w:r>
            <w:r w:rsidR="001577D8">
              <w:rPr>
                <w:b/>
                <w:lang w:val="fr-FR"/>
              </w:rPr>
              <w:t>ts du Système général harmonisé</w:t>
            </w:r>
            <w:r w:rsidR="001577D8">
              <w:rPr>
                <w:b/>
                <w:lang w:val="fr-FR"/>
              </w:rPr>
              <w:br/>
            </w:r>
            <w:r w:rsidRPr="00A93C1E">
              <w:rPr>
                <w:b/>
                <w:lang w:val="fr-FR"/>
              </w:rPr>
              <w:t>de classification et d</w:t>
            </w:r>
            <w:r>
              <w:rPr>
                <w:b/>
                <w:lang w:val="fr-FR"/>
              </w:rPr>
              <w:t>’</w:t>
            </w:r>
            <w:r w:rsidRPr="00A93C1E">
              <w:rPr>
                <w:b/>
                <w:lang w:val="fr-FR"/>
              </w:rPr>
              <w:t>étiquetage des produits chimiques</w:t>
            </w:r>
          </w:p>
        </w:tc>
      </w:tr>
      <w:tr w:rsidR="00A552F5" w:rsidRPr="00A93C1E" w:rsidTr="006928D2">
        <w:tc>
          <w:tcPr>
            <w:tcW w:w="4644" w:type="dxa"/>
            <w:shd w:val="clear" w:color="auto" w:fill="auto"/>
          </w:tcPr>
          <w:p w:rsidR="00A552F5" w:rsidRPr="00A93C1E" w:rsidRDefault="00A552F5" w:rsidP="006928D2">
            <w:pPr>
              <w:spacing w:after="120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Quarante-neuvième session</w:t>
            </w:r>
          </w:p>
        </w:tc>
        <w:tc>
          <w:tcPr>
            <w:tcW w:w="5103" w:type="dxa"/>
            <w:shd w:val="clear" w:color="auto" w:fill="auto"/>
          </w:tcPr>
          <w:p w:rsidR="00A552F5" w:rsidRPr="00A93C1E" w:rsidRDefault="00A552F5" w:rsidP="006928D2">
            <w:pPr>
              <w:ind w:left="113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Trente et unième session</w:t>
            </w:r>
          </w:p>
        </w:tc>
      </w:tr>
      <w:tr w:rsidR="00A552F5" w:rsidRPr="00A93C1E" w:rsidTr="006928D2">
        <w:tc>
          <w:tcPr>
            <w:tcW w:w="4644" w:type="dxa"/>
            <w:shd w:val="clear" w:color="auto" w:fill="auto"/>
          </w:tcPr>
          <w:p w:rsidR="00A552F5" w:rsidRPr="00A93C1E" w:rsidRDefault="00A552F5" w:rsidP="006928D2">
            <w:pPr>
              <w:rPr>
                <w:sz w:val="19"/>
                <w:szCs w:val="19"/>
                <w:lang w:val="fr-FR"/>
              </w:rPr>
            </w:pPr>
            <w:r w:rsidRPr="00A93C1E">
              <w:rPr>
                <w:sz w:val="19"/>
                <w:szCs w:val="19"/>
                <w:lang w:val="fr-FR"/>
              </w:rPr>
              <w:t>Genève, 27 juin</w:t>
            </w:r>
            <w:r w:rsidR="001577D8">
              <w:rPr>
                <w:sz w:val="19"/>
                <w:szCs w:val="19"/>
                <w:lang w:val="fr-FR"/>
              </w:rPr>
              <w:t>-</w:t>
            </w:r>
            <w:r w:rsidRPr="00A93C1E">
              <w:rPr>
                <w:sz w:val="19"/>
                <w:szCs w:val="19"/>
                <w:lang w:val="fr-FR"/>
              </w:rPr>
              <w:t>6 juillet 2016</w:t>
            </w:r>
          </w:p>
          <w:p w:rsidR="00A552F5" w:rsidRPr="00A93C1E" w:rsidRDefault="00A552F5" w:rsidP="006928D2">
            <w:pPr>
              <w:rPr>
                <w:lang w:val="fr-FR"/>
              </w:rPr>
            </w:pPr>
            <w:r w:rsidRPr="00A93C1E">
              <w:rPr>
                <w:lang w:val="fr-FR"/>
              </w:rPr>
              <w:t>Point 10 i) de l</w:t>
            </w:r>
            <w:r>
              <w:rPr>
                <w:lang w:val="fr-FR"/>
              </w:rPr>
              <w:t>’</w:t>
            </w:r>
            <w:r w:rsidRPr="00A93C1E">
              <w:rPr>
                <w:lang w:val="fr-FR"/>
              </w:rPr>
              <w:t>ordre du jour provisoire</w:t>
            </w:r>
          </w:p>
          <w:p w:rsidR="00A552F5" w:rsidRPr="00A93C1E" w:rsidRDefault="00A552F5" w:rsidP="006928D2">
            <w:pPr>
              <w:spacing w:after="120"/>
              <w:rPr>
                <w:b/>
                <w:lang w:val="fr-FR"/>
              </w:rPr>
            </w:pPr>
            <w:r w:rsidRPr="00A93C1E">
              <w:rPr>
                <w:b/>
                <w:lang w:val="fr-FR"/>
              </w:rPr>
              <w:t>Questions relativ</w:t>
            </w:r>
            <w:r w:rsidR="001577D8">
              <w:rPr>
                <w:b/>
                <w:lang w:val="fr-FR"/>
              </w:rPr>
              <w:t>es au Système général harmonisé</w:t>
            </w:r>
            <w:r w:rsidR="001577D8">
              <w:rPr>
                <w:b/>
                <w:lang w:val="fr-FR"/>
              </w:rPr>
              <w:br/>
            </w:r>
            <w:r w:rsidRPr="00A93C1E">
              <w:rPr>
                <w:b/>
                <w:lang w:val="fr-FR"/>
              </w:rPr>
              <w:t>de classification et d</w:t>
            </w:r>
            <w:r>
              <w:rPr>
                <w:b/>
                <w:lang w:val="fr-FR"/>
              </w:rPr>
              <w:t>’</w:t>
            </w:r>
            <w:r w:rsidRPr="00A93C1E">
              <w:rPr>
                <w:b/>
                <w:lang w:val="fr-FR"/>
              </w:rPr>
              <w:t>étiquetage des produits chimiques (SGH)</w:t>
            </w:r>
            <w:r w:rsidR="001577D8">
              <w:rPr>
                <w:b/>
                <w:lang w:val="fr-FR"/>
              </w:rPr>
              <w:t> </w:t>
            </w:r>
            <w:r w:rsidRPr="00A93C1E">
              <w:rPr>
                <w:b/>
                <w:lang w:val="fr-FR"/>
              </w:rPr>
              <w:t>: divers</w:t>
            </w:r>
          </w:p>
        </w:tc>
        <w:tc>
          <w:tcPr>
            <w:tcW w:w="5103" w:type="dxa"/>
            <w:shd w:val="clear" w:color="auto" w:fill="auto"/>
          </w:tcPr>
          <w:p w:rsidR="00A552F5" w:rsidRPr="00A93C1E" w:rsidRDefault="00A552F5" w:rsidP="006928D2">
            <w:pPr>
              <w:ind w:left="113"/>
              <w:rPr>
                <w:lang w:val="fr-FR"/>
              </w:rPr>
            </w:pPr>
            <w:r w:rsidRPr="00A93C1E">
              <w:rPr>
                <w:lang w:val="fr-FR"/>
              </w:rPr>
              <w:t>Genève, 5-8 juillet 2016</w:t>
            </w:r>
          </w:p>
          <w:p w:rsidR="00A552F5" w:rsidRPr="00A93C1E" w:rsidRDefault="00A552F5" w:rsidP="006928D2">
            <w:pPr>
              <w:ind w:left="113"/>
              <w:rPr>
                <w:b/>
                <w:lang w:val="fr-FR"/>
              </w:rPr>
            </w:pPr>
            <w:r w:rsidRPr="00A93C1E">
              <w:rPr>
                <w:lang w:val="fr-FR"/>
              </w:rPr>
              <w:t>Point 3 f) de l</w:t>
            </w:r>
            <w:r>
              <w:rPr>
                <w:lang w:val="fr-FR"/>
              </w:rPr>
              <w:t>’</w:t>
            </w:r>
            <w:r w:rsidRPr="00A93C1E">
              <w:rPr>
                <w:lang w:val="fr-FR"/>
              </w:rPr>
              <w:t>ordre du jour provisoire</w:t>
            </w:r>
            <w:r w:rsidRPr="00A93C1E">
              <w:rPr>
                <w:lang w:val="fr-FR"/>
              </w:rPr>
              <w:br/>
            </w:r>
            <w:r w:rsidRPr="00A93C1E">
              <w:rPr>
                <w:b/>
                <w:lang w:val="fr-FR"/>
              </w:rPr>
              <w:t>Critères de classificati</w:t>
            </w:r>
            <w:r w:rsidR="001577D8">
              <w:rPr>
                <w:b/>
                <w:lang w:val="fr-FR"/>
              </w:rPr>
              <w:t>on et communication des dangers</w:t>
            </w:r>
            <w:r w:rsidR="001577D8">
              <w:rPr>
                <w:b/>
                <w:lang w:val="fr-FR"/>
              </w:rPr>
              <w:br/>
            </w:r>
            <w:r w:rsidRPr="00A93C1E">
              <w:rPr>
                <w:b/>
                <w:lang w:val="fr-FR"/>
              </w:rPr>
              <w:t>y relatif</w:t>
            </w:r>
            <w:r w:rsidR="001577D8">
              <w:rPr>
                <w:b/>
                <w:lang w:val="fr-FR"/>
              </w:rPr>
              <w:t> </w:t>
            </w:r>
            <w:r w:rsidRPr="00A93C1E">
              <w:rPr>
                <w:b/>
                <w:lang w:val="fr-FR"/>
              </w:rPr>
              <w:t>: divers</w:t>
            </w:r>
          </w:p>
        </w:tc>
      </w:tr>
    </w:tbl>
    <w:p w:rsidR="00A552F5" w:rsidRPr="00A93C1E" w:rsidRDefault="00A552F5" w:rsidP="00A552F5">
      <w:pPr>
        <w:pStyle w:val="HChG"/>
        <w:rPr>
          <w:lang w:val="fr-FR"/>
        </w:rPr>
      </w:pPr>
      <w:r w:rsidRPr="00A93C1E">
        <w:rPr>
          <w:rFonts w:eastAsia="MS Mincho"/>
          <w:lang w:val="fr-FR" w:eastAsia="ja-JP"/>
        </w:rPr>
        <w:tab/>
      </w:r>
      <w:r w:rsidRPr="00A93C1E">
        <w:rPr>
          <w:rFonts w:eastAsia="MS Mincho"/>
          <w:lang w:val="fr-FR" w:eastAsia="ja-JP"/>
        </w:rPr>
        <w:tab/>
      </w:r>
      <w:r w:rsidRPr="00A552F5">
        <w:t>Clarification</w:t>
      </w:r>
      <w:r w:rsidRPr="00A93C1E">
        <w:rPr>
          <w:lang w:val="fr-FR"/>
        </w:rPr>
        <w:t xml:space="preserve"> relative aux cri</w:t>
      </w:r>
      <w:r>
        <w:rPr>
          <w:lang w:val="fr-FR"/>
        </w:rPr>
        <w:t>tères de classement dans le SGH</w:t>
      </w:r>
      <w:r>
        <w:rPr>
          <w:lang w:val="fr-FR"/>
        </w:rPr>
        <w:br/>
      </w:r>
      <w:r w:rsidRPr="00A93C1E">
        <w:rPr>
          <w:lang w:val="fr-FR"/>
        </w:rPr>
        <w:t xml:space="preserve">des explosifs désensibilisés </w:t>
      </w:r>
    </w:p>
    <w:p w:rsidR="00A552F5" w:rsidRPr="00A93C1E" w:rsidRDefault="00A552F5" w:rsidP="00A552F5">
      <w:pPr>
        <w:pStyle w:val="H1G"/>
        <w:rPr>
          <w:rFonts w:eastAsia="MS Mincho"/>
          <w:lang w:val="fr-FR"/>
        </w:rPr>
      </w:pPr>
      <w:r w:rsidRPr="00A93C1E">
        <w:rPr>
          <w:lang w:val="fr-FR"/>
        </w:rPr>
        <w:tab/>
      </w:r>
      <w:r w:rsidRPr="00A93C1E">
        <w:rPr>
          <w:lang w:val="fr-FR"/>
        </w:rPr>
        <w:tab/>
        <w:t>Communication de l</w:t>
      </w:r>
      <w:r>
        <w:rPr>
          <w:lang w:val="fr-FR"/>
        </w:rPr>
        <w:t>’</w:t>
      </w:r>
      <w:r w:rsidRPr="00A93C1E">
        <w:rPr>
          <w:lang w:val="fr-FR"/>
        </w:rPr>
        <w:t>Australian Explo</w:t>
      </w:r>
      <w:r>
        <w:rPr>
          <w:lang w:val="fr-FR"/>
        </w:rPr>
        <w:t>sives Industry and Safety Group</w:t>
      </w:r>
      <w:r>
        <w:rPr>
          <w:lang w:val="fr-FR"/>
        </w:rPr>
        <w:br/>
      </w:r>
      <w:r w:rsidRPr="00A93C1E">
        <w:rPr>
          <w:lang w:val="fr-FR"/>
        </w:rPr>
        <w:t>(AEISG) et du Sporting Arms &amp; Ammunition Manufacturers</w:t>
      </w:r>
      <w:r>
        <w:rPr>
          <w:lang w:val="fr-FR"/>
        </w:rPr>
        <w:t>’ Institute</w:t>
      </w:r>
      <w:r>
        <w:rPr>
          <w:lang w:val="fr-FR"/>
        </w:rPr>
        <w:br/>
      </w:r>
      <w:r w:rsidRPr="00A93C1E">
        <w:rPr>
          <w:lang w:val="fr-FR"/>
        </w:rPr>
        <w:t>(SAAMI)</w:t>
      </w:r>
      <w:r w:rsidR="00A34250" w:rsidRPr="00A34250">
        <w:rPr>
          <w:rStyle w:val="FootnoteReference"/>
          <w:b w:val="0"/>
        </w:rPr>
        <w:footnoteReference w:id="2"/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Note de l</w:t>
      </w:r>
      <w:r>
        <w:rPr>
          <w:lang w:val="fr-FR"/>
        </w:rPr>
        <w:t>’</w:t>
      </w:r>
      <w:r w:rsidRPr="00A93C1E">
        <w:rPr>
          <w:lang w:val="fr-FR"/>
        </w:rPr>
        <w:t>AEISG et du SAAMI</w:t>
      </w:r>
      <w:r w:rsidR="001577D8">
        <w:rPr>
          <w:lang w:val="fr-FR"/>
        </w:rPr>
        <w:t> </w:t>
      </w:r>
      <w:r w:rsidRPr="00A93C1E">
        <w:rPr>
          <w:lang w:val="fr-FR"/>
        </w:rPr>
        <w:t>: Bien que la présente proposition concerne principalement le Sous-Comité SGH, les auteurs suggèrent qu</w:t>
      </w:r>
      <w:r>
        <w:rPr>
          <w:lang w:val="fr-FR"/>
        </w:rPr>
        <w:t>’</w:t>
      </w:r>
      <w:r w:rsidRPr="00A93C1E">
        <w:rPr>
          <w:lang w:val="fr-FR"/>
        </w:rPr>
        <w:t>elle soit d</w:t>
      </w:r>
      <w:r>
        <w:rPr>
          <w:lang w:val="fr-FR"/>
        </w:rPr>
        <w:t>’</w:t>
      </w:r>
      <w:r w:rsidRPr="00A93C1E">
        <w:rPr>
          <w:lang w:val="fr-FR"/>
        </w:rPr>
        <w:t>abord examinée par le Groupe de travail des explosifs du Sous-Comité TMD.</w:t>
      </w:r>
    </w:p>
    <w:p w:rsidR="00A552F5" w:rsidRPr="00A93C1E" w:rsidRDefault="00A552F5" w:rsidP="00A552F5">
      <w:pPr>
        <w:pStyle w:val="HChG"/>
        <w:rPr>
          <w:lang w:val="fr-FR"/>
        </w:rPr>
      </w:pPr>
      <w:r w:rsidRPr="00A93C1E">
        <w:rPr>
          <w:lang w:val="fr-FR"/>
        </w:rPr>
        <w:tab/>
      </w:r>
      <w:r w:rsidRPr="00A93C1E">
        <w:rPr>
          <w:lang w:val="fr-FR"/>
        </w:rPr>
        <w:tab/>
      </w:r>
      <w:r w:rsidRPr="00A552F5">
        <w:t>Introduction</w:t>
      </w:r>
    </w:p>
    <w:p w:rsidR="00A552F5" w:rsidRPr="00A552F5" w:rsidRDefault="00A552F5" w:rsidP="00A552F5">
      <w:pPr>
        <w:pStyle w:val="SingleTxtG"/>
      </w:pPr>
      <w:r w:rsidRPr="00A552F5">
        <w:t>1.</w:t>
      </w:r>
      <w:r w:rsidRPr="00A552F5">
        <w:tab/>
        <w:t>La sixième édition révisée du SGH comprend un nouveau chapitre 2.17 sur les explosifs désensibilisés.</w:t>
      </w:r>
    </w:p>
    <w:p w:rsidR="00A552F5" w:rsidRPr="00A552F5" w:rsidRDefault="00A552F5" w:rsidP="00A552F5">
      <w:pPr>
        <w:pStyle w:val="SingleTxtG"/>
      </w:pPr>
      <w:r w:rsidRPr="00A552F5">
        <w:t>2.</w:t>
      </w:r>
      <w:r w:rsidRPr="00A552F5">
        <w:tab/>
        <w:t>La section 2.17.2 du SGH est actuellement libellée comme suit</w:t>
      </w:r>
      <w:r>
        <w:t> </w:t>
      </w:r>
      <w:r w:rsidRPr="00A552F5">
        <w:t>:</w:t>
      </w:r>
    </w:p>
    <w:p w:rsidR="00A552F5" w:rsidRPr="00A34250" w:rsidRDefault="00A552F5" w:rsidP="001577D8">
      <w:pPr>
        <w:pStyle w:val="SingleTxtG"/>
        <w:rPr>
          <w:b/>
        </w:rPr>
      </w:pPr>
      <w:r w:rsidRPr="00A34250">
        <w:rPr>
          <w:b/>
        </w:rPr>
        <w:t>2.17.2</w:t>
      </w:r>
      <w:r w:rsidRPr="00A34250">
        <w:rPr>
          <w:b/>
        </w:rPr>
        <w:tab/>
      </w:r>
      <w:r w:rsidRPr="00A34250">
        <w:rPr>
          <w:b/>
        </w:rPr>
        <w:tab/>
        <w:t>Critères de classification</w:t>
      </w:r>
    </w:p>
    <w:p w:rsidR="00A552F5" w:rsidRPr="00A93C1E" w:rsidRDefault="00A552F5" w:rsidP="001577D8">
      <w:pPr>
        <w:pStyle w:val="SingleTxtG"/>
        <w:ind w:left="2268" w:hanging="1134"/>
        <w:rPr>
          <w:lang w:val="fr-FR"/>
        </w:rPr>
      </w:pPr>
      <w:r w:rsidRPr="00A93C1E">
        <w:rPr>
          <w:lang w:val="fr-FR"/>
        </w:rPr>
        <w:lastRenderedPageBreak/>
        <w:t>2.17.2.1</w:t>
      </w:r>
      <w:r w:rsidRPr="00A93C1E">
        <w:rPr>
          <w:lang w:val="fr-FR"/>
        </w:rPr>
        <w:tab/>
        <w:t>Toute matière explosible désensibilisée est considérée comme relevant de cette classe, sauf si</w:t>
      </w:r>
      <w:r w:rsidR="00054DA1">
        <w:rPr>
          <w:lang w:val="fr-FR"/>
        </w:rPr>
        <w:t> </w:t>
      </w:r>
      <w:r w:rsidRPr="00A93C1E">
        <w:rPr>
          <w:lang w:val="fr-FR"/>
        </w:rPr>
        <w:t>:</w:t>
      </w:r>
    </w:p>
    <w:p w:rsidR="00A552F5" w:rsidRPr="00A93C1E" w:rsidRDefault="00A552F5" w:rsidP="001577D8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a)</w:t>
      </w:r>
      <w:r w:rsidRPr="00A93C1E">
        <w:rPr>
          <w:lang w:val="fr-FR"/>
        </w:rPr>
        <w:tab/>
        <w:t>Elle est fabriquée en vue d</w:t>
      </w:r>
      <w:r>
        <w:rPr>
          <w:lang w:val="fr-FR"/>
        </w:rPr>
        <w:t>’</w:t>
      </w:r>
      <w:r w:rsidRPr="00A93C1E">
        <w:rPr>
          <w:lang w:val="fr-FR"/>
        </w:rPr>
        <w:t>obtenir un effet explosif ou pyrotechnique</w:t>
      </w:r>
      <w:r w:rsidR="00A34250">
        <w:rPr>
          <w:lang w:val="fr-FR"/>
        </w:rPr>
        <w:t> </w:t>
      </w:r>
      <w:r w:rsidRPr="00A93C1E">
        <w:rPr>
          <w:lang w:val="fr-FR"/>
        </w:rPr>
        <w:t>; ou</w:t>
      </w:r>
    </w:p>
    <w:p w:rsidR="00A552F5" w:rsidRPr="00A93C1E" w:rsidRDefault="00A552F5" w:rsidP="001577D8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b)</w:t>
      </w:r>
      <w:r w:rsidRPr="00A93C1E">
        <w:rPr>
          <w:lang w:val="fr-FR"/>
        </w:rPr>
        <w:tab/>
        <w:t>Elle présente un danger d</w:t>
      </w:r>
      <w:r>
        <w:rPr>
          <w:lang w:val="fr-FR"/>
        </w:rPr>
        <w:t>’</w:t>
      </w:r>
      <w:r w:rsidRPr="00A93C1E">
        <w:rPr>
          <w:lang w:val="fr-FR"/>
        </w:rPr>
        <w:t>explosion en masse tel que défini par les épreuves 6 a) ou 6 b) ou si sa vitesse de combustion corrigée, telle que définie par l</w:t>
      </w:r>
      <w:r>
        <w:rPr>
          <w:lang w:val="fr-FR"/>
        </w:rPr>
        <w:t>’</w:t>
      </w:r>
      <w:r w:rsidRPr="00A93C1E">
        <w:rPr>
          <w:lang w:val="fr-FR"/>
        </w:rPr>
        <w:t>épreuve de vitesse de combustion décrite dans la cinquième partie, sous-section 51.4 des Recommandations relatives au transport des marchandises dangereuses, Manuel d</w:t>
      </w:r>
      <w:r>
        <w:rPr>
          <w:lang w:val="fr-FR"/>
        </w:rPr>
        <w:t>’</w:t>
      </w:r>
      <w:r w:rsidRPr="00A93C1E">
        <w:rPr>
          <w:lang w:val="fr-FR"/>
        </w:rPr>
        <w:t>épreuves et de critères, est supérieure à 1 200 kg/min; ou</w:t>
      </w:r>
    </w:p>
    <w:p w:rsidR="00A552F5" w:rsidRPr="00A93C1E" w:rsidRDefault="00A552F5" w:rsidP="001577D8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c)</w:t>
      </w:r>
      <w:r w:rsidRPr="00A93C1E">
        <w:rPr>
          <w:lang w:val="fr-FR"/>
        </w:rPr>
        <w:tab/>
        <w:t>Son énergie de décomposition exothermique est inférieure à 300 J/g.</w:t>
      </w:r>
    </w:p>
    <w:p w:rsidR="00A552F5" w:rsidRPr="00A34250" w:rsidRDefault="00A552F5" w:rsidP="001577D8">
      <w:pPr>
        <w:pStyle w:val="SingleTxtG"/>
        <w:ind w:left="2835"/>
        <w:rPr>
          <w:i/>
          <w:lang w:val="fr-FR"/>
        </w:rPr>
      </w:pPr>
      <w:r w:rsidRPr="00A34250">
        <w:rPr>
          <w:b/>
          <w:i/>
          <w:lang w:val="fr-FR"/>
        </w:rPr>
        <w:t>NOTA 1</w:t>
      </w:r>
      <w:r w:rsidR="001577D8" w:rsidRPr="00A34250">
        <w:rPr>
          <w:b/>
          <w:i/>
          <w:lang w:val="fr-FR"/>
        </w:rPr>
        <w:t> </w:t>
      </w:r>
      <w:r w:rsidRPr="00A34250">
        <w:rPr>
          <w:b/>
          <w:i/>
          <w:lang w:val="fr-FR"/>
        </w:rPr>
        <w:t xml:space="preserve">: </w:t>
      </w:r>
      <w:r w:rsidRPr="00A34250">
        <w:rPr>
          <w:i/>
          <w:lang w:val="fr-FR"/>
        </w:rPr>
        <w:t>Les matières qui satisfont aux critères a) ou b) appartiennent à la classe des explosifs (voir le chapitre</w:t>
      </w:r>
      <w:r w:rsidR="001577D8" w:rsidRPr="00A34250">
        <w:rPr>
          <w:i/>
          <w:lang w:val="fr-FR"/>
        </w:rPr>
        <w:t> </w:t>
      </w:r>
      <w:r w:rsidRPr="00A34250">
        <w:rPr>
          <w:i/>
          <w:lang w:val="fr-FR"/>
        </w:rPr>
        <w:t>2.1). Les matières qui satisfont au critère c) peuvent relever d’autres classes de danger physique.</w:t>
      </w:r>
    </w:p>
    <w:p w:rsidR="00A552F5" w:rsidRPr="00A34250" w:rsidRDefault="00A552F5" w:rsidP="001577D8">
      <w:pPr>
        <w:pStyle w:val="SingleTxtG"/>
        <w:ind w:left="2835"/>
        <w:rPr>
          <w:i/>
          <w:lang w:val="fr-FR"/>
        </w:rPr>
      </w:pPr>
      <w:r w:rsidRPr="00A34250">
        <w:rPr>
          <w:b/>
          <w:i/>
          <w:lang w:val="fr-FR"/>
        </w:rPr>
        <w:t>NOTA 2</w:t>
      </w:r>
      <w:r w:rsidR="001577D8" w:rsidRPr="00A34250">
        <w:rPr>
          <w:b/>
          <w:i/>
          <w:lang w:val="fr-FR"/>
        </w:rPr>
        <w:t> :</w:t>
      </w:r>
      <w:r w:rsidRPr="00A34250">
        <w:rPr>
          <w:i/>
          <w:lang w:val="fr-FR"/>
        </w:rPr>
        <w:t xml:space="preserve"> L’énergie de décomposition exothermique peut être estimée en utilisant une technique calorimétri</w:t>
      </w:r>
      <w:r w:rsidR="001577D8" w:rsidRPr="00A34250">
        <w:rPr>
          <w:i/>
          <w:lang w:val="fr-FR"/>
        </w:rPr>
        <w:t>que appropriée (voir la section </w:t>
      </w:r>
      <w:r w:rsidRPr="00A34250">
        <w:rPr>
          <w:i/>
          <w:lang w:val="fr-FR"/>
        </w:rPr>
        <w:t>20, sous-section 20.3.3.</w:t>
      </w:r>
      <w:r w:rsidR="00A34250">
        <w:rPr>
          <w:i/>
          <w:lang w:val="fr-FR"/>
        </w:rPr>
        <w:t xml:space="preserve">3 </w:t>
      </w:r>
      <w:r w:rsidRPr="00A34250">
        <w:rPr>
          <w:i/>
          <w:lang w:val="fr-FR"/>
        </w:rPr>
        <w:t>de la deuxième partie des Recommandations relatives au transport des marchandises dangereuses, Manuel d’épreuves et de critères).</w:t>
      </w:r>
    </w:p>
    <w:p w:rsidR="00A552F5" w:rsidRPr="00A93C1E" w:rsidRDefault="00A552F5" w:rsidP="00A552F5">
      <w:pPr>
        <w:pStyle w:val="HChG"/>
        <w:rPr>
          <w:lang w:val="fr-FR"/>
        </w:rPr>
      </w:pPr>
      <w:r w:rsidRPr="00A93C1E">
        <w:rPr>
          <w:lang w:val="fr-FR"/>
        </w:rPr>
        <w:tab/>
      </w:r>
      <w:r w:rsidRPr="00A93C1E">
        <w:rPr>
          <w:lang w:val="fr-FR"/>
        </w:rPr>
        <w:tab/>
        <w:t>Discussion</w:t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3.</w:t>
      </w:r>
      <w:r w:rsidRPr="00A93C1E">
        <w:rPr>
          <w:lang w:val="fr-FR"/>
        </w:rPr>
        <w:tab/>
        <w:t>Le paragraphe en question fait l</w:t>
      </w:r>
      <w:r>
        <w:rPr>
          <w:lang w:val="fr-FR"/>
        </w:rPr>
        <w:t>’</w:t>
      </w:r>
      <w:r w:rsidRPr="00A93C1E">
        <w:rPr>
          <w:lang w:val="fr-FR"/>
        </w:rPr>
        <w:t>objet d</w:t>
      </w:r>
      <w:r>
        <w:rPr>
          <w:lang w:val="fr-FR"/>
        </w:rPr>
        <w:t>’</w:t>
      </w:r>
      <w:r w:rsidRPr="00A93C1E">
        <w:rPr>
          <w:lang w:val="fr-FR"/>
        </w:rPr>
        <w:t>interprétations divergentes dans l</w:t>
      </w:r>
      <w:r>
        <w:rPr>
          <w:lang w:val="fr-FR"/>
        </w:rPr>
        <w:t>’</w:t>
      </w:r>
      <w:r w:rsidRPr="00A93C1E">
        <w:rPr>
          <w:lang w:val="fr-FR"/>
        </w:rPr>
        <w:t>industrie, certaines autorités réglement</w:t>
      </w:r>
      <w:r w:rsidR="00054DA1">
        <w:rPr>
          <w:lang w:val="fr-FR"/>
        </w:rPr>
        <w:t>aires estimant que les critères </w:t>
      </w:r>
      <w:r w:rsidRPr="00A93C1E">
        <w:rPr>
          <w:lang w:val="fr-FR"/>
        </w:rPr>
        <w:t>a), b) et c) font référence à l</w:t>
      </w:r>
      <w:r>
        <w:rPr>
          <w:lang w:val="fr-FR"/>
        </w:rPr>
        <w:t>’</w:t>
      </w:r>
      <w:r w:rsidRPr="00A93C1E">
        <w:rPr>
          <w:lang w:val="fr-FR"/>
        </w:rPr>
        <w:t>explosif à l</w:t>
      </w:r>
      <w:r>
        <w:rPr>
          <w:lang w:val="fr-FR"/>
        </w:rPr>
        <w:t>’</w:t>
      </w:r>
      <w:r w:rsidRPr="00A93C1E">
        <w:rPr>
          <w:lang w:val="fr-FR"/>
        </w:rPr>
        <w:t>état non désensibilisé. Par exemple, il est arrivé que l</w:t>
      </w:r>
      <w:r>
        <w:rPr>
          <w:lang w:val="fr-FR"/>
        </w:rPr>
        <w:t>’</w:t>
      </w:r>
      <w:r w:rsidRPr="00A93C1E">
        <w:rPr>
          <w:lang w:val="fr-FR"/>
        </w:rPr>
        <w:t xml:space="preserve">alinéa a) soit interprété comme signifiant que du </w:t>
      </w:r>
      <w:r w:rsidR="00054DA1">
        <w:rPr>
          <w:lang w:val="fr-FR"/>
        </w:rPr>
        <w:t>TNT humidifié (ONU </w:t>
      </w:r>
      <w:r w:rsidRPr="00A93C1E">
        <w:rPr>
          <w:lang w:val="fr-FR"/>
        </w:rPr>
        <w:t>1356) satisfaisant aux critères d</w:t>
      </w:r>
      <w:r>
        <w:rPr>
          <w:lang w:val="fr-FR"/>
        </w:rPr>
        <w:t>’</w:t>
      </w:r>
      <w:r w:rsidRPr="00A93C1E">
        <w:rPr>
          <w:lang w:val="fr-FR"/>
        </w:rPr>
        <w:t>épreuve devait malgré tout être classé comme explosif parce qu</w:t>
      </w:r>
      <w:r>
        <w:rPr>
          <w:lang w:val="fr-FR"/>
        </w:rPr>
        <w:t>’</w:t>
      </w:r>
      <w:r w:rsidRPr="00A93C1E">
        <w:rPr>
          <w:lang w:val="fr-FR"/>
        </w:rPr>
        <w:t xml:space="preserve">il était destiné à être utilisé </w:t>
      </w:r>
      <w:r>
        <w:rPr>
          <w:lang w:val="fr-FR"/>
        </w:rPr>
        <w:t xml:space="preserve">par la suite </w:t>
      </w:r>
      <w:r w:rsidRPr="00A93C1E">
        <w:rPr>
          <w:lang w:val="fr-FR"/>
        </w:rPr>
        <w:t>comme explosif après élimination de l</w:t>
      </w:r>
      <w:r>
        <w:rPr>
          <w:lang w:val="fr-FR"/>
        </w:rPr>
        <w:t>’</w:t>
      </w:r>
      <w:r w:rsidR="00054DA1">
        <w:rPr>
          <w:lang w:val="fr-FR"/>
        </w:rPr>
        <w:t>agent flegmatisant. Les alinéas </w:t>
      </w:r>
      <w:r w:rsidRPr="00A93C1E">
        <w:rPr>
          <w:lang w:val="fr-FR"/>
        </w:rPr>
        <w:t>b) et c) présentent le même risque d</w:t>
      </w:r>
      <w:r>
        <w:rPr>
          <w:lang w:val="fr-FR"/>
        </w:rPr>
        <w:t>’</w:t>
      </w:r>
      <w:r w:rsidRPr="00A93C1E">
        <w:rPr>
          <w:lang w:val="fr-FR"/>
        </w:rPr>
        <w:t>interprétation erronée.</w:t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4.</w:t>
      </w:r>
      <w:r w:rsidRPr="00A93C1E">
        <w:rPr>
          <w:lang w:val="fr-FR"/>
        </w:rPr>
        <w:tab/>
        <w:t>En décembre dernier, le Groupe de travail des explosifs du Sous-Comité TMD a tenu des sessions formelles et informelles afin d</w:t>
      </w:r>
      <w:r>
        <w:rPr>
          <w:lang w:val="fr-FR"/>
        </w:rPr>
        <w:t>’</w:t>
      </w:r>
      <w:r w:rsidRPr="00A93C1E">
        <w:rPr>
          <w:lang w:val="fr-FR"/>
        </w:rPr>
        <w:t xml:space="preserve">examiner le chapitre 2.1 du SGH </w:t>
      </w:r>
      <w:r w:rsidR="00A34250">
        <w:rPr>
          <w:lang w:val="fr-FR"/>
        </w:rPr>
        <w:t>(</w:t>
      </w:r>
      <w:r w:rsidRPr="00A93C1E">
        <w:rPr>
          <w:lang w:val="fr-FR"/>
        </w:rPr>
        <w:t xml:space="preserve">voir le rapport du Groupe de travail, document informel INF.53 (Sous-Comité TMD, </w:t>
      </w:r>
      <w:r w:rsidR="00054DA1">
        <w:rPr>
          <w:lang w:val="fr-FR"/>
        </w:rPr>
        <w:t>quarante</w:t>
      </w:r>
      <w:r w:rsidR="00054DA1">
        <w:rPr>
          <w:lang w:val="fr-FR"/>
        </w:rPr>
        <w:noBreakHyphen/>
        <w:t>huitième</w:t>
      </w:r>
      <w:r w:rsidRPr="00A93C1E">
        <w:rPr>
          <w:lang w:val="fr-FR"/>
        </w:rPr>
        <w:t xml:space="preserve"> session)</w:t>
      </w:r>
      <w:r w:rsidR="00A34250">
        <w:rPr>
          <w:lang w:val="fr-FR"/>
        </w:rPr>
        <w:t>)</w:t>
      </w:r>
      <w:r w:rsidRPr="00A93C1E">
        <w:rPr>
          <w:lang w:val="fr-FR"/>
        </w:rPr>
        <w:t>. La question de l</w:t>
      </w:r>
      <w:r>
        <w:rPr>
          <w:lang w:val="fr-FR"/>
        </w:rPr>
        <w:t>’</w:t>
      </w:r>
      <w:r w:rsidRPr="00A93C1E">
        <w:rPr>
          <w:lang w:val="fr-FR"/>
        </w:rPr>
        <w:t>interprétation de la section 2.17.2.1 a été soulevée par l</w:t>
      </w:r>
      <w:r>
        <w:rPr>
          <w:lang w:val="fr-FR"/>
        </w:rPr>
        <w:t>’</w:t>
      </w:r>
      <w:r w:rsidRPr="00A93C1E">
        <w:rPr>
          <w:lang w:val="fr-FR"/>
        </w:rPr>
        <w:t>AEISG lors de la session informelle. Les membres du Groupe de travail étaient d</w:t>
      </w:r>
      <w:r>
        <w:rPr>
          <w:lang w:val="fr-FR"/>
        </w:rPr>
        <w:t>’</w:t>
      </w:r>
      <w:r w:rsidRPr="00A93C1E">
        <w:rPr>
          <w:lang w:val="fr-FR"/>
        </w:rPr>
        <w:t>avis que les critères énoncés aux alinéas a), b) et c) s</w:t>
      </w:r>
      <w:r>
        <w:rPr>
          <w:lang w:val="fr-FR"/>
        </w:rPr>
        <w:t>’</w:t>
      </w:r>
      <w:r w:rsidRPr="00A93C1E">
        <w:rPr>
          <w:lang w:val="fr-FR"/>
        </w:rPr>
        <w:t>appliquaient uniquement à l</w:t>
      </w:r>
      <w:r>
        <w:rPr>
          <w:lang w:val="fr-FR"/>
        </w:rPr>
        <w:t>’</w:t>
      </w:r>
      <w:r w:rsidRPr="00A93C1E">
        <w:rPr>
          <w:lang w:val="fr-FR"/>
        </w:rPr>
        <w:t xml:space="preserve">explosif </w:t>
      </w:r>
      <w:r w:rsidRPr="00A93C1E">
        <w:rPr>
          <w:b/>
          <w:u w:val="single"/>
          <w:lang w:val="fr-FR"/>
        </w:rPr>
        <w:t>à l</w:t>
      </w:r>
      <w:r>
        <w:rPr>
          <w:b/>
          <w:u w:val="single"/>
          <w:lang w:val="fr-FR"/>
        </w:rPr>
        <w:t>’</w:t>
      </w:r>
      <w:r w:rsidRPr="00A93C1E">
        <w:rPr>
          <w:b/>
          <w:u w:val="single"/>
          <w:lang w:val="fr-FR"/>
        </w:rPr>
        <w:t>état désensibilisé</w:t>
      </w:r>
      <w:r w:rsidRPr="00A93C1E">
        <w:rPr>
          <w:lang w:val="fr-FR"/>
        </w:rPr>
        <w:t xml:space="preserve"> et que l</w:t>
      </w:r>
      <w:r>
        <w:rPr>
          <w:lang w:val="fr-FR"/>
        </w:rPr>
        <w:t>’</w:t>
      </w:r>
      <w:r w:rsidRPr="00A93C1E">
        <w:rPr>
          <w:lang w:val="fr-FR"/>
        </w:rPr>
        <w:t>interprétation évoquée plus haut était fausse. Cependant, ils ne s</w:t>
      </w:r>
      <w:r>
        <w:rPr>
          <w:lang w:val="fr-FR"/>
        </w:rPr>
        <w:t>’</w:t>
      </w:r>
      <w:r w:rsidRPr="00A93C1E">
        <w:rPr>
          <w:lang w:val="fr-FR"/>
        </w:rPr>
        <w:t>opposaient pas à ce que cette section soit clarifiée afin qu</w:t>
      </w:r>
      <w:r>
        <w:rPr>
          <w:lang w:val="fr-FR"/>
        </w:rPr>
        <w:t>’</w:t>
      </w:r>
      <w:r w:rsidRPr="00A93C1E">
        <w:rPr>
          <w:lang w:val="fr-FR"/>
        </w:rPr>
        <w:t>elle soit appliquée de manière homogène.</w:t>
      </w:r>
    </w:p>
    <w:p w:rsidR="00A552F5" w:rsidRPr="00A93C1E" w:rsidRDefault="00A552F5" w:rsidP="00A552F5">
      <w:pPr>
        <w:pStyle w:val="SingleTxtG"/>
        <w:rPr>
          <w:lang w:val="fr-FR"/>
        </w:rPr>
      </w:pPr>
      <w:r w:rsidRPr="00A93C1E">
        <w:rPr>
          <w:lang w:val="fr-FR"/>
        </w:rPr>
        <w:t>5.</w:t>
      </w:r>
      <w:r w:rsidRPr="00A93C1E">
        <w:rPr>
          <w:lang w:val="fr-FR"/>
        </w:rPr>
        <w:tab/>
        <w:t>L</w:t>
      </w:r>
      <w:r>
        <w:rPr>
          <w:lang w:val="fr-FR"/>
        </w:rPr>
        <w:t>’</w:t>
      </w:r>
      <w:r w:rsidRPr="00A93C1E">
        <w:rPr>
          <w:lang w:val="fr-FR"/>
        </w:rPr>
        <w:t>AEISG est d</w:t>
      </w:r>
      <w:r>
        <w:rPr>
          <w:lang w:val="fr-FR"/>
        </w:rPr>
        <w:t>’</w:t>
      </w:r>
      <w:r w:rsidRPr="00A93C1E">
        <w:rPr>
          <w:lang w:val="fr-FR"/>
        </w:rPr>
        <w:t xml:space="preserve">avis que la section concernée du chapitre 2.17 du SGH devrait être modifiée et formule la proposition ci-après. En outre, dans certains passages du texte anglais de ladite section, </w:t>
      </w:r>
      <w:r w:rsidR="001577D8">
        <w:rPr>
          <w:lang w:val="fr-FR"/>
        </w:rPr>
        <w:t>« </w:t>
      </w:r>
      <w:r w:rsidRPr="00A93C1E">
        <w:rPr>
          <w:lang w:val="fr-FR"/>
        </w:rPr>
        <w:t>their</w:t>
      </w:r>
      <w:r w:rsidR="001577D8">
        <w:rPr>
          <w:lang w:val="fr-FR"/>
        </w:rPr>
        <w:t> »</w:t>
      </w:r>
      <w:r w:rsidRPr="00A93C1E">
        <w:rPr>
          <w:lang w:val="fr-FR"/>
        </w:rPr>
        <w:t xml:space="preserve"> devrait être remplacé par </w:t>
      </w:r>
      <w:r w:rsidR="00054DA1">
        <w:rPr>
          <w:lang w:val="fr-FR"/>
        </w:rPr>
        <w:t>« </w:t>
      </w:r>
      <w:r w:rsidRPr="00A93C1E">
        <w:rPr>
          <w:lang w:val="fr-FR"/>
        </w:rPr>
        <w:t>the</w:t>
      </w:r>
      <w:r w:rsidR="00054DA1">
        <w:rPr>
          <w:lang w:val="fr-FR"/>
        </w:rPr>
        <w:t> »</w:t>
      </w:r>
      <w:r w:rsidRPr="00A93C1E">
        <w:rPr>
          <w:lang w:val="fr-FR"/>
        </w:rPr>
        <w:t>.</w:t>
      </w:r>
    </w:p>
    <w:p w:rsidR="00A552F5" w:rsidRPr="00A93C1E" w:rsidRDefault="00A552F5" w:rsidP="00A34250">
      <w:pPr>
        <w:pStyle w:val="HChG"/>
        <w:rPr>
          <w:lang w:val="fr-FR"/>
        </w:rPr>
      </w:pPr>
      <w:r w:rsidRPr="00A93C1E">
        <w:rPr>
          <w:lang w:val="fr-FR"/>
        </w:rPr>
        <w:lastRenderedPageBreak/>
        <w:tab/>
      </w:r>
      <w:r w:rsidRPr="00A93C1E">
        <w:rPr>
          <w:lang w:val="fr-FR"/>
        </w:rPr>
        <w:tab/>
      </w:r>
      <w:r w:rsidRPr="001577D8">
        <w:t>Proposition</w:t>
      </w:r>
    </w:p>
    <w:p w:rsidR="00A552F5" w:rsidRPr="00A93C1E" w:rsidRDefault="00A552F5" w:rsidP="00A34250">
      <w:pPr>
        <w:pStyle w:val="SingleTxtG"/>
        <w:keepNext/>
        <w:keepLines/>
        <w:rPr>
          <w:lang w:val="fr-FR"/>
        </w:rPr>
      </w:pPr>
      <w:r w:rsidRPr="00A93C1E">
        <w:rPr>
          <w:lang w:val="fr-FR"/>
        </w:rPr>
        <w:t>6.</w:t>
      </w:r>
      <w:r w:rsidRPr="00A93C1E">
        <w:rPr>
          <w:lang w:val="fr-FR"/>
        </w:rPr>
        <w:tab/>
        <w:t xml:space="preserve">Il est proposé de modifier la section 2.17.2.1 </w:t>
      </w:r>
      <w:r>
        <w:rPr>
          <w:lang w:val="fr-FR"/>
        </w:rPr>
        <w:t>du SGH</w:t>
      </w:r>
      <w:r w:rsidRPr="00A93C1E">
        <w:rPr>
          <w:lang w:val="fr-FR"/>
        </w:rPr>
        <w:t xml:space="preserve"> comme suit</w:t>
      </w:r>
      <w:r w:rsidR="001577D8">
        <w:rPr>
          <w:lang w:val="fr-FR"/>
        </w:rPr>
        <w:t> </w:t>
      </w:r>
      <w:r w:rsidRPr="00A93C1E">
        <w:rPr>
          <w:lang w:val="fr-FR"/>
        </w:rPr>
        <w:t>:</w:t>
      </w:r>
    </w:p>
    <w:p w:rsidR="00A552F5" w:rsidRPr="00A93C1E" w:rsidRDefault="00054DA1" w:rsidP="00A34250">
      <w:pPr>
        <w:pStyle w:val="SingleTxtG"/>
        <w:keepNext/>
        <w:keepLines/>
        <w:ind w:left="2268" w:hanging="1134"/>
        <w:rPr>
          <w:b/>
          <w:lang w:val="fr-FR"/>
        </w:rPr>
      </w:pPr>
      <w:r>
        <w:rPr>
          <w:b/>
          <w:lang w:val="fr-FR"/>
        </w:rPr>
        <w:t>2.1.7.2</w:t>
      </w:r>
      <w:r>
        <w:rPr>
          <w:b/>
          <w:lang w:val="fr-FR"/>
        </w:rPr>
        <w:tab/>
      </w:r>
      <w:r w:rsidR="00A552F5" w:rsidRPr="00A93C1E">
        <w:rPr>
          <w:b/>
          <w:lang w:val="fr-FR"/>
        </w:rPr>
        <w:t>Critères de classification</w:t>
      </w:r>
    </w:p>
    <w:p w:rsidR="00A552F5" w:rsidRPr="00A93C1E" w:rsidRDefault="00A552F5" w:rsidP="00A34250">
      <w:pPr>
        <w:pStyle w:val="SingleTxtG"/>
        <w:keepNext/>
        <w:keepLines/>
        <w:ind w:left="2268" w:hanging="1134"/>
        <w:rPr>
          <w:lang w:val="fr-FR"/>
        </w:rPr>
      </w:pPr>
      <w:r w:rsidRPr="00A93C1E">
        <w:rPr>
          <w:lang w:val="fr-FR"/>
        </w:rPr>
        <w:t>2.17.2.1</w:t>
      </w:r>
      <w:r w:rsidRPr="00A93C1E">
        <w:rPr>
          <w:lang w:val="fr-FR"/>
        </w:rPr>
        <w:tab/>
        <w:t xml:space="preserve">Toute matière explosible désensibilisée est considérée comme relevant de cette classe, </w:t>
      </w:r>
      <w:r w:rsidRPr="00054DA1">
        <w:rPr>
          <w:u w:val="single"/>
          <w:lang w:val="fr-FR"/>
        </w:rPr>
        <w:t>indépendamment du fait qu’elle puisse être resensibilisée par la suite et reclassée pour un usage explosif,</w:t>
      </w:r>
      <w:r w:rsidRPr="00A93C1E">
        <w:rPr>
          <w:lang w:val="fr-FR"/>
        </w:rPr>
        <w:t xml:space="preserve"> sauf si </w:t>
      </w:r>
      <w:r w:rsidRPr="00054DA1">
        <w:rPr>
          <w:u w:val="single"/>
          <w:lang w:val="fr-FR"/>
        </w:rPr>
        <w:t>elle répond à l’un ou l’autre des critères ci-après à l’état désensibilisé</w:t>
      </w:r>
      <w:r w:rsidR="00054DA1">
        <w:rPr>
          <w:lang w:val="fr-FR"/>
        </w:rPr>
        <w:t> </w:t>
      </w:r>
      <w:r w:rsidRPr="00A93C1E">
        <w:rPr>
          <w:lang w:val="fr-FR"/>
        </w:rPr>
        <w:t>:</w:t>
      </w:r>
    </w:p>
    <w:p w:rsidR="00A552F5" w:rsidRPr="00A93C1E" w:rsidRDefault="00A552F5" w:rsidP="00054DA1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a)</w:t>
      </w:r>
      <w:r w:rsidRPr="00A93C1E">
        <w:rPr>
          <w:lang w:val="fr-FR"/>
        </w:rPr>
        <w:tab/>
        <w:t>Elle est fabriquée en vue d</w:t>
      </w:r>
      <w:r>
        <w:rPr>
          <w:lang w:val="fr-FR"/>
        </w:rPr>
        <w:t>’</w:t>
      </w:r>
      <w:r w:rsidRPr="00A93C1E">
        <w:rPr>
          <w:lang w:val="fr-FR"/>
        </w:rPr>
        <w:t>obtenir un effet explosif ou pyrotechnique</w:t>
      </w:r>
      <w:r w:rsidR="00054DA1">
        <w:rPr>
          <w:lang w:val="fr-FR"/>
        </w:rPr>
        <w:t> </w:t>
      </w:r>
      <w:r w:rsidRPr="00A93C1E">
        <w:rPr>
          <w:lang w:val="fr-FR"/>
        </w:rPr>
        <w:t>; ou</w:t>
      </w:r>
    </w:p>
    <w:p w:rsidR="00A552F5" w:rsidRPr="00A93C1E" w:rsidRDefault="00A552F5" w:rsidP="00054DA1">
      <w:pPr>
        <w:pStyle w:val="SingleTxtG"/>
        <w:ind w:left="2835" w:hanging="567"/>
        <w:rPr>
          <w:lang w:val="fr-FR"/>
        </w:rPr>
      </w:pPr>
      <w:r w:rsidRPr="00A93C1E">
        <w:rPr>
          <w:lang w:val="fr-FR"/>
        </w:rPr>
        <w:t>b)</w:t>
      </w:r>
      <w:r w:rsidRPr="00A93C1E">
        <w:rPr>
          <w:lang w:val="fr-FR"/>
        </w:rPr>
        <w:tab/>
        <w:t>Elle présente un danger d</w:t>
      </w:r>
      <w:r>
        <w:rPr>
          <w:lang w:val="fr-FR"/>
        </w:rPr>
        <w:t>’</w:t>
      </w:r>
      <w:r w:rsidRPr="00A93C1E">
        <w:rPr>
          <w:lang w:val="fr-FR"/>
        </w:rPr>
        <w:t>explosion en masse tel que défini par les épreuves 6 a) ou 6 b) ou si sa vitesse de combustion corrigée, telle que définie par l</w:t>
      </w:r>
      <w:r>
        <w:rPr>
          <w:lang w:val="fr-FR"/>
        </w:rPr>
        <w:t>’</w:t>
      </w:r>
      <w:r w:rsidRPr="00A93C1E">
        <w:rPr>
          <w:lang w:val="fr-FR"/>
        </w:rPr>
        <w:t>épreuve de vitesse de combustion décrite dans la cinquième partie, sous-section 51.4 des Recommandations relatives au transport des marchandises dangereuses, Manuel d</w:t>
      </w:r>
      <w:r>
        <w:rPr>
          <w:lang w:val="fr-FR"/>
        </w:rPr>
        <w:t>’</w:t>
      </w:r>
      <w:r w:rsidRPr="00A93C1E">
        <w:rPr>
          <w:lang w:val="fr-FR"/>
        </w:rPr>
        <w:t>épreuves et de c</w:t>
      </w:r>
      <w:r w:rsidR="00054DA1">
        <w:rPr>
          <w:lang w:val="fr-FR"/>
        </w:rPr>
        <w:t>ritères, est supérieure à 1 200 </w:t>
      </w:r>
      <w:r w:rsidRPr="00A93C1E">
        <w:rPr>
          <w:lang w:val="fr-FR"/>
        </w:rPr>
        <w:t>kg/min</w:t>
      </w:r>
      <w:r w:rsidR="00054DA1">
        <w:rPr>
          <w:lang w:val="fr-FR"/>
        </w:rPr>
        <w:t> </w:t>
      </w:r>
      <w:r w:rsidRPr="00A93C1E">
        <w:rPr>
          <w:lang w:val="fr-FR"/>
        </w:rPr>
        <w:t>; ou</w:t>
      </w:r>
    </w:p>
    <w:p w:rsidR="00A552F5" w:rsidRPr="00A93C1E" w:rsidRDefault="00A552F5" w:rsidP="00054DA1">
      <w:pPr>
        <w:pStyle w:val="SingleTxtG"/>
        <w:ind w:left="2268"/>
        <w:rPr>
          <w:lang w:val="fr-FR"/>
        </w:rPr>
      </w:pPr>
      <w:r w:rsidRPr="00A93C1E">
        <w:rPr>
          <w:lang w:val="fr-FR"/>
        </w:rPr>
        <w:t>c)</w:t>
      </w:r>
      <w:r w:rsidRPr="00A93C1E">
        <w:rPr>
          <w:lang w:val="fr-FR"/>
        </w:rPr>
        <w:tab/>
        <w:t>Son énergie de décomposition exothermique est inférieure à 300 J/g.</w:t>
      </w:r>
    </w:p>
    <w:p w:rsidR="00A552F5" w:rsidRPr="00A93C1E" w:rsidRDefault="00A552F5" w:rsidP="00054DA1">
      <w:pPr>
        <w:pStyle w:val="SingleTxtG"/>
        <w:ind w:left="2268"/>
        <w:rPr>
          <w:lang w:val="fr-FR"/>
        </w:rPr>
      </w:pPr>
      <w:r w:rsidRPr="00054DA1">
        <w:rPr>
          <w:b/>
          <w:i/>
          <w:lang w:val="fr-FR"/>
        </w:rPr>
        <w:t>NOTA 1</w:t>
      </w:r>
      <w:r w:rsidR="001577D8">
        <w:rPr>
          <w:b/>
          <w:lang w:val="fr-FR"/>
        </w:rPr>
        <w:t> </w:t>
      </w:r>
      <w:r w:rsidRPr="00A93C1E">
        <w:rPr>
          <w:b/>
          <w:lang w:val="fr-FR"/>
        </w:rPr>
        <w:t xml:space="preserve">: </w:t>
      </w:r>
      <w:r w:rsidRPr="00054DA1">
        <w:rPr>
          <w:i/>
          <w:lang w:val="fr-FR"/>
        </w:rPr>
        <w:t>Les matières qui satisfont aux critères a) ou b) appartiennent à la classe des explosifs (voir le chapitre 2.1). Les matières qui satisfont au critère c) peuvent relever d’autres classes de danger physique.</w:t>
      </w:r>
    </w:p>
    <w:p w:rsidR="00A552F5" w:rsidRPr="00A93C1E" w:rsidRDefault="00A552F5" w:rsidP="00054DA1">
      <w:pPr>
        <w:pStyle w:val="SingleTxtG"/>
        <w:ind w:left="2268"/>
        <w:rPr>
          <w:lang w:val="fr-FR"/>
        </w:rPr>
      </w:pPr>
      <w:r w:rsidRPr="00054DA1">
        <w:rPr>
          <w:b/>
          <w:i/>
          <w:lang w:val="fr-FR"/>
        </w:rPr>
        <w:t>NOTA 2</w:t>
      </w:r>
      <w:r w:rsidR="001577D8">
        <w:rPr>
          <w:b/>
          <w:lang w:val="fr-FR"/>
        </w:rPr>
        <w:t> </w:t>
      </w:r>
      <w:r w:rsidRPr="00A93C1E">
        <w:rPr>
          <w:b/>
          <w:lang w:val="fr-FR"/>
        </w:rPr>
        <w:t>:</w:t>
      </w:r>
      <w:r w:rsidRPr="00A93C1E">
        <w:rPr>
          <w:lang w:val="fr-FR"/>
        </w:rPr>
        <w:t xml:space="preserve"> </w:t>
      </w:r>
      <w:r w:rsidRPr="00054DA1">
        <w:rPr>
          <w:i/>
          <w:lang w:val="fr-FR"/>
        </w:rPr>
        <w:t>L’énergie de décomposition exothermique peut être estimée en utilisant une technique calorimétri</w:t>
      </w:r>
      <w:r w:rsidR="00054DA1">
        <w:rPr>
          <w:i/>
          <w:lang w:val="fr-FR"/>
        </w:rPr>
        <w:t>que appropriée (voir la section </w:t>
      </w:r>
      <w:r w:rsidRPr="00054DA1">
        <w:rPr>
          <w:i/>
          <w:lang w:val="fr-FR"/>
        </w:rPr>
        <w:t>20, sous</w:t>
      </w:r>
      <w:r w:rsidR="00054DA1" w:rsidRPr="00054DA1">
        <w:rPr>
          <w:i/>
          <w:lang w:val="fr-FR"/>
        </w:rPr>
        <w:noBreakHyphen/>
      </w:r>
      <w:r w:rsidRPr="00054DA1">
        <w:rPr>
          <w:i/>
          <w:lang w:val="fr-FR"/>
        </w:rPr>
        <w:t>section 20.3.3.</w:t>
      </w:r>
      <w:r w:rsidR="00A34250">
        <w:rPr>
          <w:i/>
          <w:lang w:val="fr-FR"/>
        </w:rPr>
        <w:t xml:space="preserve">3 </w:t>
      </w:r>
      <w:r w:rsidRPr="00054DA1">
        <w:rPr>
          <w:i/>
          <w:lang w:val="fr-FR"/>
        </w:rPr>
        <w:t>de la deuxième partie des Recommandations relatives au transport des marchandises dangereuses, Manuel d’épreuves et de critères).</w:t>
      </w:r>
    </w:p>
    <w:p w:rsidR="00446FE5" w:rsidRPr="00A552F5" w:rsidRDefault="00A552F5" w:rsidP="00A552F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A552F5" w:rsidSect="00A552F5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6" w:h="16838" w:code="9"/>
      <w:pgMar w:top="1701" w:right="1134" w:bottom="2268" w:left="1134" w:header="96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019" w:rsidRDefault="00153019" w:rsidP="00F95C08">
      <w:pPr>
        <w:spacing w:line="240" w:lineRule="auto"/>
      </w:pPr>
    </w:p>
  </w:endnote>
  <w:endnote w:type="continuationSeparator" w:id="0">
    <w:p w:rsidR="00153019" w:rsidRPr="00AC3823" w:rsidRDefault="00153019" w:rsidP="00AC3823">
      <w:pPr>
        <w:pStyle w:val="Footer"/>
      </w:pPr>
    </w:p>
  </w:endnote>
  <w:endnote w:type="continuationNotice" w:id="1">
    <w:p w:rsidR="00153019" w:rsidRDefault="0015301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 w:rsidP="00A552F5">
    <w:pPr>
      <w:pStyle w:val="Footer"/>
      <w:tabs>
        <w:tab w:val="right" w:pos="9638"/>
      </w:tabs>
    </w:pPr>
    <w:r w:rsidRPr="00A552F5">
      <w:rPr>
        <w:b/>
        <w:sz w:val="18"/>
      </w:rPr>
      <w:fldChar w:fldCharType="begin"/>
    </w:r>
    <w:r w:rsidRPr="00A552F5">
      <w:rPr>
        <w:b/>
        <w:sz w:val="18"/>
      </w:rPr>
      <w:instrText xml:space="preserve"> PAGE  \* MERGEFORMAT </w:instrText>
    </w:r>
    <w:r w:rsidRPr="00A552F5">
      <w:rPr>
        <w:b/>
        <w:sz w:val="18"/>
      </w:rPr>
      <w:fldChar w:fldCharType="separate"/>
    </w:r>
    <w:r w:rsidR="005019B8">
      <w:rPr>
        <w:b/>
        <w:noProof/>
        <w:sz w:val="18"/>
      </w:rPr>
      <w:t>2</w:t>
    </w:r>
    <w:r w:rsidRPr="00A552F5">
      <w:rPr>
        <w:b/>
        <w:sz w:val="18"/>
      </w:rPr>
      <w:fldChar w:fldCharType="end"/>
    </w:r>
    <w:r>
      <w:rPr>
        <w:b/>
        <w:sz w:val="18"/>
      </w:rPr>
      <w:tab/>
    </w:r>
    <w:r>
      <w:t>GE.16-05658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 w:rsidP="00A552F5">
    <w:pPr>
      <w:pStyle w:val="Footer"/>
      <w:tabs>
        <w:tab w:val="right" w:pos="9638"/>
      </w:tabs>
      <w:rPr>
        <w:b/>
        <w:sz w:val="18"/>
      </w:rPr>
    </w:pPr>
    <w:r>
      <w:t>GE.16-05658</w:t>
    </w:r>
    <w:r>
      <w:tab/>
    </w:r>
    <w:r w:rsidRPr="00A552F5">
      <w:rPr>
        <w:b/>
        <w:sz w:val="18"/>
      </w:rPr>
      <w:fldChar w:fldCharType="begin"/>
    </w:r>
    <w:r w:rsidRPr="00A552F5">
      <w:rPr>
        <w:b/>
        <w:sz w:val="18"/>
      </w:rPr>
      <w:instrText xml:space="preserve"> PAGE  \* MERGEFORMAT </w:instrText>
    </w:r>
    <w:r w:rsidRPr="00A552F5">
      <w:rPr>
        <w:b/>
        <w:sz w:val="18"/>
      </w:rPr>
      <w:fldChar w:fldCharType="separate"/>
    </w:r>
    <w:r w:rsidR="005019B8">
      <w:rPr>
        <w:b/>
        <w:noProof/>
        <w:sz w:val="18"/>
      </w:rPr>
      <w:t>3</w:t>
    </w:r>
    <w:r w:rsidRPr="00A552F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6F" w:rsidRPr="00A552F5" w:rsidRDefault="00A552F5" w:rsidP="00A552F5">
    <w:pPr>
      <w:pStyle w:val="Footer"/>
      <w:spacing w:before="120"/>
      <w:rPr>
        <w:sz w:val="20"/>
      </w:rPr>
    </w:pPr>
    <w:r>
      <w:rPr>
        <w:sz w:val="20"/>
      </w:rPr>
      <w:t>GE.</w:t>
    </w:r>
    <w:r w:rsidR="0068456F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69F418C" wp14:editId="56A29CDB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16-05658  (F)    200516    </w:t>
    </w:r>
    <w:r w:rsidR="001577D8">
      <w:rPr>
        <w:sz w:val="20"/>
      </w:rPr>
      <w:t>230516</w:t>
    </w:r>
    <w:r>
      <w:rPr>
        <w:sz w:val="20"/>
      </w:rPr>
      <w:br/>
    </w:r>
    <w:r w:rsidRPr="00A552F5">
      <w:rPr>
        <w:rFonts w:ascii="C39T30Lfz" w:hAnsi="C39T30Lfz"/>
        <w:sz w:val="56"/>
      </w:rPr>
      <w:t></w:t>
    </w:r>
    <w:r w:rsidRPr="00A552F5">
      <w:rPr>
        <w:rFonts w:ascii="C39T30Lfz" w:hAnsi="C39T30Lfz"/>
        <w:sz w:val="56"/>
      </w:rPr>
      <w:t></w:t>
    </w:r>
    <w:r w:rsidRPr="00A552F5">
      <w:rPr>
        <w:rFonts w:ascii="C39T30Lfz" w:hAnsi="C39T30Lfz"/>
        <w:sz w:val="56"/>
      </w:rPr>
      <w:t></w:t>
    </w:r>
    <w:r w:rsidRPr="00A552F5">
      <w:rPr>
        <w:rFonts w:ascii="C39T30Lfz" w:hAnsi="C39T30Lfz"/>
        <w:sz w:val="56"/>
      </w:rPr>
      <w:t></w:t>
    </w:r>
    <w:r w:rsidRPr="00A552F5">
      <w:rPr>
        <w:rFonts w:ascii="C39T30Lfz" w:hAnsi="C39T30Lfz"/>
        <w:sz w:val="56"/>
      </w:rPr>
      <w:t></w:t>
    </w:r>
    <w:r w:rsidRPr="00A552F5">
      <w:rPr>
        <w:rFonts w:ascii="C39T30Lfz" w:hAnsi="C39T30Lfz"/>
        <w:sz w:val="56"/>
      </w:rPr>
      <w:t></w:t>
    </w:r>
    <w:r w:rsidRPr="00A552F5">
      <w:rPr>
        <w:rFonts w:ascii="C39T30Lfz" w:hAnsi="C39T30Lfz"/>
        <w:sz w:val="56"/>
      </w:rPr>
      <w:t></w:t>
    </w:r>
    <w:r w:rsidRPr="00A552F5">
      <w:rPr>
        <w:rFonts w:ascii="C39T30Lfz" w:hAnsi="C39T30Lfz"/>
        <w:sz w:val="56"/>
      </w:rPr>
      <w:t></w:t>
    </w:r>
    <w:r w:rsidRPr="00A552F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ST/SG/AC.10/C.3/2016/30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ST/SG/AC.10/C.3/2016/30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019" w:rsidRPr="00AC3823" w:rsidRDefault="001530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153019" w:rsidRPr="00AC3823" w:rsidRDefault="0015301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153019" w:rsidRPr="00AC3823" w:rsidRDefault="00153019">
      <w:pPr>
        <w:spacing w:line="240" w:lineRule="auto"/>
        <w:rPr>
          <w:sz w:val="2"/>
          <w:szCs w:val="2"/>
        </w:rPr>
      </w:pPr>
    </w:p>
  </w:footnote>
  <w:footnote w:id="2">
    <w:p w:rsidR="00A34250" w:rsidRDefault="00A34250">
      <w:pPr>
        <w:pStyle w:val="FootnoteText"/>
      </w:pPr>
      <w:r>
        <w:tab/>
      </w:r>
      <w:r>
        <w:rPr>
          <w:rStyle w:val="FootnoteReference"/>
        </w:rPr>
        <w:footnoteRef/>
      </w:r>
      <w:r>
        <w:tab/>
      </w:r>
      <w:r w:rsidRPr="00A13C02">
        <w:t>Conform</w:t>
      </w:r>
      <w:r>
        <w:t>ément au programme de travail des sous-comités</w:t>
      </w:r>
      <w:r w:rsidRPr="00A13C02">
        <w:t xml:space="preserve"> pour la période 2015-2016 adopté</w:t>
      </w:r>
      <w:r>
        <w:t>s</w:t>
      </w:r>
      <w:r w:rsidRPr="00A13C02">
        <w:t xml:space="preserve"> par le Comité à sa septième session (</w:t>
      </w:r>
      <w:r>
        <w:t>voir</w:t>
      </w:r>
      <w:r w:rsidRPr="00A13C02">
        <w:t xml:space="preserve"> ST/SG/AC.10/C.3/92, par</w:t>
      </w:r>
      <w:r>
        <w:t>.</w:t>
      </w:r>
      <w:r w:rsidRPr="00A13C02">
        <w:t>95, ST/SG/AC.10/C.4/60, annex</w:t>
      </w:r>
      <w:r>
        <w:t>e</w:t>
      </w:r>
      <w:r w:rsidRPr="00A13C02">
        <w:t xml:space="preserve"> III</w:t>
      </w:r>
      <w:r>
        <w:t>,</w:t>
      </w:r>
      <w:r w:rsidRPr="00A13C02">
        <w:t xml:space="preserve"> </w:t>
      </w:r>
      <w:r>
        <w:t>et </w:t>
      </w:r>
      <w:r w:rsidRPr="00A13C02">
        <w:t>ST/SG/AC.10/42</w:t>
      </w:r>
      <w:r>
        <w:t>, par</w:t>
      </w:r>
      <w:r w:rsidRPr="00A13C02">
        <w:t xml:space="preserve">. </w:t>
      </w:r>
      <w:r w:rsidRPr="00A04E8C">
        <w:t>1</w:t>
      </w:r>
      <w:r>
        <w:t>5</w:t>
      </w:r>
      <w:r w:rsidRPr="00554D27"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>
    <w:pPr>
      <w:pStyle w:val="Header"/>
    </w:pPr>
    <w:r>
      <w:t>ST/SG/AC.10/C.3/2016/30</w:t>
    </w:r>
    <w:r>
      <w:br/>
      <w:t>ST/SG/AC.10/C.4/2016/6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2F5" w:rsidRPr="00A552F5" w:rsidRDefault="00A552F5" w:rsidP="00A552F5">
    <w:pPr>
      <w:pStyle w:val="Header"/>
      <w:jc w:val="right"/>
    </w:pPr>
    <w:r>
      <w:t>ST/SG/AC.10/C.3/2016/30</w:t>
    </w:r>
    <w:r>
      <w:br/>
      <w:t>ST/SG/AC.10/C.4/2016/6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5E20DA"/>
    <w:multiLevelType w:val="multilevel"/>
    <w:tmpl w:val="126C407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99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11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019"/>
    <w:rsid w:val="00017F94"/>
    <w:rsid w:val="00023842"/>
    <w:rsid w:val="000305D3"/>
    <w:rsid w:val="000334F9"/>
    <w:rsid w:val="00054DA1"/>
    <w:rsid w:val="0007796D"/>
    <w:rsid w:val="000B7790"/>
    <w:rsid w:val="00111F2F"/>
    <w:rsid w:val="00132EA9"/>
    <w:rsid w:val="0014365E"/>
    <w:rsid w:val="00153019"/>
    <w:rsid w:val="001577D8"/>
    <w:rsid w:val="00176178"/>
    <w:rsid w:val="001F525A"/>
    <w:rsid w:val="00223272"/>
    <w:rsid w:val="0024779E"/>
    <w:rsid w:val="00283190"/>
    <w:rsid w:val="002832AC"/>
    <w:rsid w:val="002D7C93"/>
    <w:rsid w:val="00441C3B"/>
    <w:rsid w:val="00446FE5"/>
    <w:rsid w:val="00452396"/>
    <w:rsid w:val="004E468C"/>
    <w:rsid w:val="005019B8"/>
    <w:rsid w:val="005505B7"/>
    <w:rsid w:val="00573BE5"/>
    <w:rsid w:val="00586ED3"/>
    <w:rsid w:val="00596AA9"/>
    <w:rsid w:val="0068456F"/>
    <w:rsid w:val="00692B76"/>
    <w:rsid w:val="0071601D"/>
    <w:rsid w:val="007A62E6"/>
    <w:rsid w:val="0080684C"/>
    <w:rsid w:val="00871C75"/>
    <w:rsid w:val="008776DC"/>
    <w:rsid w:val="009705C8"/>
    <w:rsid w:val="009C1CF4"/>
    <w:rsid w:val="00A30353"/>
    <w:rsid w:val="00A34250"/>
    <w:rsid w:val="00A552F5"/>
    <w:rsid w:val="00AC3823"/>
    <w:rsid w:val="00AE323C"/>
    <w:rsid w:val="00B00181"/>
    <w:rsid w:val="00B00B0D"/>
    <w:rsid w:val="00B765F7"/>
    <w:rsid w:val="00BA0CA9"/>
    <w:rsid w:val="00C02897"/>
    <w:rsid w:val="00D3439C"/>
    <w:rsid w:val="00DB1831"/>
    <w:rsid w:val="00DD3BFD"/>
    <w:rsid w:val="00DF6678"/>
    <w:rsid w:val="00EF2E22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A552F5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552F5"/>
    <w:pPr>
      <w:kinsoku/>
      <w:overflowPunct/>
      <w:autoSpaceDE/>
      <w:autoSpaceDN/>
      <w:adjustRightInd/>
      <w:snapToGrid/>
      <w:ind w:left="720"/>
      <w:contextualSpacing/>
    </w:pPr>
    <w:rPr>
      <w:lang w:val="en-GB"/>
    </w:rPr>
  </w:style>
  <w:style w:type="character" w:customStyle="1" w:styleId="HChGChar">
    <w:name w:val="_ H _Ch_G Char"/>
    <w:link w:val="HChG"/>
    <w:rsid w:val="00A552F5"/>
    <w:rPr>
      <w:rFonts w:ascii="Times New Roman" w:hAnsi="Times New Roman" w:cs="Times New Roman"/>
      <w:b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ar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283190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283190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rsid w:val="00A552F5"/>
    <w:rPr>
      <w:rFonts w:ascii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552F5"/>
    <w:pPr>
      <w:kinsoku/>
      <w:overflowPunct/>
      <w:autoSpaceDE/>
      <w:autoSpaceDN/>
      <w:adjustRightInd/>
      <w:snapToGrid/>
      <w:ind w:left="720"/>
      <w:contextualSpacing/>
    </w:pPr>
    <w:rPr>
      <w:lang w:val="en-GB"/>
    </w:rPr>
  </w:style>
  <w:style w:type="character" w:customStyle="1" w:styleId="HChGChar">
    <w:name w:val="_ H _Ch_G Char"/>
    <w:link w:val="HChG"/>
    <w:rsid w:val="00A552F5"/>
    <w:rPr>
      <w:rFonts w:ascii="Times New Roman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03981-97DF-4721-9DE7-9B4814AEA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ST/SG/AC.10/C.3/2016/30</vt:lpstr>
      <vt:lpstr>ST/SG/AC.10/C.3/2016/30</vt:lpstr>
    </vt:vector>
  </TitlesOfParts>
  <Company>DCM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ST/SG/AC.10/C.3/2016/30</dc:title>
  <dc:creator>Granet C.</dc:creator>
  <cp:lastModifiedBy>Laurence Berthet</cp:lastModifiedBy>
  <cp:revision>2</cp:revision>
  <cp:lastPrinted>2016-05-23T14:04:00Z</cp:lastPrinted>
  <dcterms:created xsi:type="dcterms:W3CDTF">2016-05-23T14:05:00Z</dcterms:created>
  <dcterms:modified xsi:type="dcterms:W3CDTF">2016-05-23T14:05:00Z</dcterms:modified>
</cp:coreProperties>
</file>