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5A1F2E" w:rsidRDefault="00280D2B" w:rsidP="00E64083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</w:t>
            </w:r>
            <w:r w:rsidR="000575B3">
              <w:rPr>
                <w:b/>
                <w:sz w:val="40"/>
                <w:szCs w:val="40"/>
              </w:rPr>
              <w:t>50</w:t>
            </w:r>
            <w:r w:rsidR="007315A6">
              <w:rPr>
                <w:b/>
                <w:sz w:val="40"/>
                <w:szCs w:val="40"/>
              </w:rPr>
              <w:t>/INF.</w:t>
            </w:r>
            <w:r w:rsidR="00931FC4">
              <w:rPr>
                <w:b/>
                <w:sz w:val="40"/>
                <w:szCs w:val="40"/>
              </w:rPr>
              <w:t>3</w:t>
            </w:r>
            <w:r w:rsidR="00E64083">
              <w:rPr>
                <w:b/>
                <w:sz w:val="40"/>
                <w:szCs w:val="40"/>
              </w:rPr>
              <w:t>7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9552DA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931FC4">
              <w:rPr>
                <w:b/>
              </w:rPr>
              <w:t>22</w:t>
            </w:r>
            <w:r w:rsidR="005F5FE3">
              <w:rPr>
                <w:b/>
              </w:rPr>
              <w:t xml:space="preserve"> November</w:t>
            </w:r>
            <w:r w:rsidR="009749FE">
              <w:rPr>
                <w:b/>
                <w:sz w:val="18"/>
                <w:szCs w:val="24"/>
              </w:rPr>
              <w:t xml:space="preserve"> </w:t>
            </w:r>
            <w:r w:rsidR="005A37A2">
              <w:rPr>
                <w:b/>
                <w:sz w:val="18"/>
                <w:szCs w:val="24"/>
              </w:rPr>
              <w:t>201</w:t>
            </w:r>
            <w:r w:rsidR="009749FE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931FC4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</w:t>
            </w:r>
            <w:r w:rsidR="00931FC4">
              <w:rPr>
                <w:b/>
              </w:rPr>
              <w:t>iftieth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A300E" w:rsidRPr="00F54DDA" w:rsidRDefault="003A300E" w:rsidP="003A300E">
            <w:pPr>
              <w:spacing w:before="120"/>
              <w:ind w:left="34" w:hanging="34"/>
            </w:pPr>
            <w:r>
              <w:t>Geneva, 28 November–6 December 2016</w:t>
            </w:r>
          </w:p>
          <w:p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E64083">
              <w:t>2 (c)</w:t>
            </w:r>
            <w:r w:rsidRPr="00F54DDA">
              <w:t xml:space="preserve"> of the provisional agenda</w:t>
            </w:r>
          </w:p>
          <w:p w:rsidR="00280D2B" w:rsidRPr="00E64083" w:rsidRDefault="00E64083" w:rsidP="00E64083">
            <w:pPr>
              <w:spacing w:after="120"/>
              <w:rPr>
                <w:b/>
              </w:rPr>
            </w:pPr>
            <w:r w:rsidRPr="00E64083">
              <w:rPr>
                <w:b/>
              </w:rPr>
              <w:t xml:space="preserve">Recommendations made by the Sub-Committee </w:t>
            </w:r>
            <w:r w:rsidRPr="00E64083">
              <w:rPr>
                <w:b/>
              </w:rPr>
              <w:br/>
            </w:r>
            <w:r w:rsidRPr="00E64083">
              <w:rPr>
                <w:b/>
              </w:rPr>
              <w:t xml:space="preserve">on its forty-seventh, forty-eighth and forty-ninth sessions </w:t>
            </w:r>
            <w:r w:rsidRPr="00E64083">
              <w:rPr>
                <w:b/>
              </w:rPr>
              <w:br/>
            </w:r>
            <w:r w:rsidRPr="00E64083">
              <w:rPr>
                <w:b/>
              </w:rPr>
              <w:t>and pending issues</w:t>
            </w:r>
            <w:r w:rsidRPr="00E64083">
              <w:rPr>
                <w:b/>
              </w:rPr>
              <w:t>: l</w:t>
            </w:r>
            <w:r w:rsidRPr="00E64083">
              <w:rPr>
                <w:b/>
              </w:rPr>
              <w:t>isting, classification and packing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E64083" w:rsidRPr="00977526" w:rsidRDefault="00E64083" w:rsidP="00E64083">
      <w:pPr>
        <w:pStyle w:val="HChG"/>
        <w:keepNext w:val="0"/>
        <w:keepLines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 for infectious substances – modified proposal of </w:t>
      </w:r>
      <w:r w:rsidRPr="0008704A">
        <w:rPr>
          <w:lang w:val="en-US"/>
        </w:rPr>
        <w:t>ST/SG/AC.10/C.3/2016/69</w:t>
      </w:r>
    </w:p>
    <w:p w:rsidR="00E64083" w:rsidRDefault="00E64083" w:rsidP="00E64083">
      <w:pPr>
        <w:pStyle w:val="H1G"/>
        <w:keepNext w:val="0"/>
        <w:keepLines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061CF">
        <w:rPr>
          <w:lang w:val="en-US"/>
        </w:rPr>
        <w:t xml:space="preserve">Transmitted by the expert from </w:t>
      </w:r>
      <w:r>
        <w:rPr>
          <w:lang w:val="en-US"/>
        </w:rPr>
        <w:t>Germany</w:t>
      </w:r>
    </w:p>
    <w:p w:rsidR="00E64083" w:rsidRDefault="00E64083" w:rsidP="00E64083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916A3">
        <w:rPr>
          <w:lang w:val="en-US"/>
        </w:rPr>
        <w:t>Introduction</w:t>
      </w:r>
    </w:p>
    <w:p w:rsidR="00E64083" w:rsidRPr="00E64083" w:rsidRDefault="00E64083" w:rsidP="00E64083">
      <w:pPr>
        <w:pStyle w:val="SingleTxtG"/>
      </w:pPr>
      <w:r w:rsidRPr="00E64083">
        <w:t>1.</w:t>
      </w:r>
      <w:r w:rsidRPr="00E64083">
        <w:tab/>
        <w:t xml:space="preserve">Following further discussions after submission of ST/SG/AC.10/C.3/2016/69, a slightly modified proposal is presented below. </w:t>
      </w:r>
    </w:p>
    <w:p w:rsidR="00E64083" w:rsidRPr="00E64083" w:rsidRDefault="00E64083" w:rsidP="00E64083">
      <w:pPr>
        <w:pStyle w:val="SingleTxtG"/>
      </w:pPr>
      <w:r>
        <w:t xml:space="preserve">2. </w:t>
      </w:r>
      <w:r>
        <w:tab/>
      </w:r>
      <w:r w:rsidRPr="00E64083">
        <w:t>The following changes have been included in the revised packing instruction:</w:t>
      </w:r>
    </w:p>
    <w:p w:rsidR="00E64083" w:rsidRDefault="00E64083" w:rsidP="00E64083">
      <w:pPr>
        <w:pStyle w:val="Bullet1G"/>
      </w:pPr>
      <w:r>
        <w:t xml:space="preserve">It is not necessary to require the primary receptacle </w:t>
      </w:r>
      <w:r w:rsidRPr="00D1604E">
        <w:rPr>
          <w:u w:val="single"/>
        </w:rPr>
        <w:t>and</w:t>
      </w:r>
      <w:r>
        <w:t xml:space="preserve"> the secondary packaging to be </w:t>
      </w:r>
      <w:proofErr w:type="spellStart"/>
      <w:r>
        <w:t>leakproof</w:t>
      </w:r>
      <w:proofErr w:type="spellEnd"/>
      <w:r>
        <w:t xml:space="preserve">: Either the primary </w:t>
      </w:r>
      <w:r w:rsidRPr="00D1604E">
        <w:rPr>
          <w:u w:val="single"/>
        </w:rPr>
        <w:t>or</w:t>
      </w:r>
      <w:r>
        <w:rPr>
          <w:u w:val="single"/>
        </w:rPr>
        <w:t xml:space="preserve"> </w:t>
      </w:r>
      <w:r>
        <w:t xml:space="preserve">the secondary receptacle shall be </w:t>
      </w:r>
      <w:proofErr w:type="spellStart"/>
      <w:r>
        <w:t>leakproof</w:t>
      </w:r>
      <w:proofErr w:type="spellEnd"/>
      <w:r>
        <w:t>.</w:t>
      </w:r>
    </w:p>
    <w:p w:rsidR="00E64083" w:rsidRDefault="00E64083" w:rsidP="00E64083">
      <w:pPr>
        <w:pStyle w:val="Bullet1G"/>
      </w:pPr>
      <w:r>
        <w:t xml:space="preserve">Fibreboard boxes should be allowed as an option for outer </w:t>
      </w:r>
      <w:proofErr w:type="spellStart"/>
      <w:r>
        <w:t>packagings</w:t>
      </w:r>
      <w:proofErr w:type="spellEnd"/>
      <w:r>
        <w:t xml:space="preserve"> due to their cushioning properties.</w:t>
      </w:r>
    </w:p>
    <w:p w:rsidR="00E64083" w:rsidRDefault="00E64083" w:rsidP="00E64083">
      <w:pPr>
        <w:pStyle w:val="Bullet1G"/>
      </w:pPr>
      <w:r>
        <w:t xml:space="preserve">The capability of withstanding without leakage an internal pressure producing a pressure differential of not less than 95kPa is not necessary. The primary receptacle or the secondary packaging shall be </w:t>
      </w:r>
      <w:r w:rsidRPr="001D1920">
        <w:t xml:space="preserve">capable of passing a </w:t>
      </w:r>
      <w:proofErr w:type="spellStart"/>
      <w:r w:rsidRPr="001D1920">
        <w:t>leakproofness</w:t>
      </w:r>
      <w:proofErr w:type="spellEnd"/>
      <w:r w:rsidRPr="001D1920">
        <w:t xml:space="preserve"> test according to 6.1.5.4.</w:t>
      </w:r>
    </w:p>
    <w:p w:rsidR="00E64083" w:rsidRDefault="00E64083" w:rsidP="00E64083">
      <w:pPr>
        <w:pStyle w:val="Bullet1G"/>
      </w:pPr>
      <w:proofErr w:type="gramStart"/>
      <w:r>
        <w:t>A certain</w:t>
      </w:r>
      <w:proofErr w:type="gramEnd"/>
      <w:r>
        <w:t xml:space="preserve"> flexibility should be included with regard to the necessary disinfection of the inner </w:t>
      </w:r>
      <w:proofErr w:type="spellStart"/>
      <w:r>
        <w:t>packagings</w:t>
      </w:r>
      <w:proofErr w:type="spellEnd"/>
      <w:r>
        <w:t xml:space="preserve">. Relevant factors might be the packaging type (flexible </w:t>
      </w:r>
      <w:proofErr w:type="spellStart"/>
      <w:r>
        <w:t>packagings</w:t>
      </w:r>
      <w:proofErr w:type="spellEnd"/>
      <w:r>
        <w:t xml:space="preserve"> are difficult to disinfect effectively) or operational procedures. </w:t>
      </w:r>
    </w:p>
    <w:p w:rsidR="00E64083" w:rsidRDefault="00E64083" w:rsidP="00E64083">
      <w:pPr>
        <w:pStyle w:val="Bullet1G"/>
      </w:pPr>
      <w:r>
        <w:t>It is not necessary to require a packaging to be able to retain liquids (additional requirement 3) a</w:t>
      </w:r>
      <w:r w:rsidRPr="00506A85">
        <w:t xml:space="preserve">s the primary </w:t>
      </w:r>
      <w:r>
        <w:t xml:space="preserve">receptacle </w:t>
      </w:r>
      <w:r w:rsidRPr="00506A85">
        <w:t>or</w:t>
      </w:r>
      <w:r>
        <w:t xml:space="preserve"> the</w:t>
      </w:r>
      <w:r w:rsidRPr="00506A85">
        <w:t xml:space="preserve"> secondary </w:t>
      </w:r>
      <w:r>
        <w:t>packaging</w:t>
      </w:r>
      <w:r w:rsidRPr="00506A85">
        <w:t xml:space="preserve"> shall be </w:t>
      </w:r>
      <w:proofErr w:type="spellStart"/>
      <w:r w:rsidRPr="00506A85">
        <w:t>leakproof</w:t>
      </w:r>
      <w:proofErr w:type="spellEnd"/>
    </w:p>
    <w:p w:rsidR="00E64083" w:rsidRPr="00475CAC" w:rsidRDefault="00E64083" w:rsidP="00E64083">
      <w:pPr>
        <w:pStyle w:val="SingleTxtG"/>
      </w:pPr>
      <w:r>
        <w:t>3.</w:t>
      </w:r>
      <w:r>
        <w:tab/>
      </w:r>
      <w:r w:rsidRPr="0008704A">
        <w:t>For the sake of readability, the</w:t>
      </w:r>
      <w:r>
        <w:t xml:space="preserve"> proposal of paper 2016/69</w:t>
      </w:r>
      <w:r w:rsidRPr="0008704A">
        <w:t xml:space="preserve"> is reproduced completely</w:t>
      </w:r>
      <w:r>
        <w:t xml:space="preserve">, changes are from the version in document 2016/69 are shown shaded. </w:t>
      </w:r>
      <w:r w:rsidRPr="0008704A">
        <w:t xml:space="preserve">. </w:t>
      </w:r>
    </w:p>
    <w:p w:rsidR="00E64083" w:rsidRPr="00475CAC" w:rsidRDefault="00E64083" w:rsidP="00E64083">
      <w:pPr>
        <w:pStyle w:val="HChG"/>
      </w:pPr>
      <w:r>
        <w:lastRenderedPageBreak/>
        <w:tab/>
      </w:r>
      <w:r>
        <w:tab/>
      </w:r>
      <w:r w:rsidRPr="00475CAC">
        <w:t>Proposal</w:t>
      </w:r>
    </w:p>
    <w:p w:rsidR="00E64083" w:rsidRPr="00072880" w:rsidRDefault="00E64083" w:rsidP="00E64083">
      <w:pPr>
        <w:pStyle w:val="SingleTxtG"/>
        <w:rPr>
          <w:lang w:val="en-US"/>
        </w:rPr>
      </w:pPr>
      <w:r>
        <w:rPr>
          <w:lang w:val="en-US"/>
        </w:rPr>
        <w:t>4</w:t>
      </w:r>
      <w:r w:rsidRPr="00072880">
        <w:rPr>
          <w:lang w:val="en-US"/>
        </w:rPr>
        <w:t xml:space="preserve">. </w:t>
      </w:r>
      <w:r w:rsidRPr="00072880">
        <w:rPr>
          <w:lang w:val="en-US"/>
        </w:rPr>
        <w:tab/>
      </w:r>
      <w:r>
        <w:rPr>
          <w:lang w:val="en-US"/>
        </w:rPr>
        <w:t xml:space="preserve">1.4.3.1.2: </w:t>
      </w:r>
      <w:r w:rsidRPr="00072880">
        <w:rPr>
          <w:lang w:val="en-US"/>
        </w:rPr>
        <w:t xml:space="preserve">Amend the text of table 1.4.1 </w:t>
      </w:r>
      <w:r>
        <w:rPr>
          <w:lang w:val="en-US"/>
        </w:rPr>
        <w:t xml:space="preserve">related to infectious substances </w:t>
      </w:r>
      <w:r w:rsidRPr="00072880">
        <w:rPr>
          <w:lang w:val="en-US"/>
        </w:rPr>
        <w:t xml:space="preserve">to read as follows (new text </w:t>
      </w:r>
      <w:r w:rsidRPr="00072880">
        <w:rPr>
          <w:u w:val="single"/>
          <w:lang w:val="en-US"/>
        </w:rPr>
        <w:t>underlined</w:t>
      </w:r>
      <w:r w:rsidRPr="00072880">
        <w:rPr>
          <w:lang w:val="en-US"/>
        </w:rPr>
        <w:t>):</w:t>
      </w:r>
    </w:p>
    <w:p w:rsidR="00E64083" w:rsidRPr="00072880" w:rsidRDefault="00E64083" w:rsidP="00E64083">
      <w:pPr>
        <w:pStyle w:val="SingleTxtG"/>
        <w:tabs>
          <w:tab w:val="left" w:pos="3119"/>
        </w:tabs>
        <w:ind w:left="1701"/>
        <w:rPr>
          <w:u w:val="single"/>
          <w:lang w:val="en-US"/>
        </w:rPr>
      </w:pPr>
      <w:r>
        <w:rPr>
          <w:lang w:val="en-US"/>
        </w:rPr>
        <w:t>“Division 6.2</w:t>
      </w:r>
      <w:r>
        <w:rPr>
          <w:lang w:val="en-US"/>
        </w:rPr>
        <w:tab/>
      </w:r>
      <w:r w:rsidRPr="00072880">
        <w:rPr>
          <w:lang w:val="en-US"/>
        </w:rPr>
        <w:t xml:space="preserve">infectious substances of Category A (UN Nos. 2814 and 2900), </w:t>
      </w:r>
      <w:r>
        <w:rPr>
          <w:lang w:val="en-US"/>
        </w:rPr>
        <w:tab/>
        <w:t xml:space="preserve">medical or </w:t>
      </w:r>
      <w:r w:rsidRPr="00072880">
        <w:rPr>
          <w:u w:val="single"/>
          <w:lang w:val="en-US"/>
        </w:rPr>
        <w:t>clinical waste</w:t>
      </w:r>
      <w:r>
        <w:rPr>
          <w:u w:val="single"/>
          <w:lang w:val="en-US"/>
        </w:rPr>
        <w:t xml:space="preserve"> </w:t>
      </w:r>
      <w:r w:rsidRPr="00072880">
        <w:rPr>
          <w:u w:val="single"/>
          <w:lang w:val="en-US"/>
        </w:rPr>
        <w:t>of Category A (UN No. 35XX</w:t>
      </w:r>
      <w:proofErr w:type="gramStart"/>
      <w:r w:rsidRPr="00072880">
        <w:rPr>
          <w:u w:val="single"/>
          <w:lang w:val="en-US"/>
        </w:rPr>
        <w:t>)</w:t>
      </w:r>
      <w:r w:rsidRPr="00072880">
        <w:rPr>
          <w:lang w:val="en-US"/>
        </w:rPr>
        <w:t>“</w:t>
      </w:r>
      <w:proofErr w:type="gramEnd"/>
    </w:p>
    <w:p w:rsidR="00E64083" w:rsidRDefault="00E64083" w:rsidP="00E64083">
      <w:pPr>
        <w:pStyle w:val="SingleTxtG"/>
        <w:rPr>
          <w:lang w:val="en-US"/>
        </w:rPr>
      </w:pPr>
      <w:r>
        <w:rPr>
          <w:lang w:val="en-US"/>
        </w:rPr>
        <w:t>5</w:t>
      </w:r>
      <w:r w:rsidRPr="00072880">
        <w:rPr>
          <w:lang w:val="en-US"/>
        </w:rPr>
        <w:t>.</w:t>
      </w:r>
      <w:r w:rsidRPr="00072880">
        <w:rPr>
          <w:lang w:val="en-US"/>
        </w:rPr>
        <w:tab/>
        <w:t xml:space="preserve">Amend 2.6.3.2.1 to read as follows (new text </w:t>
      </w:r>
      <w:r w:rsidRPr="00072880">
        <w:rPr>
          <w:u w:val="single"/>
          <w:lang w:val="en-US"/>
        </w:rPr>
        <w:t>underlined</w:t>
      </w:r>
      <w:r w:rsidRPr="00072880">
        <w:rPr>
          <w:lang w:val="en-US"/>
        </w:rPr>
        <w:t>):</w:t>
      </w:r>
    </w:p>
    <w:p w:rsidR="00BD45B3" w:rsidRPr="00072880" w:rsidRDefault="00BD45B3" w:rsidP="00BD45B3">
      <w:pPr>
        <w:pStyle w:val="SingleTxtG"/>
        <w:tabs>
          <w:tab w:val="left" w:pos="3119"/>
        </w:tabs>
        <w:ind w:left="1701"/>
        <w:rPr>
          <w:lang w:val="en-US"/>
        </w:rPr>
      </w:pPr>
      <w:r>
        <w:rPr>
          <w:lang w:val="en-US"/>
        </w:rPr>
        <w:t>“2.6.3.2.1</w:t>
      </w:r>
      <w:r>
        <w:rPr>
          <w:lang w:val="en-US"/>
        </w:rPr>
        <w:tab/>
      </w:r>
      <w:r w:rsidRPr="00072880">
        <w:rPr>
          <w:lang w:val="en-US"/>
        </w:rPr>
        <w:t xml:space="preserve">Infectious substances shall be classified in Division 6.2 and </w:t>
      </w:r>
      <w:r>
        <w:rPr>
          <w:lang w:val="en-US"/>
        </w:rPr>
        <w:tab/>
      </w:r>
      <w:r>
        <w:rPr>
          <w:lang w:val="en-US"/>
        </w:rPr>
        <w:tab/>
      </w:r>
      <w:r w:rsidRPr="00072880">
        <w:rPr>
          <w:lang w:val="en-US"/>
        </w:rPr>
        <w:t>assigned to UN 2814, UN 2900, UN3291</w:t>
      </w:r>
      <w:r w:rsidRPr="004823EF">
        <w:rPr>
          <w:u w:val="single"/>
          <w:lang w:val="en-US"/>
        </w:rPr>
        <w:t xml:space="preserve">, </w:t>
      </w:r>
      <w:r w:rsidRPr="00072880">
        <w:rPr>
          <w:lang w:val="en-US"/>
        </w:rPr>
        <w:t xml:space="preserve">UN 3373 </w:t>
      </w:r>
      <w:r w:rsidRPr="004823EF">
        <w:rPr>
          <w:u w:val="single"/>
          <w:lang w:val="en-US"/>
        </w:rPr>
        <w:t>or</w:t>
      </w:r>
      <w:r w:rsidRPr="00072880">
        <w:rPr>
          <w:lang w:val="en-US"/>
        </w:rPr>
        <w:t xml:space="preserve"> </w:t>
      </w:r>
      <w:r w:rsidRPr="00072880">
        <w:rPr>
          <w:u w:val="single"/>
          <w:lang w:val="en-US"/>
        </w:rPr>
        <w:t>UN 35XX</w:t>
      </w:r>
      <w:r w:rsidRPr="00072880">
        <w:rPr>
          <w:lang w:val="en-US"/>
        </w:rPr>
        <w:t xml:space="preserve">, </w:t>
      </w:r>
      <w:r>
        <w:rPr>
          <w:lang w:val="en-US"/>
        </w:rPr>
        <w:tab/>
      </w:r>
      <w:r w:rsidRPr="00072880">
        <w:rPr>
          <w:lang w:val="en-US"/>
        </w:rPr>
        <w:t>as appropriate.“</w:t>
      </w:r>
    </w:p>
    <w:p w:rsidR="00BD45B3" w:rsidRDefault="00BD45B3" w:rsidP="00BD45B3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154138">
        <w:rPr>
          <w:lang w:val="en-US"/>
        </w:rPr>
        <w:t xml:space="preserve">Amend </w:t>
      </w:r>
      <w:r>
        <w:rPr>
          <w:lang w:val="en-US"/>
        </w:rPr>
        <w:t>sub-paragraph</w:t>
      </w:r>
      <w:r w:rsidRPr="00154138">
        <w:rPr>
          <w:lang w:val="en-US"/>
        </w:rPr>
        <w:t xml:space="preserve"> (a) of 2.6.3.2.3.9 as follows (new text</w:t>
      </w:r>
      <w:r>
        <w:rPr>
          <w:u w:val="single"/>
          <w:lang w:val="en-US"/>
        </w:rPr>
        <w:t xml:space="preserve"> </w:t>
      </w:r>
      <w:r w:rsidRPr="00154138">
        <w:rPr>
          <w:u w:val="single"/>
          <w:lang w:val="en-US"/>
        </w:rPr>
        <w:t>underlined</w:t>
      </w:r>
      <w:r>
        <w:rPr>
          <w:lang w:val="en-US"/>
        </w:rPr>
        <w:t xml:space="preserve">): </w:t>
      </w:r>
    </w:p>
    <w:p w:rsidR="00BD45B3" w:rsidRDefault="00BD45B3" w:rsidP="00BD45B3">
      <w:pPr>
        <w:pStyle w:val="SingleTxtG"/>
        <w:ind w:firstLine="567"/>
        <w:rPr>
          <w:u w:val="single"/>
          <w:lang w:val="en-US"/>
        </w:rPr>
      </w:pPr>
      <w:r>
        <w:rPr>
          <w:lang w:val="en-US"/>
        </w:rPr>
        <w:t xml:space="preserve">“(a) Medical waste (UN 3291 </w:t>
      </w:r>
      <w:r w:rsidRPr="00154138">
        <w:rPr>
          <w:u w:val="single"/>
          <w:lang w:val="en-US"/>
        </w:rPr>
        <w:t>and UN 35XX)</w:t>
      </w:r>
      <w:r>
        <w:rPr>
          <w:u w:val="single"/>
          <w:lang w:val="en-US"/>
        </w:rPr>
        <w:t>”</w:t>
      </w:r>
    </w:p>
    <w:p w:rsidR="00BD45B3" w:rsidRPr="00072880" w:rsidRDefault="00BD45B3" w:rsidP="00BD45B3">
      <w:pPr>
        <w:pStyle w:val="SingleTxtG"/>
        <w:rPr>
          <w:lang w:val="en-US"/>
        </w:rPr>
      </w:pPr>
      <w:r>
        <w:rPr>
          <w:lang w:val="en-US"/>
        </w:rPr>
        <w:t>7</w:t>
      </w:r>
      <w:r w:rsidRPr="00072880">
        <w:rPr>
          <w:lang w:val="en-US"/>
        </w:rPr>
        <w:t>.</w:t>
      </w:r>
      <w:r w:rsidRPr="00072880">
        <w:rPr>
          <w:lang w:val="en-US"/>
        </w:rPr>
        <w:tab/>
        <w:t xml:space="preserve">Amend </w:t>
      </w:r>
      <w:r>
        <w:rPr>
          <w:lang w:val="en-US"/>
        </w:rPr>
        <w:t>paragraph</w:t>
      </w:r>
      <w:r w:rsidRPr="00072880">
        <w:rPr>
          <w:lang w:val="en-US"/>
        </w:rPr>
        <w:t xml:space="preserve"> 2.6.3.5.1 to read as follows (new text </w:t>
      </w:r>
      <w:r w:rsidRPr="00072880">
        <w:rPr>
          <w:u w:val="single"/>
          <w:lang w:val="en-US"/>
        </w:rPr>
        <w:t>underlined</w:t>
      </w:r>
      <w:r w:rsidRPr="00072880">
        <w:rPr>
          <w:lang w:val="en-US"/>
        </w:rPr>
        <w:t xml:space="preserve">, old text </w:t>
      </w:r>
      <w:r w:rsidRPr="00072880">
        <w:rPr>
          <w:strike/>
          <w:lang w:val="en-US"/>
        </w:rPr>
        <w:t>stricken</w:t>
      </w:r>
      <w:r>
        <w:rPr>
          <w:lang w:val="en-US"/>
        </w:rPr>
        <w:t xml:space="preserve"> </w:t>
      </w:r>
      <w:r w:rsidRPr="00072880">
        <w:rPr>
          <w:strike/>
          <w:lang w:val="en-US"/>
        </w:rPr>
        <w:t>through</w:t>
      </w:r>
      <w:r w:rsidRPr="00072880">
        <w:rPr>
          <w:lang w:val="en-US"/>
        </w:rPr>
        <w:t>):</w:t>
      </w:r>
    </w:p>
    <w:p w:rsidR="00BD45B3" w:rsidRDefault="00BD45B3" w:rsidP="00BD45B3">
      <w:pPr>
        <w:pStyle w:val="SingleTxtG"/>
        <w:ind w:left="1701"/>
        <w:rPr>
          <w:lang w:val="en-US"/>
        </w:rPr>
      </w:pPr>
      <w:r>
        <w:rPr>
          <w:lang w:val="en-US"/>
        </w:rPr>
        <w:t>“2.6.3.5.1</w:t>
      </w:r>
      <w:r>
        <w:rPr>
          <w:lang w:val="en-US"/>
        </w:rPr>
        <w:tab/>
      </w:r>
      <w:r w:rsidRPr="00072880">
        <w:rPr>
          <w:lang w:val="en-US"/>
        </w:rPr>
        <w:t xml:space="preserve">Medical or clinical wastes containing Category </w:t>
      </w:r>
      <w:proofErr w:type="gramStart"/>
      <w:r w:rsidRPr="00072880">
        <w:rPr>
          <w:lang w:val="en-US"/>
        </w:rPr>
        <w:t>A</w:t>
      </w:r>
      <w:proofErr w:type="gramEnd"/>
      <w:r>
        <w:rPr>
          <w:lang w:val="en-US"/>
        </w:rPr>
        <w:t xml:space="preserve"> infectious substances shall be </w:t>
      </w:r>
      <w:r w:rsidRPr="00072880">
        <w:rPr>
          <w:lang w:val="en-US"/>
        </w:rPr>
        <w:t xml:space="preserve">assigned to </w:t>
      </w:r>
      <w:r w:rsidRPr="00072880">
        <w:rPr>
          <w:strike/>
          <w:lang w:val="en-US"/>
        </w:rPr>
        <w:t>UN 2814 or UN 2900</w:t>
      </w:r>
      <w:r w:rsidRPr="00072880">
        <w:rPr>
          <w:u w:val="single"/>
          <w:lang w:val="en-US"/>
        </w:rPr>
        <w:t>UN 35XX</w:t>
      </w:r>
      <w:r w:rsidRPr="00072880">
        <w:rPr>
          <w:strike/>
          <w:lang w:val="en-US"/>
        </w:rPr>
        <w:t>as appropriate</w:t>
      </w:r>
      <w:r w:rsidRPr="00072880">
        <w:rPr>
          <w:lang w:val="en-US"/>
        </w:rPr>
        <w:t xml:space="preserve">. Medical </w:t>
      </w:r>
      <w:r>
        <w:rPr>
          <w:lang w:val="en-US"/>
        </w:rPr>
        <w:t xml:space="preserve">or clinical wastes containing </w:t>
      </w:r>
      <w:r w:rsidRPr="00072880">
        <w:rPr>
          <w:lang w:val="en-US"/>
        </w:rPr>
        <w:t>infectious substances in Category B shall be</w:t>
      </w:r>
      <w:r>
        <w:rPr>
          <w:lang w:val="en-US"/>
        </w:rPr>
        <w:t xml:space="preserve"> assigned to UN 3291.”</w:t>
      </w:r>
    </w:p>
    <w:p w:rsidR="00BD45B3" w:rsidRDefault="00BD45B3" w:rsidP="00BD45B3">
      <w:pPr>
        <w:pStyle w:val="SingleTxtG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ab/>
        <w:t xml:space="preserve">Amend the note in 2.6.3.5.2 as follows (new text </w:t>
      </w:r>
      <w:r w:rsidRPr="00154138">
        <w:rPr>
          <w:u w:val="single"/>
          <w:lang w:val="en-US"/>
        </w:rPr>
        <w:t>underlined</w:t>
      </w:r>
      <w:r>
        <w:rPr>
          <w:lang w:val="en-US"/>
        </w:rPr>
        <w:t>):</w:t>
      </w:r>
    </w:p>
    <w:p w:rsidR="00BD45B3" w:rsidRPr="00154138" w:rsidRDefault="00BD45B3" w:rsidP="00BD45B3">
      <w:pPr>
        <w:pStyle w:val="SingleTxtG"/>
        <w:ind w:left="1701"/>
        <w:rPr>
          <w:u w:val="single"/>
          <w:lang w:val="en-US"/>
        </w:rPr>
      </w:pPr>
      <w:r>
        <w:rPr>
          <w:lang w:val="en-US"/>
        </w:rPr>
        <w:t>“</w:t>
      </w:r>
      <w:r w:rsidRPr="00670091">
        <w:rPr>
          <w:b/>
          <w:lang w:val="en-US"/>
        </w:rPr>
        <w:t>NOTE</w:t>
      </w:r>
      <w:r w:rsidRPr="00154138">
        <w:rPr>
          <w:b/>
          <w:lang w:val="en-US"/>
        </w:rPr>
        <w:t xml:space="preserve">: </w:t>
      </w:r>
      <w:r w:rsidRPr="00154138">
        <w:rPr>
          <w:lang w:val="en-US"/>
        </w:rPr>
        <w:t xml:space="preserve">The proper shipping name for UN 3291 is “CLINICAL WASTE, </w:t>
      </w:r>
      <w:r w:rsidRPr="00154138">
        <w:rPr>
          <w:u w:val="single"/>
          <w:lang w:val="en-US"/>
        </w:rPr>
        <w:t>CATEGORY B</w:t>
      </w:r>
      <w:r>
        <w:rPr>
          <w:lang w:val="en-US"/>
        </w:rPr>
        <w:t xml:space="preserve">, </w:t>
      </w:r>
      <w:r w:rsidRPr="00154138">
        <w:rPr>
          <w:lang w:val="en-US"/>
        </w:rPr>
        <w:t>UNSPECIFIED, N.O.S” or “(BIO) MEDICAL WASTE N.O.S” or “REGULATED MEDICAL WASTE, N.O.S”.</w:t>
      </w:r>
      <w:r w:rsidRPr="00154138">
        <w:t xml:space="preserve"> </w:t>
      </w:r>
      <w:r w:rsidRPr="00154138">
        <w:rPr>
          <w:u w:val="single"/>
          <w:lang w:val="en-US"/>
        </w:rPr>
        <w:t>The proper shipping name for UN 35XX is CLINICAL WASTE, CATEGORY A, UNSPECIFIED, N.O.S. or (BIO) MEDICAL WASTE, CATEGORY A, N.O.S. or REGULATED MED</w:t>
      </w:r>
      <w:r>
        <w:rPr>
          <w:u w:val="single"/>
          <w:lang w:val="en-US"/>
        </w:rPr>
        <w:t xml:space="preserve">ICAL WASTE, CATEGORY A, N.O.S. </w:t>
      </w:r>
      <w:r w:rsidRPr="00154138">
        <w:rPr>
          <w:u w:val="single"/>
          <w:lang w:val="en-US"/>
        </w:rPr>
        <w:t>“</w:t>
      </w:r>
    </w:p>
    <w:p w:rsidR="00BD45B3" w:rsidRDefault="00BD45B3" w:rsidP="00BD45B3">
      <w:pPr>
        <w:pStyle w:val="SingleTxtG"/>
        <w:spacing w:before="120" w:after="240"/>
        <w:rPr>
          <w:lang w:val="en-US"/>
        </w:rPr>
      </w:pPr>
      <w:r>
        <w:rPr>
          <w:lang w:val="en-US"/>
        </w:rPr>
        <w:t>9</w:t>
      </w:r>
      <w:r w:rsidRPr="00072880">
        <w:rPr>
          <w:lang w:val="en-US"/>
        </w:rPr>
        <w:t>.</w:t>
      </w:r>
      <w:r w:rsidRPr="00072880">
        <w:rPr>
          <w:lang w:val="en-US"/>
        </w:rPr>
        <w:tab/>
        <w:t>Add the new UN No. 35XX to the dangerous goods list in 3.2.1</w:t>
      </w:r>
      <w:r>
        <w:rPr>
          <w:lang w:val="en-US"/>
        </w:rPr>
        <w:t xml:space="preserve"> </w:t>
      </w:r>
      <w:r w:rsidRPr="00A56B38">
        <w:rPr>
          <w:lang w:val="en-US"/>
        </w:rPr>
        <w:t>and modify the p</w:t>
      </w:r>
      <w:r>
        <w:rPr>
          <w:lang w:val="en-US"/>
        </w:rPr>
        <w:t>roper shipping name for UN 3291</w:t>
      </w:r>
      <w:r w:rsidRPr="00A56B38">
        <w:rPr>
          <w:lang w:val="en-US"/>
        </w:rPr>
        <w:t xml:space="preserve"> </w:t>
      </w:r>
      <w:r>
        <w:rPr>
          <w:lang w:val="en-US"/>
        </w:rPr>
        <w:t>accordingly</w:t>
      </w:r>
      <w:r w:rsidRPr="00072880">
        <w:rPr>
          <w:lang w:val="en-US"/>
        </w:rPr>
        <w:t>:</w:t>
      </w:r>
    </w:p>
    <w:tbl>
      <w:tblPr>
        <w:tblStyle w:val="TableGrid"/>
        <w:tblW w:w="9401" w:type="dxa"/>
        <w:tblInd w:w="426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484"/>
        <w:gridCol w:w="630"/>
        <w:gridCol w:w="812"/>
        <w:gridCol w:w="728"/>
        <w:gridCol w:w="826"/>
        <w:gridCol w:w="447"/>
        <w:gridCol w:w="462"/>
        <w:gridCol w:w="826"/>
        <w:gridCol w:w="840"/>
        <w:gridCol w:w="852"/>
        <w:gridCol w:w="58"/>
        <w:gridCol w:w="812"/>
      </w:tblGrid>
      <w:tr w:rsidR="00BD45B3" w:rsidRPr="00CE13B8" w:rsidTr="00690BBF">
        <w:trPr>
          <w:trHeight w:val="363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UN</w:t>
            </w:r>
            <w:r>
              <w:rPr>
                <w:i/>
                <w:color w:val="auto"/>
                <w:sz w:val="16"/>
                <w:szCs w:val="18"/>
              </w:rPr>
              <w:br/>
              <w:t>No.</w:t>
            </w:r>
          </w:p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CE13B8">
              <w:rPr>
                <w:i/>
                <w:color w:val="auto"/>
                <w:sz w:val="16"/>
                <w:szCs w:val="18"/>
              </w:rPr>
              <w:t>.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CE13B8">
              <w:rPr>
                <w:i/>
                <w:color w:val="auto"/>
                <w:sz w:val="16"/>
                <w:szCs w:val="18"/>
              </w:rPr>
              <w:t>Name an description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CE13B8">
              <w:rPr>
                <w:i/>
                <w:color w:val="auto"/>
                <w:sz w:val="16"/>
                <w:szCs w:val="18"/>
              </w:rPr>
              <w:t>Class or division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Subsi</w:t>
            </w:r>
            <w:r w:rsidRPr="00CE13B8">
              <w:rPr>
                <w:i/>
                <w:color w:val="auto"/>
                <w:sz w:val="16"/>
                <w:szCs w:val="18"/>
              </w:rPr>
              <w:t>diary risk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CE13B8">
              <w:rPr>
                <w:i/>
                <w:color w:val="auto"/>
                <w:sz w:val="16"/>
                <w:szCs w:val="18"/>
              </w:rPr>
              <w:t>UN packing group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CE13B8">
              <w:rPr>
                <w:i/>
                <w:color w:val="auto"/>
                <w:sz w:val="16"/>
                <w:szCs w:val="18"/>
              </w:rPr>
              <w:t>Special provisions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CE13B8">
              <w:rPr>
                <w:i/>
                <w:color w:val="auto"/>
                <w:sz w:val="16"/>
                <w:szCs w:val="18"/>
              </w:rPr>
              <w:t>Limited and excepted</w:t>
            </w:r>
            <w:r>
              <w:rPr>
                <w:i/>
                <w:color w:val="auto"/>
                <w:sz w:val="16"/>
                <w:szCs w:val="18"/>
              </w:rPr>
              <w:t xml:space="preserve"> </w:t>
            </w:r>
            <w:r w:rsidRPr="00CE13B8">
              <w:rPr>
                <w:i/>
                <w:color w:val="auto"/>
                <w:sz w:val="16"/>
                <w:szCs w:val="18"/>
              </w:rPr>
              <w:t>quantities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CE13B8">
              <w:rPr>
                <w:i/>
                <w:color w:val="auto"/>
                <w:sz w:val="16"/>
                <w:szCs w:val="18"/>
              </w:rPr>
              <w:t>Packagings and IBCs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CE13B8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  <w:lang w:val="en-US"/>
              </w:rPr>
            </w:pPr>
            <w:r w:rsidRPr="00CE13B8">
              <w:rPr>
                <w:i/>
                <w:color w:val="auto"/>
                <w:sz w:val="16"/>
                <w:szCs w:val="18"/>
                <w:lang w:val="en-US"/>
              </w:rPr>
              <w:t>Portable tanks and bulk containers</w:t>
            </w:r>
          </w:p>
        </w:tc>
      </w:tr>
      <w:tr w:rsidR="00BD45B3" w:rsidRPr="00CE13B8" w:rsidTr="00690BBF">
        <w:trPr>
          <w:trHeight w:val="362"/>
          <w:tblHeader/>
        </w:trPr>
        <w:tc>
          <w:tcPr>
            <w:tcW w:w="62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812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i/>
                <w:color w:val="auto"/>
                <w:sz w:val="16"/>
                <w:szCs w:val="16"/>
              </w:rPr>
            </w:pPr>
            <w:r w:rsidRPr="00CE13B8">
              <w:rPr>
                <w:i/>
                <w:color w:val="auto"/>
                <w:sz w:val="16"/>
                <w:szCs w:val="16"/>
              </w:rPr>
              <w:t>Packing instruction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i/>
                <w:color w:val="auto"/>
                <w:sz w:val="16"/>
                <w:szCs w:val="16"/>
              </w:rPr>
            </w:pPr>
            <w:r w:rsidRPr="00CE13B8">
              <w:rPr>
                <w:i/>
                <w:color w:val="auto"/>
                <w:sz w:val="16"/>
                <w:szCs w:val="16"/>
              </w:rPr>
              <w:t>Special packing provisions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i/>
                <w:color w:val="auto"/>
                <w:sz w:val="16"/>
                <w:szCs w:val="16"/>
              </w:rPr>
            </w:pPr>
            <w:r w:rsidRPr="00CE13B8">
              <w:rPr>
                <w:i/>
                <w:color w:val="auto"/>
                <w:sz w:val="16"/>
                <w:szCs w:val="16"/>
              </w:rPr>
              <w:t>instructions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i/>
                <w:color w:val="auto"/>
                <w:sz w:val="16"/>
                <w:szCs w:val="16"/>
              </w:rPr>
            </w:pPr>
            <w:r w:rsidRPr="00CE13B8">
              <w:rPr>
                <w:i/>
                <w:color w:val="auto"/>
                <w:sz w:val="16"/>
                <w:szCs w:val="16"/>
              </w:rPr>
              <w:t>special provisions</w:t>
            </w:r>
          </w:p>
        </w:tc>
      </w:tr>
      <w:tr w:rsidR="00BD45B3" w:rsidRPr="00CE13B8" w:rsidTr="00690BBF">
        <w:trPr>
          <w:trHeight w:val="227"/>
        </w:trPr>
        <w:tc>
          <w:tcPr>
            <w:tcW w:w="624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(1)</w:t>
            </w:r>
          </w:p>
        </w:tc>
        <w:tc>
          <w:tcPr>
            <w:tcW w:w="1484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(2)</w:t>
            </w:r>
          </w:p>
        </w:tc>
        <w:tc>
          <w:tcPr>
            <w:tcW w:w="630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(3)</w:t>
            </w:r>
          </w:p>
        </w:tc>
        <w:tc>
          <w:tcPr>
            <w:tcW w:w="812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(4)</w:t>
            </w:r>
          </w:p>
        </w:tc>
        <w:tc>
          <w:tcPr>
            <w:tcW w:w="728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(5)</w:t>
            </w:r>
          </w:p>
        </w:tc>
        <w:tc>
          <w:tcPr>
            <w:tcW w:w="826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(6)</w:t>
            </w:r>
          </w:p>
        </w:tc>
        <w:tc>
          <w:tcPr>
            <w:tcW w:w="447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(7a)</w:t>
            </w:r>
          </w:p>
        </w:tc>
        <w:tc>
          <w:tcPr>
            <w:tcW w:w="462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(7b)</w:t>
            </w:r>
          </w:p>
        </w:tc>
        <w:tc>
          <w:tcPr>
            <w:tcW w:w="826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(8)</w:t>
            </w:r>
          </w:p>
        </w:tc>
        <w:tc>
          <w:tcPr>
            <w:tcW w:w="840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(9)</w:t>
            </w:r>
          </w:p>
        </w:tc>
        <w:tc>
          <w:tcPr>
            <w:tcW w:w="852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(10)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(11)</w:t>
            </w:r>
          </w:p>
        </w:tc>
      </w:tr>
      <w:tr w:rsidR="00BD45B3" w:rsidRPr="00CE13B8" w:rsidTr="00690BBF">
        <w:trPr>
          <w:trHeight w:val="241"/>
        </w:trPr>
        <w:tc>
          <w:tcPr>
            <w:tcW w:w="624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3.1.2</w:t>
            </w:r>
          </w:p>
        </w:tc>
        <w:tc>
          <w:tcPr>
            <w:tcW w:w="630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2.</w:t>
            </w:r>
            <w:r w:rsidRPr="00CE13B8">
              <w:rPr>
                <w:color w:val="auto"/>
                <w:sz w:val="20"/>
                <w:szCs w:val="1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2.0</w:t>
            </w:r>
          </w:p>
        </w:tc>
        <w:tc>
          <w:tcPr>
            <w:tcW w:w="728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2.0.1.3</w:t>
            </w:r>
          </w:p>
        </w:tc>
        <w:tc>
          <w:tcPr>
            <w:tcW w:w="826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3.</w:t>
            </w:r>
            <w:r w:rsidRPr="00CE13B8">
              <w:rPr>
                <w:color w:val="auto"/>
                <w:sz w:val="20"/>
                <w:szCs w:val="18"/>
              </w:rPr>
              <w:t>3</w:t>
            </w:r>
          </w:p>
        </w:tc>
        <w:tc>
          <w:tcPr>
            <w:tcW w:w="447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3</w:t>
            </w:r>
            <w:r w:rsidRPr="00CE13B8">
              <w:rPr>
                <w:color w:val="auto"/>
                <w:sz w:val="20"/>
                <w:szCs w:val="18"/>
              </w:rPr>
              <w:t>.4</w:t>
            </w:r>
          </w:p>
        </w:tc>
        <w:tc>
          <w:tcPr>
            <w:tcW w:w="462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3.5</w:t>
            </w:r>
          </w:p>
        </w:tc>
        <w:tc>
          <w:tcPr>
            <w:tcW w:w="826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4.1.4</w:t>
            </w:r>
          </w:p>
        </w:tc>
        <w:tc>
          <w:tcPr>
            <w:tcW w:w="840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4.1.4</w:t>
            </w:r>
          </w:p>
        </w:tc>
        <w:tc>
          <w:tcPr>
            <w:tcW w:w="852" w:type="dxa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4.2.5 / 4.3.2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4</w:t>
            </w:r>
            <w:r w:rsidRPr="00CE13B8">
              <w:rPr>
                <w:color w:val="auto"/>
                <w:sz w:val="20"/>
                <w:szCs w:val="18"/>
              </w:rPr>
              <w:t>.2.5</w:t>
            </w:r>
          </w:p>
        </w:tc>
      </w:tr>
      <w:tr w:rsidR="00BD45B3" w:rsidRPr="00CE13B8" w:rsidTr="00690BBF">
        <w:trPr>
          <w:trHeight w:val="1865"/>
        </w:trPr>
        <w:tc>
          <w:tcPr>
            <w:tcW w:w="624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lastRenderedPageBreak/>
              <w:t>35XX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  <w:r w:rsidRPr="00CE13B8">
              <w:rPr>
                <w:color w:val="auto"/>
                <w:sz w:val="20"/>
                <w:szCs w:val="18"/>
                <w:lang w:val="en-US"/>
              </w:rPr>
              <w:t xml:space="preserve">CLINICAL WASTE, CATEGORY A, UNSPECIFIED, N.O.S. or (BIO) MEDICAL WASTE, CATEGORY A, N.O.S. or REGULATED MEDICAL WASTE, CATEGORY A, N.O.S. 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6.2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0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CE13B8">
              <w:rPr>
                <w:color w:val="auto"/>
                <w:sz w:val="20"/>
                <w:szCs w:val="18"/>
              </w:rPr>
              <w:t>E0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>
              <w:rPr>
                <w:color w:val="auto"/>
                <w:sz w:val="20"/>
                <w:szCs w:val="18"/>
              </w:rPr>
              <w:t>P</w:t>
            </w:r>
            <w:r w:rsidRPr="00CE13B8">
              <w:rPr>
                <w:color w:val="auto"/>
                <w:sz w:val="20"/>
                <w:szCs w:val="18"/>
              </w:rPr>
              <w:t>62X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8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D45B3" w:rsidRPr="00CE13B8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</w:tr>
    </w:tbl>
    <w:p w:rsidR="00BD45B3" w:rsidRPr="00072880" w:rsidRDefault="00BD45B3" w:rsidP="00BD45B3">
      <w:pPr>
        <w:pStyle w:val="SingleTxtG"/>
        <w:spacing w:before="120"/>
        <w:rPr>
          <w:lang w:val="en-US"/>
        </w:rPr>
      </w:pPr>
      <w:r>
        <w:rPr>
          <w:lang w:val="en-US"/>
        </w:rPr>
        <w:t xml:space="preserve">Amend the proper shipping name of  UN 3291 as follows: </w:t>
      </w:r>
      <w:r w:rsidRPr="00A56B38">
        <w:rPr>
          <w:lang w:val="en-US"/>
        </w:rPr>
        <w:t xml:space="preserve">CLINICAL WASTE, </w:t>
      </w:r>
      <w:r w:rsidRPr="00A56B38">
        <w:rPr>
          <w:u w:val="single"/>
          <w:lang w:val="en-US"/>
        </w:rPr>
        <w:t>CATEGORY B</w:t>
      </w:r>
      <w:r w:rsidRPr="00A56B38">
        <w:rPr>
          <w:lang w:val="en-US"/>
        </w:rPr>
        <w:t xml:space="preserve">, UNSPECIFIED, N.O.S. or (BIO) MEDICAL WASTE, </w:t>
      </w:r>
      <w:r w:rsidRPr="00A56B38">
        <w:rPr>
          <w:u w:val="single"/>
          <w:lang w:val="en-US"/>
        </w:rPr>
        <w:t>CATEGORY B,</w:t>
      </w:r>
      <w:r w:rsidRPr="00A56B38">
        <w:rPr>
          <w:lang w:val="en-US"/>
        </w:rPr>
        <w:t xml:space="preserve"> N.O.S. or REGULATED MEDICAL WASTE, </w:t>
      </w:r>
      <w:r w:rsidRPr="00A56B38">
        <w:rPr>
          <w:u w:val="single"/>
          <w:lang w:val="en-US"/>
        </w:rPr>
        <w:t>CATEGORY B,</w:t>
      </w:r>
      <w:r w:rsidRPr="00A56B38">
        <w:rPr>
          <w:lang w:val="en-US"/>
        </w:rPr>
        <w:t xml:space="preserve"> N.O.S.</w:t>
      </w:r>
    </w:p>
    <w:p w:rsidR="00BD45B3" w:rsidRPr="00072880" w:rsidRDefault="00BD45B3" w:rsidP="00BD45B3">
      <w:pPr>
        <w:pStyle w:val="SingleTxtG"/>
        <w:rPr>
          <w:lang w:val="en-US"/>
        </w:rPr>
      </w:pPr>
      <w:r>
        <w:rPr>
          <w:lang w:val="en-US"/>
        </w:rPr>
        <w:t>10</w:t>
      </w:r>
      <w:r w:rsidRPr="00072880">
        <w:rPr>
          <w:lang w:val="en-US"/>
        </w:rPr>
        <w:t>.</w:t>
      </w:r>
      <w:r w:rsidRPr="00072880">
        <w:rPr>
          <w:lang w:val="en-US"/>
        </w:rPr>
        <w:tab/>
        <w:t xml:space="preserve">Add the new UN No. 35XX to Appendix </w:t>
      </w:r>
      <w:proofErr w:type="gramStart"/>
      <w:r w:rsidRPr="00072880">
        <w:rPr>
          <w:lang w:val="en-US"/>
        </w:rPr>
        <w:t>A</w:t>
      </w:r>
      <w:proofErr w:type="gramEnd"/>
      <w:r w:rsidRPr="00072880">
        <w:rPr>
          <w:lang w:val="en-US"/>
        </w:rPr>
        <w:t xml:space="preserve"> (List of generic an</w:t>
      </w:r>
      <w:r>
        <w:rPr>
          <w:lang w:val="en-US"/>
        </w:rPr>
        <w:t>d N.O.S. proper shipping names)</w:t>
      </w:r>
      <w:r w:rsidRPr="00072880">
        <w:rPr>
          <w:lang w:val="en-US"/>
        </w:rPr>
        <w:t>: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4818"/>
      </w:tblGrid>
      <w:tr w:rsidR="00BD45B3" w:rsidRPr="00217292" w:rsidTr="00690BBF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217292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217292">
              <w:rPr>
                <w:i/>
                <w:color w:val="auto"/>
                <w:sz w:val="16"/>
                <w:szCs w:val="18"/>
              </w:rPr>
              <w:t>Class or Division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217292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217292">
              <w:rPr>
                <w:i/>
                <w:color w:val="auto"/>
                <w:sz w:val="16"/>
                <w:szCs w:val="18"/>
              </w:rPr>
              <w:t>SubsidiaryRisk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217292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217292">
              <w:rPr>
                <w:i/>
                <w:color w:val="auto"/>
                <w:sz w:val="16"/>
                <w:szCs w:val="18"/>
              </w:rPr>
              <w:t>UN No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217292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18"/>
              </w:rPr>
            </w:pPr>
            <w:r w:rsidRPr="00217292">
              <w:rPr>
                <w:i/>
                <w:color w:val="auto"/>
                <w:sz w:val="16"/>
                <w:szCs w:val="18"/>
              </w:rPr>
              <w:t>Proper Shipping Name</w:t>
            </w:r>
          </w:p>
        </w:tc>
      </w:tr>
      <w:tr w:rsidR="00BD45B3" w:rsidRPr="00217292" w:rsidTr="00690BBF"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4818" w:type="dxa"/>
            <w:tcBorders>
              <w:top w:val="single" w:sz="12" w:space="0" w:color="auto"/>
            </w:tcBorders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217292">
              <w:rPr>
                <w:color w:val="auto"/>
                <w:sz w:val="20"/>
                <w:szCs w:val="18"/>
              </w:rPr>
              <w:t>DIVISION 6.2</w:t>
            </w:r>
          </w:p>
        </w:tc>
      </w:tr>
      <w:tr w:rsidR="00BD45B3" w:rsidRPr="00217292" w:rsidTr="00690BBF">
        <w:tc>
          <w:tcPr>
            <w:tcW w:w="993" w:type="dxa"/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4818" w:type="dxa"/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217292">
              <w:rPr>
                <w:color w:val="auto"/>
                <w:sz w:val="20"/>
                <w:szCs w:val="18"/>
              </w:rPr>
              <w:t>Specific entries</w:t>
            </w:r>
          </w:p>
        </w:tc>
      </w:tr>
      <w:tr w:rsidR="00BD45B3" w:rsidRPr="00217292" w:rsidTr="00690BBF">
        <w:tc>
          <w:tcPr>
            <w:tcW w:w="993" w:type="dxa"/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217292">
              <w:rPr>
                <w:color w:val="auto"/>
                <w:sz w:val="20"/>
                <w:szCs w:val="18"/>
              </w:rPr>
              <w:t>6.2</w:t>
            </w:r>
          </w:p>
        </w:tc>
        <w:tc>
          <w:tcPr>
            <w:tcW w:w="850" w:type="dxa"/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</w:rPr>
            </w:pPr>
            <w:r w:rsidRPr="00217292">
              <w:rPr>
                <w:color w:val="auto"/>
                <w:sz w:val="20"/>
                <w:szCs w:val="18"/>
              </w:rPr>
              <w:t>35XX</w:t>
            </w:r>
          </w:p>
        </w:tc>
        <w:tc>
          <w:tcPr>
            <w:tcW w:w="4818" w:type="dxa"/>
            <w:shd w:val="clear" w:color="auto" w:fill="auto"/>
          </w:tcPr>
          <w:p w:rsidR="00BD45B3" w:rsidRPr="00217292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18"/>
                <w:lang w:val="en-US"/>
              </w:rPr>
            </w:pPr>
            <w:r w:rsidRPr="00217292">
              <w:rPr>
                <w:color w:val="auto"/>
                <w:sz w:val="20"/>
                <w:szCs w:val="18"/>
                <w:lang w:val="en-US"/>
              </w:rPr>
              <w:t>CLINICAL WASTE, CATEGORY A, UNSPECIFIED, N.O.S. or (BIO) MEDICAL WASTE, CATEGORY A, N.O.S. or REGULATED MEDICAL WASTE, CATEGORY A, N.O.S.</w:t>
            </w:r>
          </w:p>
        </w:tc>
      </w:tr>
    </w:tbl>
    <w:p w:rsidR="00BD45B3" w:rsidRDefault="00BD45B3" w:rsidP="00BD45B3">
      <w:pPr>
        <w:pStyle w:val="SingleTxtG"/>
        <w:spacing w:before="120"/>
        <w:rPr>
          <w:lang w:val="en-US"/>
        </w:rPr>
      </w:pPr>
      <w:r w:rsidRPr="00C6453A">
        <w:rPr>
          <w:lang w:val="en-US"/>
        </w:rPr>
        <w:t xml:space="preserve">Amend the proper shipping name of  UN 3291 as follows: CLINICAL WASTE, </w:t>
      </w:r>
      <w:r w:rsidRPr="00C6453A">
        <w:rPr>
          <w:u w:val="single"/>
          <w:lang w:val="en-US"/>
        </w:rPr>
        <w:t>CATEGORY B</w:t>
      </w:r>
      <w:r w:rsidRPr="00C6453A">
        <w:rPr>
          <w:lang w:val="en-US"/>
        </w:rPr>
        <w:t xml:space="preserve">, UNSPECIFIED, N.O.S. or (BIO) MEDICAL WASTE, </w:t>
      </w:r>
      <w:r w:rsidRPr="00C6453A">
        <w:rPr>
          <w:u w:val="single"/>
          <w:lang w:val="en-US"/>
        </w:rPr>
        <w:t>CATEGORY B,</w:t>
      </w:r>
      <w:r w:rsidRPr="00C6453A">
        <w:rPr>
          <w:lang w:val="en-US"/>
        </w:rPr>
        <w:t xml:space="preserve"> N.O.S. or REGULATED MEDICAL WASTE, </w:t>
      </w:r>
      <w:r w:rsidRPr="00C6453A">
        <w:rPr>
          <w:u w:val="single"/>
          <w:lang w:val="en-US"/>
        </w:rPr>
        <w:t>CATEGORY B,</w:t>
      </w:r>
      <w:r w:rsidRPr="00C6453A">
        <w:rPr>
          <w:lang w:val="en-US"/>
        </w:rPr>
        <w:t xml:space="preserve"> N.O.S</w:t>
      </w:r>
    </w:p>
    <w:p w:rsidR="00BD45B3" w:rsidRPr="00072880" w:rsidRDefault="00BD45B3" w:rsidP="00BD45B3">
      <w:pPr>
        <w:pStyle w:val="SingleTxtG"/>
        <w:spacing w:before="120" w:after="240"/>
        <w:rPr>
          <w:lang w:val="en-US"/>
        </w:rPr>
      </w:pPr>
      <w:r>
        <w:rPr>
          <w:lang w:val="en-US"/>
        </w:rPr>
        <w:t>11</w:t>
      </w:r>
      <w:r w:rsidRPr="00072880">
        <w:rPr>
          <w:lang w:val="en-US"/>
        </w:rPr>
        <w:t>.</w:t>
      </w:r>
      <w:r w:rsidRPr="00072880">
        <w:rPr>
          <w:lang w:val="en-US"/>
        </w:rPr>
        <w:tab/>
        <w:t>Add the new UN No. 35XX to the alphabetical i</w:t>
      </w:r>
      <w:r>
        <w:rPr>
          <w:lang w:val="en-US"/>
        </w:rPr>
        <w:t>ndex of substances and articles</w:t>
      </w:r>
      <w:r w:rsidRPr="00072880">
        <w:rPr>
          <w:lang w:val="en-US"/>
        </w:rPr>
        <w:t>: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1072"/>
        <w:gridCol w:w="1310"/>
      </w:tblGrid>
      <w:tr w:rsidR="00BD45B3" w:rsidRPr="009F743D" w:rsidTr="00690BBF">
        <w:trPr>
          <w:tblHeader/>
        </w:trPr>
        <w:tc>
          <w:tcPr>
            <w:tcW w:w="49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9F743D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</w:rPr>
            </w:pPr>
            <w:r w:rsidRPr="009F743D">
              <w:rPr>
                <w:i/>
                <w:color w:val="auto"/>
                <w:sz w:val="16"/>
                <w:szCs w:val="20"/>
              </w:rPr>
              <w:t>Name and description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9F743D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</w:rPr>
            </w:pPr>
            <w:r w:rsidRPr="009F743D">
              <w:rPr>
                <w:i/>
                <w:color w:val="auto"/>
                <w:sz w:val="16"/>
                <w:szCs w:val="20"/>
              </w:rPr>
              <w:t>Class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D45B3" w:rsidRPr="009F743D" w:rsidRDefault="00BD45B3" w:rsidP="00690BBF">
            <w:pPr>
              <w:pStyle w:val="Default"/>
              <w:suppressAutoHyphens w:val="0"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</w:rPr>
            </w:pPr>
            <w:r w:rsidRPr="009F743D">
              <w:rPr>
                <w:i/>
                <w:color w:val="auto"/>
                <w:sz w:val="16"/>
                <w:szCs w:val="20"/>
              </w:rPr>
              <w:t>UN No.</w:t>
            </w:r>
          </w:p>
        </w:tc>
      </w:tr>
      <w:tr w:rsidR="00BD45B3" w:rsidRPr="009F743D" w:rsidTr="00690BBF">
        <w:tc>
          <w:tcPr>
            <w:tcW w:w="4988" w:type="dxa"/>
            <w:tcBorders>
              <w:top w:val="single" w:sz="12" w:space="0" w:color="auto"/>
            </w:tcBorders>
            <w:shd w:val="clear" w:color="auto" w:fill="auto"/>
          </w:tcPr>
          <w:p w:rsidR="00BD45B3" w:rsidRPr="009F743D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20"/>
                <w:lang w:val="en-US"/>
              </w:rPr>
            </w:pPr>
            <w:r w:rsidRPr="009F743D">
              <w:rPr>
                <w:color w:val="auto"/>
                <w:sz w:val="20"/>
                <w:szCs w:val="20"/>
                <w:lang w:val="en-US"/>
              </w:rPr>
              <w:t>CLINICAL WASTE, CATEGORY A, UNSPECIFIED, N.O.S. or (BIO) MEDICAL WASTE, CATEGORY A, N.O.S. or REGULATED MEDICAL WASTE, CATEGORY A, N.O.S.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shd w:val="clear" w:color="auto" w:fill="auto"/>
          </w:tcPr>
          <w:p w:rsidR="00BD45B3" w:rsidRPr="009F743D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20"/>
              </w:rPr>
            </w:pPr>
            <w:r w:rsidRPr="009F743D">
              <w:rPr>
                <w:color w:val="auto"/>
                <w:sz w:val="20"/>
                <w:szCs w:val="20"/>
              </w:rPr>
              <w:t>6.2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auto"/>
          </w:tcPr>
          <w:p w:rsidR="00BD45B3" w:rsidRPr="009F743D" w:rsidRDefault="00BD45B3" w:rsidP="00690BBF">
            <w:pPr>
              <w:pStyle w:val="Default"/>
              <w:suppressAutoHyphens w:val="0"/>
              <w:spacing w:before="40" w:after="120" w:line="220" w:lineRule="exact"/>
              <w:ind w:right="113"/>
              <w:rPr>
                <w:color w:val="auto"/>
                <w:sz w:val="20"/>
                <w:szCs w:val="20"/>
              </w:rPr>
            </w:pPr>
            <w:r w:rsidRPr="009F743D">
              <w:rPr>
                <w:color w:val="auto"/>
                <w:sz w:val="20"/>
                <w:szCs w:val="20"/>
              </w:rPr>
              <w:t>35XX</w:t>
            </w:r>
          </w:p>
        </w:tc>
      </w:tr>
    </w:tbl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Pr="00154138" w:rsidRDefault="00BD45B3" w:rsidP="00BD45B3">
      <w:pPr>
        <w:pStyle w:val="SingleTxtG"/>
        <w:spacing w:before="240"/>
        <w:rPr>
          <w:b/>
          <w:lang w:val="en-US"/>
        </w:rPr>
      </w:pPr>
      <w:r w:rsidRPr="00C6453A">
        <w:rPr>
          <w:lang w:val="en-US"/>
        </w:rPr>
        <w:lastRenderedPageBreak/>
        <w:t>Ame</w:t>
      </w:r>
      <w:r>
        <w:rPr>
          <w:lang w:val="en-US"/>
        </w:rPr>
        <w:t xml:space="preserve">nd the proper shipping name of </w:t>
      </w:r>
      <w:r w:rsidRPr="00C6453A">
        <w:rPr>
          <w:lang w:val="en-US"/>
        </w:rPr>
        <w:t xml:space="preserve">UN 3291 as follows: CLINICAL WASTE, </w:t>
      </w:r>
      <w:r w:rsidRPr="00C6453A">
        <w:rPr>
          <w:u w:val="single"/>
          <w:lang w:val="en-US"/>
        </w:rPr>
        <w:t>CATEGORY B</w:t>
      </w:r>
      <w:r w:rsidRPr="00C6453A">
        <w:rPr>
          <w:lang w:val="en-US"/>
        </w:rPr>
        <w:t xml:space="preserve">, UNSPECIFIED, N.O.S. or (BIO) MEDICAL WASTE, </w:t>
      </w:r>
      <w:r w:rsidRPr="00C6453A">
        <w:rPr>
          <w:u w:val="single"/>
          <w:lang w:val="en-US"/>
        </w:rPr>
        <w:t>CATEGORY B,</w:t>
      </w:r>
      <w:r w:rsidRPr="00C6453A">
        <w:rPr>
          <w:lang w:val="en-US"/>
        </w:rPr>
        <w:t xml:space="preserve"> N.O.S. or REGULATED MEDICAL WASTE, </w:t>
      </w:r>
      <w:r w:rsidRPr="00C6453A">
        <w:rPr>
          <w:u w:val="single"/>
          <w:lang w:val="en-US"/>
        </w:rPr>
        <w:t>CATEGORY B,</w:t>
      </w:r>
      <w:r w:rsidRPr="00C6453A">
        <w:rPr>
          <w:lang w:val="en-US"/>
        </w:rPr>
        <w:t xml:space="preserve"> N.O.S</w:t>
      </w:r>
    </w:p>
    <w:p w:rsidR="00BD45B3" w:rsidRPr="0012167E" w:rsidRDefault="00BD45B3" w:rsidP="00BD45B3">
      <w:pPr>
        <w:pStyle w:val="SingleTxtG"/>
        <w:rPr>
          <w:lang w:val="en-CA"/>
        </w:rPr>
      </w:pPr>
      <w:r>
        <w:t>12.</w:t>
      </w:r>
      <w:r>
        <w:tab/>
      </w:r>
      <w:r w:rsidRPr="00E06A65">
        <w:t>A</w:t>
      </w:r>
      <w:r w:rsidRPr="005F0FAB">
        <w:t>dd the new p</w:t>
      </w:r>
      <w:proofErr w:type="spellStart"/>
      <w:r w:rsidRPr="005F0FAB">
        <w:rPr>
          <w:lang w:val="en-CA"/>
        </w:rPr>
        <w:t>acking</w:t>
      </w:r>
      <w:proofErr w:type="spellEnd"/>
      <w:r>
        <w:rPr>
          <w:lang w:val="en-CA"/>
        </w:rPr>
        <w:t xml:space="preserve"> i</w:t>
      </w:r>
      <w:r w:rsidRPr="005F0FAB">
        <w:rPr>
          <w:lang w:val="en-CA"/>
        </w:rPr>
        <w:t>nstruction</w:t>
      </w:r>
      <w:r>
        <w:rPr>
          <w:lang w:val="en-CA"/>
        </w:rPr>
        <w:t xml:space="preserve"> P62X:</w:t>
      </w:r>
    </w:p>
    <w:tbl>
      <w:tblPr>
        <w:tblW w:w="9643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5"/>
        <w:gridCol w:w="7938"/>
        <w:gridCol w:w="850"/>
      </w:tblGrid>
      <w:tr w:rsidR="00BD45B3" w:rsidRPr="0012167E" w:rsidTr="00690BBF">
        <w:tc>
          <w:tcPr>
            <w:tcW w:w="855" w:type="dxa"/>
            <w:tcBorders>
              <w:bottom w:val="single" w:sz="4" w:space="0" w:color="000000"/>
            </w:tcBorders>
          </w:tcPr>
          <w:p w:rsidR="00BD45B3" w:rsidRPr="0012167E" w:rsidRDefault="00BD45B3" w:rsidP="00690BBF">
            <w:pPr>
              <w:spacing w:before="60" w:after="60" w:line="240" w:lineRule="auto"/>
              <w:ind w:firstLine="1134"/>
              <w:rPr>
                <w:b/>
                <w:bCs/>
                <w:color w:val="000000"/>
              </w:rPr>
            </w:pPr>
            <w:r w:rsidRPr="0012167E">
              <w:rPr>
                <w:b/>
                <w:color w:val="000000"/>
              </w:rPr>
              <w:t>P6</w:t>
            </w:r>
            <w:r>
              <w:rPr>
                <w:b/>
                <w:color w:val="000000"/>
              </w:rPr>
              <w:t>2</w:t>
            </w:r>
            <w:r w:rsidRPr="0012167E">
              <w:rPr>
                <w:b/>
                <w:color w:val="000000"/>
              </w:rPr>
              <w:t>X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BD45B3" w:rsidRPr="0012167E" w:rsidRDefault="00BD45B3" w:rsidP="00690BBF">
            <w:pPr>
              <w:spacing w:before="240" w:after="60" w:line="240" w:lineRule="auto"/>
              <w:ind w:firstLine="1134"/>
              <w:jc w:val="center"/>
              <w:rPr>
                <w:b/>
                <w:bCs/>
                <w:color w:val="000000"/>
              </w:rPr>
            </w:pPr>
            <w:r w:rsidRPr="0012167E">
              <w:rPr>
                <w:b/>
                <w:bCs/>
                <w:color w:val="000000"/>
              </w:rPr>
              <w:t>PACKING INSTRUCTION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D45B3" w:rsidRPr="0012167E" w:rsidRDefault="00BD45B3" w:rsidP="00690BBF">
            <w:pPr>
              <w:spacing w:before="60" w:after="60" w:line="240" w:lineRule="auto"/>
              <w:ind w:firstLine="1134"/>
              <w:rPr>
                <w:b/>
                <w:bCs/>
                <w:color w:val="000000"/>
              </w:rPr>
            </w:pPr>
            <w:r w:rsidRPr="0012167E">
              <w:rPr>
                <w:b/>
                <w:color w:val="000000"/>
              </w:rPr>
              <w:t>P 6</w:t>
            </w:r>
            <w:r>
              <w:rPr>
                <w:b/>
                <w:color w:val="000000"/>
              </w:rPr>
              <w:t>2</w:t>
            </w:r>
            <w:r w:rsidRPr="0012167E">
              <w:rPr>
                <w:b/>
                <w:color w:val="000000"/>
              </w:rPr>
              <w:t>X</w:t>
            </w:r>
          </w:p>
        </w:tc>
      </w:tr>
      <w:tr w:rsidR="00BD45B3" w:rsidRPr="0012167E" w:rsidTr="00690BBF">
        <w:tc>
          <w:tcPr>
            <w:tcW w:w="96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D45B3" w:rsidRPr="0012167E" w:rsidRDefault="00BD45B3" w:rsidP="00690BBF">
            <w:pPr>
              <w:spacing w:before="60" w:after="60" w:line="240" w:lineRule="auto"/>
              <w:ind w:firstLine="1134"/>
              <w:rPr>
                <w:color w:val="000000"/>
                <w:lang w:val="en-CA"/>
              </w:rPr>
            </w:pPr>
            <w:r w:rsidRPr="0012167E">
              <w:rPr>
                <w:color w:val="000000"/>
                <w:lang w:val="en-CA"/>
              </w:rPr>
              <w:t xml:space="preserve">This instruction applies to UN No.35XX </w:t>
            </w:r>
          </w:p>
        </w:tc>
      </w:tr>
      <w:tr w:rsidR="00BD45B3" w:rsidRPr="0012167E" w:rsidTr="00690BBF">
        <w:trPr>
          <w:trHeight w:val="4068"/>
        </w:trPr>
        <w:tc>
          <w:tcPr>
            <w:tcW w:w="9643" w:type="dxa"/>
            <w:gridSpan w:val="3"/>
          </w:tcPr>
          <w:p w:rsidR="00BD45B3" w:rsidRDefault="00BD45B3" w:rsidP="00690BBF">
            <w:pPr>
              <w:spacing w:before="60" w:after="60" w:line="240" w:lineRule="auto"/>
              <w:rPr>
                <w:color w:val="000000"/>
                <w:lang w:val="en-CA"/>
              </w:rPr>
            </w:pPr>
            <w:r w:rsidRPr="0012167E">
              <w:rPr>
                <w:color w:val="000000"/>
                <w:lang w:val="en-CA"/>
              </w:rPr>
              <w:t xml:space="preserve">The following </w:t>
            </w:r>
            <w:proofErr w:type="spellStart"/>
            <w:r w:rsidRPr="0012167E">
              <w:rPr>
                <w:color w:val="000000"/>
                <w:lang w:val="en-CA"/>
              </w:rPr>
              <w:t>packagings</w:t>
            </w:r>
            <w:proofErr w:type="spellEnd"/>
            <w:r w:rsidRPr="0012167E">
              <w:rPr>
                <w:color w:val="000000"/>
                <w:lang w:val="en-CA"/>
              </w:rPr>
              <w:t xml:space="preserve"> are authorized provided</w:t>
            </w:r>
            <w:r>
              <w:rPr>
                <w:color w:val="000000"/>
                <w:lang w:val="en-CA"/>
              </w:rPr>
              <w:t xml:space="preserve"> that</w:t>
            </w:r>
            <w:r w:rsidRPr="0012167E">
              <w:rPr>
                <w:color w:val="000000"/>
                <w:lang w:val="en-CA"/>
              </w:rPr>
              <w:t xml:space="preserve"> the </w:t>
            </w:r>
            <w:r>
              <w:rPr>
                <w:color w:val="000000"/>
                <w:lang w:val="en-CA"/>
              </w:rPr>
              <w:t>general</w:t>
            </w:r>
            <w:r w:rsidRPr="0012167E">
              <w:rPr>
                <w:color w:val="000000"/>
                <w:lang w:val="en-CA"/>
              </w:rPr>
              <w:t xml:space="preserve"> provisions of </w:t>
            </w:r>
            <w:r>
              <w:rPr>
                <w:color w:val="000000"/>
                <w:lang w:val="en-CA"/>
              </w:rPr>
              <w:t xml:space="preserve">4.1.8 </w:t>
            </w:r>
            <w:r w:rsidRPr="0012167E">
              <w:rPr>
                <w:color w:val="000000"/>
                <w:lang w:val="en-CA"/>
              </w:rPr>
              <w:t xml:space="preserve"> are met:</w:t>
            </w:r>
          </w:p>
          <w:p w:rsidR="00BD45B3" w:rsidRPr="0012167E" w:rsidRDefault="00BD45B3" w:rsidP="00690BBF">
            <w:pPr>
              <w:spacing w:before="60" w:after="60" w:line="240" w:lineRule="auto"/>
              <w:rPr>
                <w:color w:val="000000"/>
                <w:lang w:val="en-CA"/>
              </w:rPr>
            </w:pPr>
            <w:proofErr w:type="spellStart"/>
            <w:r>
              <w:rPr>
                <w:color w:val="000000"/>
                <w:lang w:val="en-CA"/>
              </w:rPr>
              <w:t>Packagings</w:t>
            </w:r>
            <w:proofErr w:type="spellEnd"/>
            <w:r>
              <w:rPr>
                <w:color w:val="000000"/>
                <w:lang w:val="en-CA"/>
              </w:rPr>
              <w:t xml:space="preserve"> meeting the requirements of Chapter 6.3 and approved accordingly consisting of</w:t>
            </w:r>
          </w:p>
          <w:p w:rsidR="00BD45B3" w:rsidRPr="007249FE" w:rsidRDefault="00BD45B3" w:rsidP="00690BBF">
            <w:pPr>
              <w:pStyle w:val="Default"/>
              <w:tabs>
                <w:tab w:val="left" w:pos="453"/>
              </w:tabs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7249FE">
              <w:rPr>
                <w:sz w:val="20"/>
                <w:szCs w:val="20"/>
                <w:lang w:val="en-US"/>
              </w:rPr>
              <w:t>(a)</w:t>
            </w:r>
            <w:r w:rsidRPr="007249FE"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An i</w:t>
            </w:r>
            <w:r w:rsidRPr="007249FE">
              <w:rPr>
                <w:sz w:val="20"/>
                <w:szCs w:val="20"/>
                <w:lang w:val="en-US"/>
              </w:rPr>
              <w:t>nner packaging comprising:</w:t>
            </w:r>
          </w:p>
          <w:p w:rsidR="00BD45B3" w:rsidRPr="007249FE" w:rsidRDefault="00BD45B3" w:rsidP="00BD45B3">
            <w:pPr>
              <w:pStyle w:val="SingleTxtG"/>
              <w:numPr>
                <w:ilvl w:val="0"/>
                <w:numId w:val="43"/>
              </w:numPr>
              <w:jc w:val="left"/>
              <w:rPr>
                <w:lang w:val="en-US"/>
              </w:rPr>
            </w:pPr>
            <w:r w:rsidRPr="001D1920">
              <w:rPr>
                <w:highlight w:val="lightGray"/>
                <w:lang w:val="en-US"/>
              </w:rPr>
              <w:t>a primary</w:t>
            </w:r>
            <w:r w:rsidRPr="007249FE">
              <w:rPr>
                <w:lang w:val="en-US"/>
              </w:rPr>
              <w:t xml:space="preserve"> receptacle;</w:t>
            </w:r>
          </w:p>
          <w:p w:rsidR="00BD45B3" w:rsidRPr="007249FE" w:rsidRDefault="00BD45B3" w:rsidP="00BD45B3">
            <w:pPr>
              <w:pStyle w:val="SingleTxtG"/>
              <w:numPr>
                <w:ilvl w:val="0"/>
                <w:numId w:val="43"/>
              </w:numPr>
              <w:jc w:val="left"/>
              <w:rPr>
                <w:lang w:val="en-US"/>
              </w:rPr>
            </w:pPr>
            <w:r w:rsidRPr="001D1920">
              <w:rPr>
                <w:highlight w:val="lightGray"/>
                <w:lang w:val="en-US"/>
              </w:rPr>
              <w:t>a secondary</w:t>
            </w:r>
            <w:r w:rsidRPr="007249FE">
              <w:rPr>
                <w:lang w:val="en-US"/>
              </w:rPr>
              <w:t xml:space="preserve"> packaging;</w:t>
            </w:r>
          </w:p>
          <w:p w:rsidR="00BD45B3" w:rsidRDefault="00BD45B3" w:rsidP="00BD45B3">
            <w:pPr>
              <w:pStyle w:val="SingleTxtG"/>
              <w:numPr>
                <w:ilvl w:val="0"/>
                <w:numId w:val="43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sufficient</w:t>
            </w:r>
            <w:r w:rsidRPr="007249FE">
              <w:rPr>
                <w:lang w:val="en-US"/>
              </w:rPr>
              <w:t xml:space="preserve"> absorbent material to absorb the entire </w:t>
            </w:r>
            <w:r>
              <w:rPr>
                <w:lang w:val="en-US"/>
              </w:rPr>
              <w:t>amount of liquid present</w:t>
            </w:r>
            <w:r w:rsidRPr="007249FE">
              <w:rPr>
                <w:lang w:val="en-US"/>
              </w:rPr>
              <w:t xml:space="preserve">; </w:t>
            </w:r>
          </w:p>
          <w:p w:rsidR="00BD45B3" w:rsidRDefault="00BD45B3" w:rsidP="00690BBF">
            <w:pPr>
              <w:pStyle w:val="SingleTxtG"/>
              <w:ind w:left="513"/>
              <w:jc w:val="left"/>
              <w:rPr>
                <w:lang w:val="en-US"/>
              </w:rPr>
            </w:pPr>
            <w:r>
              <w:rPr>
                <w:lang w:val="en-US"/>
              </w:rPr>
              <w:t>Each secondary packaging shall contain only one primary receptacle. The primary receptacle and the secondary packaging shall be of metal or plastics.</w:t>
            </w:r>
          </w:p>
          <w:p w:rsidR="00BD45B3" w:rsidRDefault="00BD45B3" w:rsidP="00690BBF">
            <w:pPr>
              <w:pStyle w:val="SingleTxtG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(b)      A rigid outer packaging:</w:t>
            </w:r>
          </w:p>
          <w:p w:rsidR="00BD45B3" w:rsidRDefault="00BD45B3" w:rsidP="00690BBF">
            <w:pPr>
              <w:spacing w:before="60" w:after="60" w:line="240" w:lineRule="auto"/>
              <w:ind w:left="513" w:firstLine="1276"/>
              <w:rPr>
                <w:lang w:val="en-US"/>
              </w:rPr>
            </w:pPr>
            <w:r>
              <w:rPr>
                <w:lang w:val="en-US"/>
              </w:rPr>
              <w:t>Drums (1A2, 1B2, 1N2, 1H2)</w:t>
            </w:r>
          </w:p>
          <w:p w:rsidR="00BD45B3" w:rsidRDefault="00BD45B3" w:rsidP="00690BBF">
            <w:pPr>
              <w:spacing w:before="60" w:after="60" w:line="240" w:lineRule="auto"/>
              <w:ind w:left="513" w:firstLine="1276"/>
              <w:rPr>
                <w:lang w:val="en-US"/>
              </w:rPr>
            </w:pPr>
            <w:r>
              <w:rPr>
                <w:lang w:val="en-US"/>
              </w:rPr>
              <w:t xml:space="preserve">Boxes (4A, 4B, 4 N, </w:t>
            </w:r>
            <w:r w:rsidRPr="00506A85">
              <w:rPr>
                <w:highlight w:val="lightGray"/>
                <w:lang w:val="en-US"/>
              </w:rPr>
              <w:t>4G,</w:t>
            </w:r>
            <w:r>
              <w:rPr>
                <w:lang w:val="en-US"/>
              </w:rPr>
              <w:t xml:space="preserve"> 4H2)</w:t>
            </w:r>
          </w:p>
          <w:p w:rsidR="00BD45B3" w:rsidRPr="004F3D05" w:rsidRDefault="00BD45B3" w:rsidP="00690BBF">
            <w:pPr>
              <w:spacing w:before="60" w:after="60" w:line="240" w:lineRule="auto"/>
              <w:ind w:left="513" w:firstLine="1276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Jerricans</w:t>
            </w:r>
            <w:proofErr w:type="spellEnd"/>
            <w:r>
              <w:rPr>
                <w:lang w:val="en-US"/>
              </w:rPr>
              <w:t xml:space="preserve"> (3A2, 3B2, 3H2)</w:t>
            </w:r>
          </w:p>
        </w:tc>
      </w:tr>
      <w:tr w:rsidR="00BD45B3" w:rsidRPr="0012167E" w:rsidTr="00690BBF">
        <w:trPr>
          <w:trHeight w:val="244"/>
        </w:trPr>
        <w:tc>
          <w:tcPr>
            <w:tcW w:w="9643" w:type="dxa"/>
            <w:gridSpan w:val="3"/>
            <w:tcBorders>
              <w:top w:val="single" w:sz="4" w:space="0" w:color="000000"/>
              <w:bottom w:val="nil"/>
            </w:tcBorders>
          </w:tcPr>
          <w:p w:rsidR="00BD45B3" w:rsidRPr="00506A85" w:rsidRDefault="00BD45B3" w:rsidP="00690BBF">
            <w:pPr>
              <w:spacing w:before="60" w:after="60" w:line="240" w:lineRule="auto"/>
              <w:rPr>
                <w:color w:val="000000"/>
              </w:rPr>
            </w:pPr>
            <w:r w:rsidRPr="00506A85">
              <w:rPr>
                <w:b/>
                <w:color w:val="000000"/>
              </w:rPr>
              <w:t>Additional requirement</w:t>
            </w:r>
            <w:r w:rsidRPr="00506A85">
              <w:rPr>
                <w:color w:val="000000"/>
              </w:rPr>
              <w:t>:</w:t>
            </w:r>
          </w:p>
        </w:tc>
      </w:tr>
      <w:tr w:rsidR="00BD45B3" w:rsidRPr="008207B6" w:rsidTr="00690BBF">
        <w:trPr>
          <w:trHeight w:val="360"/>
        </w:trPr>
        <w:tc>
          <w:tcPr>
            <w:tcW w:w="9643" w:type="dxa"/>
            <w:gridSpan w:val="3"/>
            <w:tcBorders>
              <w:top w:val="nil"/>
              <w:bottom w:val="nil"/>
            </w:tcBorders>
            <w:vAlign w:val="center"/>
          </w:tcPr>
          <w:p w:rsidR="00BD45B3" w:rsidRPr="00506A85" w:rsidRDefault="00BD45B3" w:rsidP="00BD45B3">
            <w:pPr>
              <w:numPr>
                <w:ilvl w:val="0"/>
                <w:numId w:val="42"/>
              </w:numPr>
              <w:spacing w:before="60" w:after="60" w:line="240" w:lineRule="auto"/>
              <w:ind w:left="230" w:hanging="230"/>
              <w:rPr>
                <w:color w:val="000000"/>
                <w:highlight w:val="lightGray"/>
                <w:lang w:val="en-CA"/>
              </w:rPr>
            </w:pPr>
            <w:r w:rsidRPr="00506A85">
              <w:rPr>
                <w:highlight w:val="lightGray"/>
              </w:rPr>
              <w:t xml:space="preserve">The </w:t>
            </w:r>
            <w:r w:rsidRPr="00506A85">
              <w:rPr>
                <w:highlight w:val="lightGray"/>
                <w:lang w:val="en-US"/>
              </w:rPr>
              <w:t xml:space="preserve">primary receptacle or the secondary packaging shall be capable of passing a </w:t>
            </w:r>
            <w:proofErr w:type="spellStart"/>
            <w:r w:rsidRPr="00506A85">
              <w:rPr>
                <w:highlight w:val="lightGray"/>
                <w:lang w:val="en-US"/>
              </w:rPr>
              <w:t>leakproofness</w:t>
            </w:r>
            <w:proofErr w:type="spellEnd"/>
            <w:r w:rsidRPr="00506A85">
              <w:rPr>
                <w:highlight w:val="lightGray"/>
                <w:lang w:val="en-US"/>
              </w:rPr>
              <w:t xml:space="preserve"> test according to 6.1.5.4. The air pressure to be applied shall be not less than 30 </w:t>
            </w:r>
            <w:proofErr w:type="spellStart"/>
            <w:r w:rsidRPr="00506A85">
              <w:rPr>
                <w:highlight w:val="lightGray"/>
                <w:lang w:val="en-US"/>
              </w:rPr>
              <w:t>kPa</w:t>
            </w:r>
            <w:proofErr w:type="spellEnd"/>
            <w:r w:rsidRPr="00506A85">
              <w:rPr>
                <w:highlight w:val="lightGray"/>
                <w:lang w:val="en-US"/>
              </w:rPr>
              <w:t>.</w:t>
            </w:r>
          </w:p>
          <w:p w:rsidR="00BD45B3" w:rsidRPr="00506A85" w:rsidRDefault="00BD45B3" w:rsidP="00BD45B3">
            <w:pPr>
              <w:numPr>
                <w:ilvl w:val="0"/>
                <w:numId w:val="42"/>
              </w:numPr>
              <w:spacing w:before="60" w:after="60" w:line="240" w:lineRule="auto"/>
              <w:ind w:left="230" w:hanging="230"/>
              <w:rPr>
                <w:color w:val="000000"/>
                <w:lang w:val="en-CA"/>
              </w:rPr>
            </w:pPr>
            <w:r w:rsidRPr="00506A85">
              <w:rPr>
                <w:color w:val="000000"/>
                <w:lang w:val="en-CA"/>
              </w:rPr>
              <w:t>The exterior surface of the primary and</w:t>
            </w:r>
            <w:r w:rsidRPr="00506A85">
              <w:rPr>
                <w:color w:val="000000"/>
                <w:highlight w:val="lightGray"/>
                <w:lang w:val="en-CA"/>
              </w:rPr>
              <w:t>/or</w:t>
            </w:r>
            <w:r>
              <w:rPr>
                <w:color w:val="000000"/>
                <w:lang w:val="en-CA"/>
              </w:rPr>
              <w:t xml:space="preserve"> </w:t>
            </w:r>
            <w:r w:rsidRPr="00506A85">
              <w:rPr>
                <w:color w:val="000000"/>
                <w:lang w:val="en-CA"/>
              </w:rPr>
              <w:t xml:space="preserve">secondary </w:t>
            </w:r>
            <w:proofErr w:type="spellStart"/>
            <w:r w:rsidRPr="00506A85">
              <w:rPr>
                <w:color w:val="000000"/>
                <w:lang w:val="en-CA"/>
              </w:rPr>
              <w:t>packagings</w:t>
            </w:r>
            <w:proofErr w:type="spellEnd"/>
            <w:r w:rsidRPr="00506A85">
              <w:rPr>
                <w:color w:val="000000"/>
                <w:lang w:val="en-CA"/>
              </w:rPr>
              <w:t xml:space="preserve"> shall be disinfected before being packed into the outer packaging respectively as recommended by the Competent Public Health Authority. </w:t>
            </w:r>
          </w:p>
          <w:p w:rsidR="00BD45B3" w:rsidRPr="00506A85" w:rsidRDefault="00BD45B3" w:rsidP="00BD45B3">
            <w:pPr>
              <w:numPr>
                <w:ilvl w:val="0"/>
                <w:numId w:val="42"/>
              </w:numPr>
              <w:spacing w:before="60" w:after="60" w:line="240" w:lineRule="auto"/>
              <w:ind w:left="230" w:hanging="230"/>
              <w:rPr>
                <w:b/>
                <w:color w:val="000000"/>
                <w:lang w:val="en-CA"/>
              </w:rPr>
            </w:pPr>
            <w:r w:rsidRPr="004B4810">
              <w:rPr>
                <w:color w:val="000000" w:themeColor="text1"/>
                <w:highlight w:val="lightGray"/>
                <w:lang w:val="en-CA"/>
              </w:rPr>
              <w:t xml:space="preserve">For sharp objects such as needles and broken glass, the primary receptacle shall be resistant to puncture or an additional </w:t>
            </w:r>
            <w:proofErr w:type="gramStart"/>
            <w:r w:rsidRPr="004B4810">
              <w:rPr>
                <w:color w:val="000000" w:themeColor="text1"/>
                <w:highlight w:val="lightGray"/>
                <w:lang w:val="en-CA"/>
              </w:rPr>
              <w:t>packaging  resistant</w:t>
            </w:r>
            <w:proofErr w:type="gramEnd"/>
            <w:r w:rsidRPr="004B4810">
              <w:rPr>
                <w:color w:val="000000" w:themeColor="text1"/>
                <w:highlight w:val="lightGray"/>
                <w:lang w:val="en-CA"/>
              </w:rPr>
              <w:t xml:space="preserve"> to puncture shall be used.</w:t>
            </w:r>
            <w:r w:rsidRPr="004B4810">
              <w:rPr>
                <w:color w:val="000000" w:themeColor="text1"/>
                <w:lang w:val="en-CA"/>
              </w:rPr>
              <w:t xml:space="preserve">   </w:t>
            </w:r>
          </w:p>
        </w:tc>
      </w:tr>
      <w:tr w:rsidR="00BD45B3" w:rsidRPr="008207B6" w:rsidTr="00690BBF">
        <w:trPr>
          <w:trHeight w:val="66"/>
        </w:trPr>
        <w:tc>
          <w:tcPr>
            <w:tcW w:w="9643" w:type="dxa"/>
            <w:gridSpan w:val="3"/>
            <w:tcBorders>
              <w:top w:val="nil"/>
            </w:tcBorders>
            <w:vAlign w:val="center"/>
          </w:tcPr>
          <w:p w:rsidR="00BD45B3" w:rsidRPr="0012167E" w:rsidRDefault="00BD45B3" w:rsidP="00690BBF">
            <w:pPr>
              <w:spacing w:before="60" w:after="60" w:line="240" w:lineRule="auto"/>
              <w:ind w:left="230"/>
              <w:rPr>
                <w:color w:val="000000"/>
                <w:lang w:val="en-CA"/>
              </w:rPr>
            </w:pPr>
          </w:p>
        </w:tc>
      </w:tr>
    </w:tbl>
    <w:p w:rsidR="00BD45B3" w:rsidRDefault="00BD45B3" w:rsidP="00BD45B3">
      <w:pPr>
        <w:pStyle w:val="SingleTxtG"/>
        <w:spacing w:before="240"/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  <w:t xml:space="preserve">Amend 6.3.4 as follows: </w:t>
      </w:r>
    </w:p>
    <w:p w:rsidR="00BD45B3" w:rsidRPr="003B6A8A" w:rsidRDefault="00BD45B3" w:rsidP="00BD45B3">
      <w:pPr>
        <w:pStyle w:val="SingleTxtG"/>
        <w:ind w:firstLine="567"/>
        <w:rPr>
          <w:lang w:val="en-US"/>
        </w:rPr>
      </w:pPr>
      <w:r w:rsidRPr="003B6A8A">
        <w:rPr>
          <w:lang w:val="en-US"/>
        </w:rPr>
        <w:t>Insert two new paragraphs 6.3.4.2 (d) and (e):</w:t>
      </w:r>
    </w:p>
    <w:p w:rsidR="00BD45B3" w:rsidRPr="003B6A8A" w:rsidRDefault="00BD45B3" w:rsidP="00BD45B3">
      <w:pPr>
        <w:pStyle w:val="SingleTxtG"/>
        <w:ind w:left="1701"/>
        <w:rPr>
          <w:lang w:val="en-US"/>
        </w:rPr>
      </w:pPr>
      <w:r w:rsidRPr="003B6A8A">
        <w:rPr>
          <w:lang w:val="en-US"/>
        </w:rPr>
        <w:t xml:space="preserve">“(d) </w:t>
      </w:r>
      <w:r w:rsidRPr="003B6A8A">
        <w:rPr>
          <w:lang w:val="en-US"/>
        </w:rPr>
        <w:tab/>
        <w:t xml:space="preserve">For </w:t>
      </w:r>
      <w:proofErr w:type="spellStart"/>
      <w:r w:rsidRPr="003B6A8A">
        <w:rPr>
          <w:lang w:val="en-US"/>
        </w:rPr>
        <w:t>packagings</w:t>
      </w:r>
      <w:proofErr w:type="spellEnd"/>
      <w:r w:rsidRPr="003B6A8A">
        <w:rPr>
          <w:lang w:val="en-US"/>
        </w:rPr>
        <w:t xml:space="preserve"> tested for solid infectious substances only, the maximum gross mass in kilograms; </w:t>
      </w:r>
    </w:p>
    <w:p w:rsidR="00BD45B3" w:rsidRPr="003B6A8A" w:rsidRDefault="00BD45B3" w:rsidP="00BD45B3">
      <w:pPr>
        <w:pStyle w:val="SingleTxtG"/>
        <w:ind w:firstLine="567"/>
        <w:rPr>
          <w:lang w:val="en-US"/>
        </w:rPr>
      </w:pPr>
      <w:r w:rsidRPr="003B6A8A">
        <w:rPr>
          <w:lang w:val="en-US"/>
        </w:rPr>
        <w:t xml:space="preserve">(e) </w:t>
      </w:r>
      <w:r w:rsidRPr="003B6A8A">
        <w:rPr>
          <w:lang w:val="en-US"/>
        </w:rPr>
        <w:tab/>
        <w:t xml:space="preserve">For </w:t>
      </w:r>
      <w:proofErr w:type="spellStart"/>
      <w:r w:rsidRPr="003B6A8A">
        <w:rPr>
          <w:lang w:val="en-US"/>
        </w:rPr>
        <w:t>packagings</w:t>
      </w:r>
      <w:proofErr w:type="spellEnd"/>
      <w:r w:rsidRPr="003B6A8A">
        <w:rPr>
          <w:lang w:val="en-US"/>
        </w:rPr>
        <w:t xml:space="preserve"> tested for solid infectious substances only, the letter "S";”</w:t>
      </w:r>
    </w:p>
    <w:p w:rsidR="00BD45B3" w:rsidRPr="003B6A8A" w:rsidRDefault="00BD45B3" w:rsidP="00BD45B3">
      <w:pPr>
        <w:pStyle w:val="SingleTxtG"/>
        <w:rPr>
          <w:lang w:val="en-US"/>
        </w:rPr>
      </w:pPr>
      <w:r w:rsidRPr="003B6A8A">
        <w:rPr>
          <w:lang w:val="en-US"/>
        </w:rPr>
        <w:t>The remaining entries of the list in 6.3.4.2 change from (d) – (g) to (f) – (</w:t>
      </w:r>
      <w:proofErr w:type="spellStart"/>
      <w:r w:rsidRPr="003B6A8A">
        <w:rPr>
          <w:lang w:val="en-US"/>
        </w:rPr>
        <w:t>i</w:t>
      </w:r>
      <w:proofErr w:type="spellEnd"/>
      <w:r w:rsidRPr="003B6A8A">
        <w:rPr>
          <w:lang w:val="en-US"/>
        </w:rPr>
        <w:t>) respectively.</w:t>
      </w:r>
      <w:r>
        <w:rPr>
          <w:lang w:val="en-US"/>
        </w:rPr>
        <w:t xml:space="preserve"> </w:t>
      </w:r>
      <w:r w:rsidRPr="003B6A8A">
        <w:rPr>
          <w:lang w:val="en-US"/>
        </w:rPr>
        <w:t>In 6.3.4.3, replace “6.3.4.2 (a) to (g)” with “6.3.4.2 (a) to (</w:t>
      </w:r>
      <w:proofErr w:type="spellStart"/>
      <w:r w:rsidRPr="003B6A8A">
        <w:rPr>
          <w:lang w:val="en-US"/>
        </w:rPr>
        <w:t>i</w:t>
      </w:r>
      <w:proofErr w:type="spellEnd"/>
      <w:r w:rsidRPr="003B6A8A">
        <w:rPr>
          <w:lang w:val="en-US"/>
        </w:rPr>
        <w:t>)”.</w:t>
      </w:r>
    </w:p>
    <w:p w:rsidR="00BD45B3" w:rsidRPr="003B6A8A" w:rsidRDefault="00BD45B3" w:rsidP="00BD45B3">
      <w:pPr>
        <w:pStyle w:val="SingleTxtG"/>
        <w:rPr>
          <w:lang w:val="en-US"/>
        </w:rPr>
      </w:pPr>
      <w:r w:rsidRPr="003B6A8A">
        <w:rPr>
          <w:lang w:val="en-US"/>
        </w:rPr>
        <w:t>Amend 6.3.4.4 as follows:</w:t>
      </w:r>
    </w:p>
    <w:p w:rsidR="00BD45B3" w:rsidRPr="003B6A8A" w:rsidRDefault="00BD45B3" w:rsidP="00BD45B3">
      <w:pPr>
        <w:pStyle w:val="SingleTxtG"/>
        <w:rPr>
          <w:lang w:val="en-US"/>
        </w:rPr>
      </w:pPr>
      <w:r w:rsidRPr="003B6A8A">
        <w:rPr>
          <w:lang w:val="en-US"/>
        </w:rPr>
        <w:t>6.3.4.4 Examples of marking</w:t>
      </w:r>
    </w:p>
    <w:p w:rsidR="00BD45B3" w:rsidRPr="003B6A8A" w:rsidRDefault="00BD45B3" w:rsidP="00BD45B3">
      <w:pPr>
        <w:pStyle w:val="SingleTxtG"/>
        <w:rPr>
          <w:lang w:val="en-US"/>
        </w:rPr>
      </w:pPr>
      <w:r w:rsidRPr="003B6A8A">
        <w:rPr>
          <w:lang w:val="en-US"/>
        </w:rPr>
        <w:t>4G/CLASS 6.2/06</w:t>
      </w:r>
      <w:r w:rsidRPr="003B6A8A">
        <w:rPr>
          <w:lang w:val="en-US"/>
        </w:rPr>
        <w:tab/>
      </w:r>
      <w:r w:rsidRPr="003B6A8A">
        <w:rPr>
          <w:lang w:val="en-US"/>
        </w:rPr>
        <w:tab/>
      </w:r>
      <w:r w:rsidRPr="003B6A8A">
        <w:rPr>
          <w:lang w:val="en-US"/>
        </w:rPr>
        <w:tab/>
        <w:t xml:space="preserve">as in 6.3.4.2 (a), (b), (c) and </w:t>
      </w:r>
      <w:r w:rsidRPr="003B6A8A">
        <w:rPr>
          <w:u w:val="single"/>
          <w:lang w:val="en-US"/>
        </w:rPr>
        <w:t>(f)</w:t>
      </w:r>
    </w:p>
    <w:p w:rsidR="00BD45B3" w:rsidRPr="003B6A8A" w:rsidRDefault="00BD45B3" w:rsidP="00BD45B3">
      <w:pPr>
        <w:pStyle w:val="SingleTxtG"/>
        <w:rPr>
          <w:lang w:val="en-US"/>
        </w:rPr>
      </w:pPr>
      <w:r w:rsidRPr="003B6A8A">
        <w:rPr>
          <w:lang w:val="en-US"/>
        </w:rPr>
        <w:t>S/SP-9989-ERIKSSON</w:t>
      </w:r>
      <w:r w:rsidRPr="003B6A8A">
        <w:rPr>
          <w:lang w:val="en-US"/>
        </w:rPr>
        <w:tab/>
      </w:r>
      <w:r w:rsidRPr="003B6A8A">
        <w:rPr>
          <w:lang w:val="en-US"/>
        </w:rPr>
        <w:tab/>
        <w:t xml:space="preserve">as in 6.3.4.2 </w:t>
      </w:r>
      <w:r w:rsidRPr="003B6A8A">
        <w:rPr>
          <w:u w:val="single"/>
          <w:lang w:val="en-US"/>
        </w:rPr>
        <w:t>(g) and (h)</w:t>
      </w:r>
    </w:p>
    <w:p w:rsidR="00BD45B3" w:rsidRPr="003B6A8A" w:rsidRDefault="00BD45B3" w:rsidP="00BD45B3">
      <w:pPr>
        <w:pStyle w:val="SingleTxtG"/>
        <w:rPr>
          <w:u w:val="single"/>
          <w:lang w:val="en-US"/>
        </w:rPr>
      </w:pPr>
      <w:proofErr w:type="gramStart"/>
      <w:r w:rsidRPr="003B6A8A">
        <w:rPr>
          <w:u w:val="single"/>
          <w:lang w:val="en-US"/>
        </w:rPr>
        <w:t>4G/CLASS 6.2/15/S/06</w:t>
      </w:r>
      <w:r w:rsidRPr="003B6A8A">
        <w:rPr>
          <w:u w:val="single"/>
          <w:lang w:val="en-US"/>
        </w:rPr>
        <w:tab/>
      </w:r>
      <w:r w:rsidRPr="003B6A8A">
        <w:rPr>
          <w:u w:val="single"/>
          <w:lang w:val="en-US"/>
        </w:rPr>
        <w:tab/>
        <w:t>as in 6.3.4.2 (a), (b), (c), (d) and (e)</w:t>
      </w:r>
      <w:proofErr w:type="gramEnd"/>
    </w:p>
    <w:p w:rsidR="00BD45B3" w:rsidRPr="003B6A8A" w:rsidRDefault="00BD45B3" w:rsidP="00BD45B3">
      <w:pPr>
        <w:pStyle w:val="SingleTxtG"/>
        <w:rPr>
          <w:u w:val="single"/>
          <w:lang w:val="en-US"/>
        </w:rPr>
      </w:pPr>
      <w:r w:rsidRPr="003B6A8A">
        <w:rPr>
          <w:u w:val="single"/>
          <w:lang w:val="en-US"/>
        </w:rPr>
        <w:lastRenderedPageBreak/>
        <w:t>S/SP-9989-ERIKSSON</w:t>
      </w:r>
      <w:r w:rsidRPr="003B6A8A">
        <w:rPr>
          <w:u w:val="single"/>
          <w:lang w:val="en-US"/>
        </w:rPr>
        <w:tab/>
      </w:r>
      <w:r w:rsidRPr="003B6A8A">
        <w:rPr>
          <w:u w:val="single"/>
          <w:lang w:val="en-US"/>
        </w:rPr>
        <w:tab/>
        <w:t>as in 6.3.4.2 (g) and (h)</w:t>
      </w:r>
    </w:p>
    <w:p w:rsidR="00BD45B3" w:rsidRPr="003B6A8A" w:rsidRDefault="00BD45B3" w:rsidP="00BD45B3">
      <w:pPr>
        <w:pStyle w:val="SingleTxtG"/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</w:r>
      <w:r w:rsidRPr="003B6A8A">
        <w:rPr>
          <w:lang w:val="en-US"/>
        </w:rPr>
        <w:t>In 6.3.5.1.6 g) replace “6.3.4.2 (a) to (f)” with “6.3.4.2 (a) to (h)” and “6.3.4.2 (g)” with “6.3.4.2 (</w:t>
      </w:r>
      <w:proofErr w:type="spellStart"/>
      <w:r>
        <w:rPr>
          <w:lang w:val="en-US"/>
        </w:rPr>
        <w:t>i</w:t>
      </w:r>
      <w:proofErr w:type="spellEnd"/>
      <w:r w:rsidRPr="003B6A8A">
        <w:rPr>
          <w:lang w:val="en-US"/>
        </w:rPr>
        <w:t>)”.</w:t>
      </w:r>
    </w:p>
    <w:p w:rsidR="00BD45B3" w:rsidRPr="00072880" w:rsidRDefault="00BD45B3" w:rsidP="00BD45B3">
      <w:pPr>
        <w:pStyle w:val="SingleTxtG"/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</w:r>
      <w:r w:rsidRPr="00072880">
        <w:rPr>
          <w:lang w:val="en-US"/>
        </w:rPr>
        <w:t xml:space="preserve">Amend 6.3.5.2.1 to read as follows (new text </w:t>
      </w:r>
      <w:r w:rsidRPr="00072880">
        <w:rPr>
          <w:u w:val="single"/>
          <w:lang w:val="en-US"/>
        </w:rPr>
        <w:t>underlined</w:t>
      </w:r>
      <w:r w:rsidRPr="00072880">
        <w:rPr>
          <w:lang w:val="en-US"/>
        </w:rPr>
        <w:t>):</w:t>
      </w:r>
    </w:p>
    <w:p w:rsidR="00BD45B3" w:rsidRDefault="00BD45B3" w:rsidP="00BD45B3">
      <w:pPr>
        <w:pStyle w:val="SingleTxtG"/>
        <w:ind w:left="1701"/>
        <w:rPr>
          <w:u w:val="single"/>
          <w:lang w:val="en-US"/>
        </w:rPr>
      </w:pPr>
      <w:r w:rsidRPr="00072880">
        <w:rPr>
          <w:lang w:val="en-US"/>
        </w:rPr>
        <w:t xml:space="preserve"> “6.3.5.2.1 </w:t>
      </w:r>
      <w:r w:rsidRPr="00072880">
        <w:rPr>
          <w:lang w:val="en-US"/>
        </w:rPr>
        <w:tab/>
        <w:t>Samples of each packaging shall be prepared as for trans</w:t>
      </w:r>
      <w:r>
        <w:rPr>
          <w:lang w:val="en-US"/>
        </w:rPr>
        <w:t xml:space="preserve">port except that a liquid or solid </w:t>
      </w:r>
      <w:r w:rsidRPr="00072880">
        <w:rPr>
          <w:lang w:val="en-US"/>
        </w:rPr>
        <w:t>infectious substance shall be replaced by water or, where conditio</w:t>
      </w:r>
      <w:r>
        <w:rPr>
          <w:lang w:val="en-US"/>
        </w:rPr>
        <w:t xml:space="preserve">ning at -18 °C is specified, </w:t>
      </w:r>
      <w:r w:rsidRPr="00072880">
        <w:rPr>
          <w:lang w:val="en-US"/>
        </w:rPr>
        <w:t xml:space="preserve">by water/antifreeze. Each primary receptacle shall be filled to not less than 98 % of its capacity. </w:t>
      </w:r>
      <w:r w:rsidRPr="00072880">
        <w:rPr>
          <w:u w:val="single"/>
          <w:lang w:val="en-US"/>
        </w:rPr>
        <w:t xml:space="preserve">In deviation from this </w:t>
      </w:r>
      <w:r>
        <w:rPr>
          <w:u w:val="single"/>
          <w:lang w:val="en-US"/>
        </w:rPr>
        <w:t xml:space="preserve">primary receptacles of </w:t>
      </w:r>
      <w:proofErr w:type="spellStart"/>
      <w:r w:rsidRPr="00072880">
        <w:rPr>
          <w:u w:val="single"/>
          <w:lang w:val="en-US"/>
        </w:rPr>
        <w:t>packagings</w:t>
      </w:r>
      <w:proofErr w:type="spellEnd"/>
      <w:r w:rsidRPr="00072880">
        <w:rPr>
          <w:u w:val="single"/>
          <w:lang w:val="en-US"/>
        </w:rPr>
        <w:t xml:space="preserve"> for clinical waste of category A (UN No. 35XX) </w:t>
      </w:r>
      <w:r>
        <w:rPr>
          <w:u w:val="single"/>
          <w:lang w:val="en-US"/>
        </w:rPr>
        <w:t xml:space="preserve">maybe filled with solids to the </w:t>
      </w:r>
      <w:r w:rsidRPr="00072880">
        <w:rPr>
          <w:u w:val="single"/>
          <w:lang w:val="en-US"/>
        </w:rPr>
        <w:t>maxim</w:t>
      </w:r>
      <w:r>
        <w:rPr>
          <w:u w:val="single"/>
          <w:lang w:val="en-US"/>
        </w:rPr>
        <w:t xml:space="preserve">um gross mass at which they may be used. </w:t>
      </w:r>
    </w:p>
    <w:p w:rsidR="00BD45B3" w:rsidRDefault="00BD45B3" w:rsidP="00BD45B3">
      <w:pPr>
        <w:pStyle w:val="SingleTxtG"/>
        <w:rPr>
          <w:lang w:val="en-US"/>
        </w:rPr>
      </w:pPr>
      <w:r>
        <w:rPr>
          <w:lang w:val="en-US"/>
        </w:rPr>
        <w:t>20</w:t>
      </w:r>
      <w:r w:rsidRPr="00C94DAD">
        <w:rPr>
          <w:lang w:val="en-US"/>
        </w:rPr>
        <w:t xml:space="preserve">. </w:t>
      </w:r>
      <w:r>
        <w:rPr>
          <w:lang w:val="en-US"/>
        </w:rPr>
        <w:tab/>
      </w:r>
      <w:r w:rsidRPr="00C94DAD">
        <w:rPr>
          <w:lang w:val="en-US"/>
        </w:rPr>
        <w:t>Amend 6.3.5.3.1 to read as follows (new text</w:t>
      </w:r>
      <w:r>
        <w:rPr>
          <w:u w:val="single"/>
          <w:lang w:val="en-US"/>
        </w:rPr>
        <w:t xml:space="preserve"> underlined</w:t>
      </w:r>
      <w:r>
        <w:rPr>
          <w:lang w:val="en-US"/>
        </w:rPr>
        <w:t>):</w:t>
      </w:r>
    </w:p>
    <w:p w:rsidR="00BD45B3" w:rsidRDefault="00BD45B3" w:rsidP="00BD45B3">
      <w:pPr>
        <w:pStyle w:val="SingleTxtG"/>
        <w:ind w:left="1701"/>
        <w:rPr>
          <w:lang w:val="en-US"/>
        </w:rPr>
      </w:pPr>
      <w:r>
        <w:rPr>
          <w:lang w:val="en-US"/>
        </w:rPr>
        <w:t xml:space="preserve">“6.3.5.3.1 Samples shall be subjected to free-fall drops from a height of 9 m onto a non-resilient, horizontal, flat, massive and rigid </w:t>
      </w:r>
      <w:r w:rsidRPr="004348A2">
        <w:rPr>
          <w:lang w:val="en-US"/>
        </w:rPr>
        <w:t xml:space="preserve">surface in conformity with 6.1.5.3.4. </w:t>
      </w:r>
      <w:r w:rsidRPr="004348A2">
        <w:rPr>
          <w:u w:val="single"/>
          <w:lang w:val="en-US"/>
        </w:rPr>
        <w:t xml:space="preserve">The competent authority may permit equivalent </w:t>
      </w:r>
      <w:r>
        <w:rPr>
          <w:u w:val="single"/>
          <w:lang w:val="en-US"/>
        </w:rPr>
        <w:t xml:space="preserve">evaluation </w:t>
      </w:r>
      <w:r w:rsidRPr="004348A2">
        <w:rPr>
          <w:u w:val="single"/>
          <w:lang w:val="en-US"/>
        </w:rPr>
        <w:t>methods</w:t>
      </w:r>
      <w:proofErr w:type="gramStart"/>
      <w:r w:rsidRPr="004348A2">
        <w:rPr>
          <w:u w:val="single"/>
          <w:lang w:val="en-US"/>
        </w:rPr>
        <w:t>.</w:t>
      </w:r>
      <w:r w:rsidRPr="004348A2">
        <w:rPr>
          <w:lang w:val="en-US"/>
        </w:rPr>
        <w:t>“</w:t>
      </w:r>
      <w:proofErr w:type="gramEnd"/>
    </w:p>
    <w:p w:rsidR="00BD45B3" w:rsidRDefault="00BD45B3" w:rsidP="00BD45B3">
      <w:pPr>
        <w:pStyle w:val="SingleTxtG"/>
        <w:rPr>
          <w:u w:val="single"/>
          <w:lang w:val="en-US"/>
        </w:rPr>
      </w:pPr>
      <w:r>
        <w:rPr>
          <w:lang w:val="en-US"/>
        </w:rPr>
        <w:t>21</w:t>
      </w:r>
      <w:r w:rsidRPr="00154138">
        <w:rPr>
          <w:lang w:val="en-US"/>
        </w:rPr>
        <w:t xml:space="preserve">. </w:t>
      </w:r>
      <w:r w:rsidRPr="00154138">
        <w:rPr>
          <w:lang w:val="en-US"/>
        </w:rPr>
        <w:tab/>
        <w:t>Amend 6.3</w:t>
      </w:r>
      <w:r>
        <w:rPr>
          <w:lang w:val="en-US"/>
        </w:rPr>
        <w:t>.5.3.5</w:t>
      </w:r>
      <w:r w:rsidRPr="00154138">
        <w:rPr>
          <w:lang w:val="en-US"/>
        </w:rPr>
        <w:t xml:space="preserve"> to read as follows (new text</w:t>
      </w:r>
      <w:r w:rsidRPr="00AE054D">
        <w:rPr>
          <w:u w:val="single"/>
          <w:lang w:val="en-US"/>
        </w:rPr>
        <w:t xml:space="preserve"> underlined):</w:t>
      </w:r>
    </w:p>
    <w:p w:rsidR="00BD45B3" w:rsidRPr="009C7E1B" w:rsidRDefault="00BD45B3" w:rsidP="00BD45B3">
      <w:pPr>
        <w:pStyle w:val="SingleTxtG"/>
        <w:ind w:left="1701"/>
        <w:rPr>
          <w:u w:val="single"/>
          <w:lang w:val="en-US"/>
        </w:rPr>
      </w:pPr>
      <w:r w:rsidRPr="00154138">
        <w:rPr>
          <w:lang w:val="en-US"/>
        </w:rPr>
        <w:t xml:space="preserve">“6.3.5.3.5 Following the appropriate drop sequence, there shall be no leakage from the primary receptacle(s) which shall remain protected by </w:t>
      </w:r>
      <w:r>
        <w:rPr>
          <w:lang w:val="en-US"/>
        </w:rPr>
        <w:t xml:space="preserve">cushioning/adsorbent material in the secondary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. </w:t>
      </w:r>
      <w:r w:rsidRPr="00154138">
        <w:rPr>
          <w:u w:val="single"/>
          <w:lang w:val="en-US"/>
        </w:rPr>
        <w:t>For</w:t>
      </w:r>
      <w:r w:rsidRPr="00154138">
        <w:rPr>
          <w:u w:val="single"/>
        </w:rPr>
        <w:t xml:space="preserve"> </w:t>
      </w:r>
      <w:proofErr w:type="spellStart"/>
      <w:r w:rsidRPr="00154138">
        <w:rPr>
          <w:u w:val="single"/>
          <w:lang w:val="en-US"/>
        </w:rPr>
        <w:t>packagings</w:t>
      </w:r>
      <w:proofErr w:type="spellEnd"/>
      <w:r w:rsidRPr="00154138">
        <w:rPr>
          <w:u w:val="single"/>
          <w:lang w:val="en-US"/>
        </w:rPr>
        <w:t xml:space="preserve"> for clinical waste of category A (UN No. 35XX), the entire contents are retained by the inner receptacle, even if the closure while retaining its containment function, is no longer sift-proof.”</w:t>
      </w:r>
    </w:p>
    <w:p w:rsidR="00BD45B3" w:rsidRPr="00BD45B3" w:rsidRDefault="00BD45B3" w:rsidP="00BD45B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Default="00BD45B3" w:rsidP="00E64083">
      <w:pPr>
        <w:pStyle w:val="SingleTxtG"/>
      </w:pPr>
    </w:p>
    <w:p w:rsidR="00BD45B3" w:rsidRPr="00F61C10" w:rsidRDefault="00BD45B3" w:rsidP="00E64083">
      <w:pPr>
        <w:pStyle w:val="SingleTxtG"/>
      </w:pPr>
    </w:p>
    <w:sectPr w:rsidR="00BD45B3" w:rsidRPr="00F61C10" w:rsidSect="0020066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42" w:rsidRDefault="00D83742"/>
  </w:endnote>
  <w:endnote w:type="continuationSeparator" w:id="0">
    <w:p w:rsidR="00D83742" w:rsidRDefault="00D83742"/>
  </w:endnote>
  <w:endnote w:type="continuationNotice" w:id="1">
    <w:p w:rsidR="00D83742" w:rsidRDefault="00D83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2264E0" w:rsidRDefault="0037370B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BD45B3">
      <w:rPr>
        <w:b/>
        <w:noProof/>
        <w:sz w:val="18"/>
      </w:rPr>
      <w:t>4</w:t>
    </w:r>
    <w:r w:rsidRPr="002264E0">
      <w:rPr>
        <w:b/>
        <w:noProof/>
        <w:sz w:val="18"/>
      </w:rPr>
      <w:fldChar w:fldCharType="end"/>
    </w:r>
  </w:p>
  <w:p w:rsidR="0037370B" w:rsidRPr="0005570C" w:rsidRDefault="0037370B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7370B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BD45B3">
      <w:rPr>
        <w:b/>
        <w:noProof/>
        <w:sz w:val="18"/>
      </w:rPr>
      <w:t>5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42" w:rsidRPr="000B175B" w:rsidRDefault="00D8374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83742" w:rsidRPr="00FC68B7" w:rsidRDefault="00D8374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83742" w:rsidRDefault="00D83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B3" w:rsidRPr="00F54DDA" w:rsidRDefault="0037370B" w:rsidP="00F54DDA">
    <w:pPr>
      <w:pStyle w:val="Header"/>
      <w:rPr>
        <w:noProof/>
      </w:rPr>
    </w:pPr>
    <w:r w:rsidRPr="00F54DDA">
      <w:rPr>
        <w:noProof/>
      </w:rPr>
      <w:t>UN/SCETDG/</w:t>
    </w:r>
    <w:r w:rsidR="000575B3">
      <w:rPr>
        <w:noProof/>
      </w:rPr>
      <w:t>50</w:t>
    </w:r>
    <w:r>
      <w:rPr>
        <w:noProof/>
      </w:rPr>
      <w:t>/INF.</w:t>
    </w:r>
    <w:r w:rsidR="00E64083">
      <w:rPr>
        <w:noProof/>
      </w:rPr>
      <w:t>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A300E" w:rsidP="0005570C">
    <w:pPr>
      <w:pStyle w:val="Header"/>
      <w:jc w:val="right"/>
    </w:pPr>
    <w:r>
      <w:t>UN/SCETDG/50</w:t>
    </w:r>
    <w:r w:rsidR="0037370B" w:rsidRPr="00F54DDA">
      <w:t>/INF.</w:t>
    </w:r>
    <w:r w:rsidR="00BD45B3"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C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5E6F78"/>
    <w:multiLevelType w:val="hybridMultilevel"/>
    <w:tmpl w:val="3B56CC2E"/>
    <w:lvl w:ilvl="0" w:tplc="B32AFB48">
      <w:start w:val="1"/>
      <w:numFmt w:val="decimal"/>
      <w:lvlText w:val="%1."/>
      <w:lvlJc w:val="left"/>
      <w:pPr>
        <w:ind w:left="1266" w:hanging="569"/>
      </w:pPr>
      <w:rPr>
        <w:rFonts w:ascii="Times New Roman" w:eastAsia="Times New Roman" w:hAnsi="Times New Roman" w:hint="default"/>
        <w:spacing w:val="-2"/>
        <w:w w:val="99"/>
        <w:sz w:val="20"/>
        <w:szCs w:val="20"/>
      </w:rPr>
    </w:lvl>
    <w:lvl w:ilvl="1" w:tplc="A1302A42">
      <w:start w:val="1"/>
      <w:numFmt w:val="lowerLetter"/>
      <w:lvlText w:val="(%2)"/>
      <w:lvlJc w:val="left"/>
      <w:pPr>
        <w:ind w:left="2421" w:hanging="5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40E8BBC">
      <w:start w:val="1"/>
      <w:numFmt w:val="bullet"/>
      <w:lvlText w:val="•"/>
      <w:lvlJc w:val="left"/>
      <w:pPr>
        <w:ind w:left="3251" w:hanging="567"/>
      </w:pPr>
      <w:rPr>
        <w:rFonts w:hint="default"/>
      </w:rPr>
    </w:lvl>
    <w:lvl w:ilvl="3" w:tplc="1C7071E6">
      <w:start w:val="1"/>
      <w:numFmt w:val="bullet"/>
      <w:lvlText w:val="•"/>
      <w:lvlJc w:val="left"/>
      <w:pPr>
        <w:ind w:left="4083" w:hanging="567"/>
      </w:pPr>
      <w:rPr>
        <w:rFonts w:hint="default"/>
      </w:rPr>
    </w:lvl>
    <w:lvl w:ilvl="4" w:tplc="0A9083E2">
      <w:start w:val="1"/>
      <w:numFmt w:val="bullet"/>
      <w:lvlText w:val="•"/>
      <w:lvlJc w:val="left"/>
      <w:pPr>
        <w:ind w:left="4915" w:hanging="567"/>
      </w:pPr>
      <w:rPr>
        <w:rFonts w:hint="default"/>
      </w:rPr>
    </w:lvl>
    <w:lvl w:ilvl="5" w:tplc="E32E1546">
      <w:start w:val="1"/>
      <w:numFmt w:val="bullet"/>
      <w:lvlText w:val="•"/>
      <w:lvlJc w:val="left"/>
      <w:pPr>
        <w:ind w:left="5747" w:hanging="567"/>
      </w:pPr>
      <w:rPr>
        <w:rFonts w:hint="default"/>
      </w:rPr>
    </w:lvl>
    <w:lvl w:ilvl="6" w:tplc="8FEA834C">
      <w:start w:val="1"/>
      <w:numFmt w:val="bullet"/>
      <w:lvlText w:val="•"/>
      <w:lvlJc w:val="left"/>
      <w:pPr>
        <w:ind w:left="6579" w:hanging="567"/>
      </w:pPr>
      <w:rPr>
        <w:rFonts w:hint="default"/>
      </w:rPr>
    </w:lvl>
    <w:lvl w:ilvl="7" w:tplc="8AEE2F60">
      <w:start w:val="1"/>
      <w:numFmt w:val="bullet"/>
      <w:lvlText w:val="•"/>
      <w:lvlJc w:val="left"/>
      <w:pPr>
        <w:ind w:left="7410" w:hanging="567"/>
      </w:pPr>
      <w:rPr>
        <w:rFonts w:hint="default"/>
      </w:rPr>
    </w:lvl>
    <w:lvl w:ilvl="8" w:tplc="FD5A0338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13">
    <w:nsid w:val="03296123"/>
    <w:multiLevelType w:val="hybridMultilevel"/>
    <w:tmpl w:val="883611DE"/>
    <w:lvl w:ilvl="0" w:tplc="4CA273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4C44540"/>
    <w:multiLevelType w:val="hybridMultilevel"/>
    <w:tmpl w:val="EDDC9F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1B2C1DD2"/>
    <w:multiLevelType w:val="hybridMultilevel"/>
    <w:tmpl w:val="908261CA"/>
    <w:lvl w:ilvl="0" w:tplc="CA48CCD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D82B40"/>
    <w:multiLevelType w:val="hybridMultilevel"/>
    <w:tmpl w:val="D1F096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541"/>
    <w:multiLevelType w:val="hybridMultilevel"/>
    <w:tmpl w:val="EDC8B3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682138"/>
    <w:multiLevelType w:val="hybridMultilevel"/>
    <w:tmpl w:val="5B14AAAC"/>
    <w:lvl w:ilvl="0" w:tplc="233ADA6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1C96BB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26141AD"/>
    <w:multiLevelType w:val="hybridMultilevel"/>
    <w:tmpl w:val="BDB69580"/>
    <w:lvl w:ilvl="0" w:tplc="634CFB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4AFB49EA"/>
    <w:multiLevelType w:val="hybridMultilevel"/>
    <w:tmpl w:val="8976E57E"/>
    <w:lvl w:ilvl="0" w:tplc="F536A08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EF969EF"/>
    <w:multiLevelType w:val="hybridMultilevel"/>
    <w:tmpl w:val="7C262DBA"/>
    <w:lvl w:ilvl="0" w:tplc="65DAF21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D265208"/>
    <w:multiLevelType w:val="hybridMultilevel"/>
    <w:tmpl w:val="DDDAA094"/>
    <w:lvl w:ilvl="0" w:tplc="A07C219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31E3EA8"/>
    <w:multiLevelType w:val="hybridMultilevel"/>
    <w:tmpl w:val="DEF0180A"/>
    <w:lvl w:ilvl="0" w:tplc="8688A2D0">
      <w:start w:val="1"/>
      <w:numFmt w:val="decimal"/>
      <w:lvlText w:val="%1."/>
      <w:lvlJc w:val="left"/>
      <w:pPr>
        <w:ind w:left="80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>
    <w:nsid w:val="6FF30224"/>
    <w:multiLevelType w:val="hybridMultilevel"/>
    <w:tmpl w:val="9ECC6F9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11C1B4C"/>
    <w:multiLevelType w:val="hybridMultilevel"/>
    <w:tmpl w:val="E6A4C5F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14E0525"/>
    <w:multiLevelType w:val="hybridMultilevel"/>
    <w:tmpl w:val="F3EADE7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35F448C"/>
    <w:multiLevelType w:val="hybridMultilevel"/>
    <w:tmpl w:val="423A252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9D65D50"/>
    <w:multiLevelType w:val="hybridMultilevel"/>
    <w:tmpl w:val="005E5D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0"/>
  </w:num>
  <w:num w:numId="13">
    <w:abstractNumId w:val="11"/>
  </w:num>
  <w:num w:numId="14">
    <w:abstractNumId w:val="34"/>
  </w:num>
  <w:num w:numId="15">
    <w:abstractNumId w:val="17"/>
  </w:num>
  <w:num w:numId="16">
    <w:abstractNumId w:val="14"/>
  </w:num>
  <w:num w:numId="17">
    <w:abstractNumId w:val="40"/>
  </w:num>
  <w:num w:numId="18">
    <w:abstractNumId w:val="24"/>
  </w:num>
  <w:num w:numId="19">
    <w:abstractNumId w:val="15"/>
  </w:num>
  <w:num w:numId="20">
    <w:abstractNumId w:val="28"/>
  </w:num>
  <w:num w:numId="21">
    <w:abstractNumId w:val="18"/>
  </w:num>
  <w:num w:numId="22">
    <w:abstractNumId w:val="31"/>
  </w:num>
  <w:num w:numId="23">
    <w:abstractNumId w:val="42"/>
  </w:num>
  <w:num w:numId="24">
    <w:abstractNumId w:val="33"/>
  </w:num>
  <w:num w:numId="25">
    <w:abstractNumId w:val="39"/>
  </w:num>
  <w:num w:numId="26">
    <w:abstractNumId w:val="32"/>
  </w:num>
  <w:num w:numId="27">
    <w:abstractNumId w:val="21"/>
  </w:num>
  <w:num w:numId="28">
    <w:abstractNumId w:val="38"/>
  </w:num>
  <w:num w:numId="29">
    <w:abstractNumId w:val="41"/>
  </w:num>
  <w:num w:numId="30">
    <w:abstractNumId w:val="10"/>
  </w:num>
  <w:num w:numId="31">
    <w:abstractNumId w:val="19"/>
  </w:num>
  <w:num w:numId="32">
    <w:abstractNumId w:val="26"/>
  </w:num>
  <w:num w:numId="33">
    <w:abstractNumId w:val="29"/>
  </w:num>
  <w:num w:numId="34">
    <w:abstractNumId w:val="27"/>
  </w:num>
  <w:num w:numId="35">
    <w:abstractNumId w:val="30"/>
  </w:num>
  <w:num w:numId="36">
    <w:abstractNumId w:val="23"/>
  </w:num>
  <w:num w:numId="37">
    <w:abstractNumId w:val="36"/>
  </w:num>
  <w:num w:numId="38">
    <w:abstractNumId w:val="25"/>
  </w:num>
  <w:num w:numId="39">
    <w:abstractNumId w:val="16"/>
  </w:num>
  <w:num w:numId="40">
    <w:abstractNumId w:val="12"/>
  </w:num>
  <w:num w:numId="41">
    <w:abstractNumId w:val="37"/>
  </w:num>
  <w:num w:numId="42">
    <w:abstractNumId w:val="35"/>
  </w:num>
  <w:num w:numId="4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2A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575B3"/>
    <w:rsid w:val="00064F24"/>
    <w:rsid w:val="000669D9"/>
    <w:rsid w:val="00067C1A"/>
    <w:rsid w:val="00071BC5"/>
    <w:rsid w:val="000729A7"/>
    <w:rsid w:val="00072C8C"/>
    <w:rsid w:val="000732CC"/>
    <w:rsid w:val="00073E97"/>
    <w:rsid w:val="00074826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1680"/>
    <w:rsid w:val="000C6C2B"/>
    <w:rsid w:val="000D43C8"/>
    <w:rsid w:val="000E0415"/>
    <w:rsid w:val="000E572A"/>
    <w:rsid w:val="000E66E3"/>
    <w:rsid w:val="000E73E3"/>
    <w:rsid w:val="000F142C"/>
    <w:rsid w:val="000F143A"/>
    <w:rsid w:val="000F5FF7"/>
    <w:rsid w:val="0010134F"/>
    <w:rsid w:val="001017E2"/>
    <w:rsid w:val="00103C0E"/>
    <w:rsid w:val="001060EA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6063F"/>
    <w:rsid w:val="001633FB"/>
    <w:rsid w:val="00166B07"/>
    <w:rsid w:val="00170630"/>
    <w:rsid w:val="00177434"/>
    <w:rsid w:val="00182A05"/>
    <w:rsid w:val="00187869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3D6D"/>
    <w:rsid w:val="001F1227"/>
    <w:rsid w:val="001F57B4"/>
    <w:rsid w:val="00200662"/>
    <w:rsid w:val="00201CC1"/>
    <w:rsid w:val="00206EA3"/>
    <w:rsid w:val="002102C4"/>
    <w:rsid w:val="00211CD6"/>
    <w:rsid w:val="00211E0B"/>
    <w:rsid w:val="00217951"/>
    <w:rsid w:val="00223C37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00D0"/>
    <w:rsid w:val="00291A70"/>
    <w:rsid w:val="002A2560"/>
    <w:rsid w:val="002A4632"/>
    <w:rsid w:val="002A6A96"/>
    <w:rsid w:val="002A7532"/>
    <w:rsid w:val="002B1CDA"/>
    <w:rsid w:val="002B2EA7"/>
    <w:rsid w:val="002B521D"/>
    <w:rsid w:val="002B79CF"/>
    <w:rsid w:val="002B7D6F"/>
    <w:rsid w:val="002C1A3E"/>
    <w:rsid w:val="002C54A4"/>
    <w:rsid w:val="002C5EAE"/>
    <w:rsid w:val="002C7649"/>
    <w:rsid w:val="002D7530"/>
    <w:rsid w:val="002E0239"/>
    <w:rsid w:val="002E7C35"/>
    <w:rsid w:val="002F0918"/>
    <w:rsid w:val="002F279C"/>
    <w:rsid w:val="00302963"/>
    <w:rsid w:val="00303816"/>
    <w:rsid w:val="003107FA"/>
    <w:rsid w:val="003155C4"/>
    <w:rsid w:val="00316C13"/>
    <w:rsid w:val="00320A76"/>
    <w:rsid w:val="00321714"/>
    <w:rsid w:val="003229D8"/>
    <w:rsid w:val="00322F52"/>
    <w:rsid w:val="003311AD"/>
    <w:rsid w:val="003323B3"/>
    <w:rsid w:val="00333732"/>
    <w:rsid w:val="003369AD"/>
    <w:rsid w:val="00341AF2"/>
    <w:rsid w:val="003424EB"/>
    <w:rsid w:val="0034522A"/>
    <w:rsid w:val="00347184"/>
    <w:rsid w:val="00366CB1"/>
    <w:rsid w:val="0037024C"/>
    <w:rsid w:val="00372BDC"/>
    <w:rsid w:val="0037370B"/>
    <w:rsid w:val="00373815"/>
    <w:rsid w:val="00374032"/>
    <w:rsid w:val="00374763"/>
    <w:rsid w:val="00377D8B"/>
    <w:rsid w:val="00381262"/>
    <w:rsid w:val="00384416"/>
    <w:rsid w:val="0039277A"/>
    <w:rsid w:val="00392C6B"/>
    <w:rsid w:val="003972E0"/>
    <w:rsid w:val="003A300E"/>
    <w:rsid w:val="003B4359"/>
    <w:rsid w:val="003B47CC"/>
    <w:rsid w:val="003C2CC4"/>
    <w:rsid w:val="003C36C3"/>
    <w:rsid w:val="003D391B"/>
    <w:rsid w:val="003D4B23"/>
    <w:rsid w:val="003E1C5A"/>
    <w:rsid w:val="003E3B1F"/>
    <w:rsid w:val="003E4290"/>
    <w:rsid w:val="003E5413"/>
    <w:rsid w:val="003F0697"/>
    <w:rsid w:val="003F3F40"/>
    <w:rsid w:val="003F40C8"/>
    <w:rsid w:val="0040291E"/>
    <w:rsid w:val="004179D7"/>
    <w:rsid w:val="0042033A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77607"/>
    <w:rsid w:val="00486205"/>
    <w:rsid w:val="0049309D"/>
    <w:rsid w:val="00494D24"/>
    <w:rsid w:val="00495B9D"/>
    <w:rsid w:val="004969ED"/>
    <w:rsid w:val="00497FF3"/>
    <w:rsid w:val="004A2BD1"/>
    <w:rsid w:val="004A58C2"/>
    <w:rsid w:val="004B163A"/>
    <w:rsid w:val="004B2C9D"/>
    <w:rsid w:val="004B49FD"/>
    <w:rsid w:val="004B6475"/>
    <w:rsid w:val="004C5A01"/>
    <w:rsid w:val="004C5BFC"/>
    <w:rsid w:val="004E46E7"/>
    <w:rsid w:val="004E4DCE"/>
    <w:rsid w:val="00500DCD"/>
    <w:rsid w:val="00512574"/>
    <w:rsid w:val="00515763"/>
    <w:rsid w:val="005206A2"/>
    <w:rsid w:val="00523C8E"/>
    <w:rsid w:val="005248FF"/>
    <w:rsid w:val="00527910"/>
    <w:rsid w:val="00532A62"/>
    <w:rsid w:val="005335B1"/>
    <w:rsid w:val="00534CDC"/>
    <w:rsid w:val="0053515F"/>
    <w:rsid w:val="0053786F"/>
    <w:rsid w:val="005420F2"/>
    <w:rsid w:val="00543B03"/>
    <w:rsid w:val="00551E96"/>
    <w:rsid w:val="00552C5F"/>
    <w:rsid w:val="005553A2"/>
    <w:rsid w:val="005557E8"/>
    <w:rsid w:val="0056298D"/>
    <w:rsid w:val="00564293"/>
    <w:rsid w:val="00566392"/>
    <w:rsid w:val="00566B77"/>
    <w:rsid w:val="005676D5"/>
    <w:rsid w:val="005732BE"/>
    <w:rsid w:val="0057509F"/>
    <w:rsid w:val="00580193"/>
    <w:rsid w:val="00581B62"/>
    <w:rsid w:val="00581C11"/>
    <w:rsid w:val="00590144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3742"/>
    <w:rsid w:val="005E6C20"/>
    <w:rsid w:val="005E7EA4"/>
    <w:rsid w:val="005F5444"/>
    <w:rsid w:val="005F5FE3"/>
    <w:rsid w:val="006062D4"/>
    <w:rsid w:val="006071AF"/>
    <w:rsid w:val="00611FC4"/>
    <w:rsid w:val="00613E48"/>
    <w:rsid w:val="0061401C"/>
    <w:rsid w:val="006176FB"/>
    <w:rsid w:val="006219D7"/>
    <w:rsid w:val="00630C0F"/>
    <w:rsid w:val="0063330C"/>
    <w:rsid w:val="00633C10"/>
    <w:rsid w:val="0063419C"/>
    <w:rsid w:val="00640B26"/>
    <w:rsid w:val="00641876"/>
    <w:rsid w:val="0064566C"/>
    <w:rsid w:val="00646EBD"/>
    <w:rsid w:val="0064788E"/>
    <w:rsid w:val="00650267"/>
    <w:rsid w:val="00664F8E"/>
    <w:rsid w:val="00671D99"/>
    <w:rsid w:val="00680C4D"/>
    <w:rsid w:val="00682466"/>
    <w:rsid w:val="006835C6"/>
    <w:rsid w:val="0068393D"/>
    <w:rsid w:val="00687A76"/>
    <w:rsid w:val="006A0AE9"/>
    <w:rsid w:val="006A17B4"/>
    <w:rsid w:val="006A5E65"/>
    <w:rsid w:val="006A7392"/>
    <w:rsid w:val="006B31D3"/>
    <w:rsid w:val="006B3590"/>
    <w:rsid w:val="006B7406"/>
    <w:rsid w:val="006B79A2"/>
    <w:rsid w:val="006C0D34"/>
    <w:rsid w:val="006C1C4A"/>
    <w:rsid w:val="006C4DB3"/>
    <w:rsid w:val="006D348F"/>
    <w:rsid w:val="006E21A6"/>
    <w:rsid w:val="006E564B"/>
    <w:rsid w:val="006F1F41"/>
    <w:rsid w:val="00701440"/>
    <w:rsid w:val="007018BB"/>
    <w:rsid w:val="0070682C"/>
    <w:rsid w:val="00707A67"/>
    <w:rsid w:val="00710580"/>
    <w:rsid w:val="0071233A"/>
    <w:rsid w:val="007141DE"/>
    <w:rsid w:val="00716D0F"/>
    <w:rsid w:val="00725764"/>
    <w:rsid w:val="0072632A"/>
    <w:rsid w:val="007315A6"/>
    <w:rsid w:val="007428A0"/>
    <w:rsid w:val="0075177E"/>
    <w:rsid w:val="00752538"/>
    <w:rsid w:val="00757A17"/>
    <w:rsid w:val="0076711B"/>
    <w:rsid w:val="007726D4"/>
    <w:rsid w:val="0077714B"/>
    <w:rsid w:val="00790258"/>
    <w:rsid w:val="00790791"/>
    <w:rsid w:val="007909EA"/>
    <w:rsid w:val="00791C08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1E30"/>
    <w:rsid w:val="007D3266"/>
    <w:rsid w:val="007D75E7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26E4F"/>
    <w:rsid w:val="00831540"/>
    <w:rsid w:val="00832905"/>
    <w:rsid w:val="008337CE"/>
    <w:rsid w:val="00842FAF"/>
    <w:rsid w:val="00844A23"/>
    <w:rsid w:val="008553AE"/>
    <w:rsid w:val="008566E6"/>
    <w:rsid w:val="00857AF0"/>
    <w:rsid w:val="00860372"/>
    <w:rsid w:val="00866EF7"/>
    <w:rsid w:val="008711DE"/>
    <w:rsid w:val="00871FD5"/>
    <w:rsid w:val="00873F69"/>
    <w:rsid w:val="008749E1"/>
    <w:rsid w:val="00875941"/>
    <w:rsid w:val="008900F3"/>
    <w:rsid w:val="0089467C"/>
    <w:rsid w:val="008978A9"/>
    <w:rsid w:val="008979B1"/>
    <w:rsid w:val="008A2C8B"/>
    <w:rsid w:val="008A3F4F"/>
    <w:rsid w:val="008A4A56"/>
    <w:rsid w:val="008A6B25"/>
    <w:rsid w:val="008A6C4F"/>
    <w:rsid w:val="008A7362"/>
    <w:rsid w:val="008B0C07"/>
    <w:rsid w:val="008C0642"/>
    <w:rsid w:val="008D0E8A"/>
    <w:rsid w:val="008D44E2"/>
    <w:rsid w:val="008E0E46"/>
    <w:rsid w:val="008E1D4C"/>
    <w:rsid w:val="008E2AC7"/>
    <w:rsid w:val="008F36A7"/>
    <w:rsid w:val="008F42F2"/>
    <w:rsid w:val="008F6816"/>
    <w:rsid w:val="00900504"/>
    <w:rsid w:val="00905AEA"/>
    <w:rsid w:val="00910E37"/>
    <w:rsid w:val="0091450E"/>
    <w:rsid w:val="00915E24"/>
    <w:rsid w:val="009174F9"/>
    <w:rsid w:val="009178F6"/>
    <w:rsid w:val="00922076"/>
    <w:rsid w:val="00922603"/>
    <w:rsid w:val="00924330"/>
    <w:rsid w:val="00931FC4"/>
    <w:rsid w:val="0093457E"/>
    <w:rsid w:val="00940136"/>
    <w:rsid w:val="00942A14"/>
    <w:rsid w:val="0094369C"/>
    <w:rsid w:val="00945A5D"/>
    <w:rsid w:val="0094761C"/>
    <w:rsid w:val="0095100A"/>
    <w:rsid w:val="009552DA"/>
    <w:rsid w:val="00963CBA"/>
    <w:rsid w:val="00964960"/>
    <w:rsid w:val="00965ACC"/>
    <w:rsid w:val="00970D90"/>
    <w:rsid w:val="0097150D"/>
    <w:rsid w:val="00971B0B"/>
    <w:rsid w:val="00972131"/>
    <w:rsid w:val="009749FE"/>
    <w:rsid w:val="00977813"/>
    <w:rsid w:val="009863A7"/>
    <w:rsid w:val="00986848"/>
    <w:rsid w:val="0099124E"/>
    <w:rsid w:val="00991261"/>
    <w:rsid w:val="00994010"/>
    <w:rsid w:val="00994014"/>
    <w:rsid w:val="009A37C7"/>
    <w:rsid w:val="009B2FB7"/>
    <w:rsid w:val="009B3CC1"/>
    <w:rsid w:val="009B5318"/>
    <w:rsid w:val="009B6F46"/>
    <w:rsid w:val="009C2E92"/>
    <w:rsid w:val="009E2874"/>
    <w:rsid w:val="009E35FF"/>
    <w:rsid w:val="009E49AC"/>
    <w:rsid w:val="009E52D9"/>
    <w:rsid w:val="009E587B"/>
    <w:rsid w:val="00A12267"/>
    <w:rsid w:val="00A1427D"/>
    <w:rsid w:val="00A22354"/>
    <w:rsid w:val="00A22441"/>
    <w:rsid w:val="00A24E0D"/>
    <w:rsid w:val="00A25434"/>
    <w:rsid w:val="00A27584"/>
    <w:rsid w:val="00A30E59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2E27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E7E6F"/>
    <w:rsid w:val="00AF1489"/>
    <w:rsid w:val="00AF248C"/>
    <w:rsid w:val="00B02079"/>
    <w:rsid w:val="00B05614"/>
    <w:rsid w:val="00B22878"/>
    <w:rsid w:val="00B2292E"/>
    <w:rsid w:val="00B30179"/>
    <w:rsid w:val="00B32399"/>
    <w:rsid w:val="00B3317B"/>
    <w:rsid w:val="00B34A94"/>
    <w:rsid w:val="00B35770"/>
    <w:rsid w:val="00B45379"/>
    <w:rsid w:val="00B50673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29D5"/>
    <w:rsid w:val="00B93068"/>
    <w:rsid w:val="00B96106"/>
    <w:rsid w:val="00BA4AAC"/>
    <w:rsid w:val="00BA611E"/>
    <w:rsid w:val="00BB4C25"/>
    <w:rsid w:val="00BB7D62"/>
    <w:rsid w:val="00BC4804"/>
    <w:rsid w:val="00BC553A"/>
    <w:rsid w:val="00BC5CF4"/>
    <w:rsid w:val="00BC74E9"/>
    <w:rsid w:val="00BD42B2"/>
    <w:rsid w:val="00BD45B3"/>
    <w:rsid w:val="00BE2CF3"/>
    <w:rsid w:val="00BE618E"/>
    <w:rsid w:val="00BE6332"/>
    <w:rsid w:val="00BF2DFE"/>
    <w:rsid w:val="00C14CEE"/>
    <w:rsid w:val="00C17582"/>
    <w:rsid w:val="00C17CC7"/>
    <w:rsid w:val="00C20263"/>
    <w:rsid w:val="00C20E3D"/>
    <w:rsid w:val="00C23226"/>
    <w:rsid w:val="00C248EF"/>
    <w:rsid w:val="00C313F5"/>
    <w:rsid w:val="00C3461F"/>
    <w:rsid w:val="00C3713C"/>
    <w:rsid w:val="00C40BAB"/>
    <w:rsid w:val="00C4186E"/>
    <w:rsid w:val="00C42A18"/>
    <w:rsid w:val="00C463DD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3861"/>
    <w:rsid w:val="00CA5C02"/>
    <w:rsid w:val="00CB3BCA"/>
    <w:rsid w:val="00CB4C9D"/>
    <w:rsid w:val="00CC0D0D"/>
    <w:rsid w:val="00CC0FAD"/>
    <w:rsid w:val="00CC23F0"/>
    <w:rsid w:val="00CD42C3"/>
    <w:rsid w:val="00CD68B3"/>
    <w:rsid w:val="00CE4A8F"/>
    <w:rsid w:val="00CE58B6"/>
    <w:rsid w:val="00CE7E5D"/>
    <w:rsid w:val="00CF16AE"/>
    <w:rsid w:val="00CF2A66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1548"/>
    <w:rsid w:val="00D2387E"/>
    <w:rsid w:val="00D23B3C"/>
    <w:rsid w:val="00D23E82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53D8"/>
    <w:rsid w:val="00D83742"/>
    <w:rsid w:val="00D84DB1"/>
    <w:rsid w:val="00D913E1"/>
    <w:rsid w:val="00D9170E"/>
    <w:rsid w:val="00D95849"/>
    <w:rsid w:val="00D96CC5"/>
    <w:rsid w:val="00D978C6"/>
    <w:rsid w:val="00DA67AD"/>
    <w:rsid w:val="00DB0284"/>
    <w:rsid w:val="00DB2625"/>
    <w:rsid w:val="00DB281B"/>
    <w:rsid w:val="00DC16B9"/>
    <w:rsid w:val="00DC1797"/>
    <w:rsid w:val="00DD3B66"/>
    <w:rsid w:val="00DD70B8"/>
    <w:rsid w:val="00DE19A0"/>
    <w:rsid w:val="00DE4184"/>
    <w:rsid w:val="00DF0081"/>
    <w:rsid w:val="00DF66D6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2792A"/>
    <w:rsid w:val="00E305E0"/>
    <w:rsid w:val="00E40163"/>
    <w:rsid w:val="00E4194D"/>
    <w:rsid w:val="00E44EEF"/>
    <w:rsid w:val="00E450F1"/>
    <w:rsid w:val="00E45DE2"/>
    <w:rsid w:val="00E5126A"/>
    <w:rsid w:val="00E5317F"/>
    <w:rsid w:val="00E55314"/>
    <w:rsid w:val="00E5644E"/>
    <w:rsid w:val="00E608A4"/>
    <w:rsid w:val="00E62EE3"/>
    <w:rsid w:val="00E64083"/>
    <w:rsid w:val="00E66AF1"/>
    <w:rsid w:val="00E7260F"/>
    <w:rsid w:val="00E81252"/>
    <w:rsid w:val="00E84EAD"/>
    <w:rsid w:val="00E8535A"/>
    <w:rsid w:val="00E90EE6"/>
    <w:rsid w:val="00E92301"/>
    <w:rsid w:val="00E96630"/>
    <w:rsid w:val="00EA2878"/>
    <w:rsid w:val="00EA7319"/>
    <w:rsid w:val="00EB6541"/>
    <w:rsid w:val="00EB6832"/>
    <w:rsid w:val="00EC1E9D"/>
    <w:rsid w:val="00EC42EA"/>
    <w:rsid w:val="00EC4327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9B9"/>
    <w:rsid w:val="00EF1D7F"/>
    <w:rsid w:val="00F01117"/>
    <w:rsid w:val="00F01716"/>
    <w:rsid w:val="00F03012"/>
    <w:rsid w:val="00F054AD"/>
    <w:rsid w:val="00F10B6C"/>
    <w:rsid w:val="00F11C1D"/>
    <w:rsid w:val="00F129CC"/>
    <w:rsid w:val="00F14001"/>
    <w:rsid w:val="00F14877"/>
    <w:rsid w:val="00F14936"/>
    <w:rsid w:val="00F200A6"/>
    <w:rsid w:val="00F20922"/>
    <w:rsid w:val="00F24697"/>
    <w:rsid w:val="00F270BF"/>
    <w:rsid w:val="00F40E75"/>
    <w:rsid w:val="00F416AA"/>
    <w:rsid w:val="00F45C14"/>
    <w:rsid w:val="00F45D1A"/>
    <w:rsid w:val="00F475EB"/>
    <w:rsid w:val="00F51F72"/>
    <w:rsid w:val="00F54674"/>
    <w:rsid w:val="00F54DDA"/>
    <w:rsid w:val="00F61C10"/>
    <w:rsid w:val="00F6331D"/>
    <w:rsid w:val="00F660F2"/>
    <w:rsid w:val="00F72912"/>
    <w:rsid w:val="00F72C4D"/>
    <w:rsid w:val="00F84F17"/>
    <w:rsid w:val="00F85D7A"/>
    <w:rsid w:val="00F873E7"/>
    <w:rsid w:val="00F93B34"/>
    <w:rsid w:val="00FA54B1"/>
    <w:rsid w:val="00FB7905"/>
    <w:rsid w:val="00FC68B7"/>
    <w:rsid w:val="00FD6B2B"/>
    <w:rsid w:val="00FE0F41"/>
    <w:rsid w:val="00FE4A81"/>
    <w:rsid w:val="00FE752E"/>
    <w:rsid w:val="00FF03BB"/>
    <w:rsid w:val="00FF053E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1"/>
    <w:qFormat/>
    <w:rsid w:val="0056298D"/>
    <w:pPr>
      <w:ind w:left="720"/>
    </w:pPr>
  </w:style>
  <w:style w:type="paragraph" w:customStyle="1" w:styleId="Default">
    <w:name w:val="Default"/>
    <w:rsid w:val="00BD45B3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36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71B2-4C57-4DF2-99EA-408C4EEA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2016-11-22T07:54:00Z</cp:lastPrinted>
  <dcterms:created xsi:type="dcterms:W3CDTF">2016-11-22T14:57:00Z</dcterms:created>
  <dcterms:modified xsi:type="dcterms:W3CDTF">2016-11-22T15:51:00Z</dcterms:modified>
</cp:coreProperties>
</file>