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1F4D2" w14:textId="77777777" w:rsidR="00B40DCF" w:rsidRDefault="00B40DCF"/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280CBF" w14:paraId="343732D6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71942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0A70F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5B920" w14:textId="3CE7DF22"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5322D3">
              <w:rPr>
                <w:b/>
                <w:sz w:val="40"/>
                <w:szCs w:val="40"/>
                <w:lang w:val="fr-CH"/>
              </w:rPr>
              <w:t>50</w:t>
            </w:r>
            <w:r w:rsidRPr="00947F38">
              <w:rPr>
                <w:b/>
                <w:sz w:val="40"/>
                <w:szCs w:val="40"/>
                <w:lang w:val="fr-CH"/>
              </w:rPr>
              <w:t>/INF.</w:t>
            </w:r>
            <w:r w:rsidR="00BE4DB6">
              <w:rPr>
                <w:b/>
                <w:sz w:val="40"/>
                <w:szCs w:val="40"/>
                <w:lang w:val="fr-CH"/>
              </w:rPr>
              <w:t>27</w:t>
            </w:r>
          </w:p>
          <w:p w14:paraId="0580AB45" w14:textId="77777777" w:rsidR="000216CC" w:rsidRPr="00947F38" w:rsidRDefault="000216CC" w:rsidP="00280CBF">
            <w:pPr>
              <w:jc w:val="right"/>
              <w:rPr>
                <w:highlight w:val="yellow"/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1039FD" w14:paraId="4E3D7C75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EA01474" w14:textId="7ED30A48" w:rsidR="00645A0B" w:rsidRPr="001039FD" w:rsidRDefault="00645A0B" w:rsidP="00EF2498">
            <w:pPr>
              <w:tabs>
                <w:tab w:val="right" w:pos="9214"/>
              </w:tabs>
            </w:pPr>
            <w:r w:rsidRPr="001039FD">
              <w:rPr>
                <w:b/>
                <w:sz w:val="24"/>
                <w:szCs w:val="24"/>
              </w:rPr>
              <w:t>Committee of Experts on the Transport of Dangerous Goods</w:t>
            </w:r>
            <w:r w:rsidRPr="001039FD">
              <w:rPr>
                <w:b/>
                <w:sz w:val="24"/>
                <w:szCs w:val="24"/>
              </w:rPr>
              <w:tab/>
            </w:r>
            <w:r w:rsidRPr="001039F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1039FD">
              <w:rPr>
                <w:b/>
                <w:sz w:val="24"/>
                <w:szCs w:val="24"/>
              </w:rPr>
              <w:br/>
              <w:t>and Labelling of Chemicals</w:t>
            </w:r>
            <w:r w:rsidRPr="001039FD">
              <w:rPr>
                <w:b/>
              </w:rPr>
              <w:tab/>
            </w:r>
            <w:r w:rsidR="00BE4DB6">
              <w:rPr>
                <w:b/>
              </w:rPr>
              <w:t>16</w:t>
            </w:r>
            <w:r w:rsidR="00B8003E">
              <w:rPr>
                <w:b/>
              </w:rPr>
              <w:t xml:space="preserve"> November</w:t>
            </w:r>
            <w:r w:rsidR="001B6F2D" w:rsidRPr="001039FD">
              <w:rPr>
                <w:b/>
                <w:sz w:val="18"/>
                <w:szCs w:val="24"/>
              </w:rPr>
              <w:t xml:space="preserve"> </w:t>
            </w:r>
            <w:r w:rsidR="00F64C95" w:rsidRPr="001039FD">
              <w:rPr>
                <w:b/>
                <w:sz w:val="18"/>
                <w:szCs w:val="24"/>
              </w:rPr>
              <w:t>2016</w:t>
            </w:r>
          </w:p>
        </w:tc>
      </w:tr>
      <w:tr w:rsidR="00BE4DB6" w:rsidRPr="001039FD" w14:paraId="0E3B19FA" w14:textId="77777777" w:rsidTr="00947B75">
        <w:tc>
          <w:tcPr>
            <w:tcW w:w="964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FF1E716" w14:textId="6C618E63" w:rsidR="00BE4DB6" w:rsidRPr="001039FD" w:rsidRDefault="00BE4DB6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Transport of Dangerous Goods </w:t>
            </w:r>
          </w:p>
        </w:tc>
      </w:tr>
      <w:tr w:rsidR="00645A0B" w:rsidRPr="001039FD" w14:paraId="3068308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603D47" w14:textId="1342DB9F" w:rsidR="00645A0B" w:rsidRPr="00E601C0" w:rsidRDefault="00E601C0" w:rsidP="00E601C0">
            <w:pPr>
              <w:spacing w:before="120"/>
              <w:ind w:left="34" w:hanging="34"/>
              <w:rPr>
                <w:b/>
              </w:rPr>
            </w:pPr>
            <w:r w:rsidRPr="00E601C0">
              <w:rPr>
                <w:b/>
              </w:rPr>
              <w:t>F</w:t>
            </w:r>
            <w:r>
              <w:rPr>
                <w:b/>
              </w:rPr>
              <w:t>iftieth</w:t>
            </w:r>
            <w:r w:rsidR="00645A0B" w:rsidRPr="00E601C0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31B7BC5" w14:textId="2ED5456F" w:rsidR="00645A0B" w:rsidRPr="00D06F88" w:rsidRDefault="00645A0B" w:rsidP="00E601C0">
            <w:pPr>
              <w:spacing w:before="120"/>
              <w:rPr>
                <w:b/>
                <w:highlight w:val="yellow"/>
              </w:rPr>
            </w:pPr>
          </w:p>
        </w:tc>
      </w:tr>
      <w:tr w:rsidR="00645A0B" w:rsidRPr="001039FD" w14:paraId="37141C3A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819629D" w14:textId="604D7A16" w:rsidR="00645A0B" w:rsidRPr="00CA5F11" w:rsidRDefault="00645A0B" w:rsidP="00CA5F11">
            <w:pPr>
              <w:spacing w:before="40"/>
              <w:ind w:left="34" w:hanging="34"/>
            </w:pPr>
            <w:r w:rsidRPr="00CA5F11">
              <w:t xml:space="preserve">Geneva, </w:t>
            </w:r>
            <w:r w:rsidR="00F64C95" w:rsidRPr="00CA5F11">
              <w:t>27</w:t>
            </w:r>
            <w:r w:rsidR="00904EBC" w:rsidRPr="00CA5F11">
              <w:t xml:space="preserve"> </w:t>
            </w:r>
            <w:r w:rsidR="00E601C0" w:rsidRPr="00CA5F11">
              <w:t>November</w:t>
            </w:r>
            <w:r w:rsidR="00BE4DB6">
              <w:t>–</w:t>
            </w:r>
            <w:r w:rsidR="00F64C95" w:rsidRPr="001039FD">
              <w:t>6</w:t>
            </w:r>
            <w:r w:rsidR="00904EBC" w:rsidRPr="001039FD">
              <w:t xml:space="preserve"> </w:t>
            </w:r>
            <w:r w:rsidR="00E601C0">
              <w:t>December</w:t>
            </w:r>
            <w:r w:rsidR="00F64C95" w:rsidRPr="001039FD">
              <w:t xml:space="preserve"> 2016</w:t>
            </w:r>
          </w:p>
          <w:p w14:paraId="70E8D8C7" w14:textId="77C5E08D" w:rsidR="00645A0B" w:rsidRPr="001039FD" w:rsidRDefault="00645A0B" w:rsidP="00CA5F11">
            <w:pPr>
              <w:spacing w:before="40"/>
              <w:ind w:left="34" w:hanging="34"/>
            </w:pPr>
            <w:r w:rsidRPr="001039FD">
              <w:t xml:space="preserve">Item </w:t>
            </w:r>
            <w:r w:rsidR="00CA5F11">
              <w:t>2(a)</w:t>
            </w:r>
            <w:r w:rsidRPr="001039FD">
              <w:t xml:space="preserve"> of the provisional agenda</w:t>
            </w:r>
          </w:p>
          <w:p w14:paraId="2FD14FE4" w14:textId="24AC2053" w:rsidR="00645A0B" w:rsidRPr="00CA5F11" w:rsidRDefault="00CA5F11" w:rsidP="00CA5F11">
            <w:pPr>
              <w:ind w:left="34" w:hanging="34"/>
            </w:pPr>
            <w:r w:rsidRPr="00CA5F11">
              <w:rPr>
                <w:b/>
              </w:rPr>
              <w:t>Recommendations made by the Sub-Committee on its forty-seventh, forty-eighth and forty-ninth sessions and pending issues:</w:t>
            </w:r>
            <w:r>
              <w:rPr>
                <w:b/>
              </w:rPr>
              <w:t xml:space="preserve"> r</w:t>
            </w:r>
            <w:r w:rsidRPr="00CA5F11">
              <w:rPr>
                <w:b/>
              </w:rPr>
              <w:t>eview of draft amendments already adopted during the biennium</w:t>
            </w:r>
            <w:bookmarkStart w:id="0" w:name="_GoBack"/>
            <w:bookmarkEnd w:id="0"/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DE0E091" w14:textId="5503D6DE" w:rsidR="00645A0B" w:rsidRPr="00280CBF" w:rsidRDefault="00645A0B" w:rsidP="00280CBF">
            <w:pPr>
              <w:jc w:val="both"/>
            </w:pPr>
          </w:p>
        </w:tc>
      </w:tr>
    </w:tbl>
    <w:p w14:paraId="198BB929" w14:textId="0569D4EE" w:rsidR="008B65FB" w:rsidRPr="001039FD" w:rsidRDefault="008B65FB" w:rsidP="008B65FB">
      <w:pPr>
        <w:pStyle w:val="HChG"/>
        <w:rPr>
          <w:lang w:val="en-GB"/>
        </w:rPr>
      </w:pPr>
      <w:r w:rsidRPr="001039FD">
        <w:rPr>
          <w:rFonts w:eastAsia="MS Mincho"/>
          <w:lang w:val="en-GB" w:eastAsia="ja-JP"/>
        </w:rPr>
        <w:tab/>
      </w:r>
      <w:r w:rsidRPr="001039FD">
        <w:rPr>
          <w:rFonts w:eastAsia="MS Mincho"/>
          <w:lang w:val="en-GB" w:eastAsia="ja-JP"/>
        </w:rPr>
        <w:tab/>
      </w:r>
      <w:r w:rsidR="001A34E5">
        <w:rPr>
          <w:rFonts w:eastAsia="MS Mincho"/>
          <w:lang w:val="en-GB" w:eastAsia="ja-JP"/>
        </w:rPr>
        <w:t xml:space="preserve">Comments on </w:t>
      </w:r>
      <w:r w:rsidR="0065495A" w:rsidRPr="00C1605A">
        <w:rPr>
          <w:rFonts w:eastAsia="MS Mincho"/>
          <w:lang w:val="en-GB"/>
        </w:rPr>
        <w:t>UN/SCETDG/</w:t>
      </w:r>
      <w:r w:rsidR="000C4350">
        <w:rPr>
          <w:rFonts w:eastAsia="MS Mincho"/>
          <w:lang w:val="en-GB"/>
        </w:rPr>
        <w:t>49</w:t>
      </w:r>
      <w:r w:rsidR="0065495A" w:rsidRPr="00C1605A">
        <w:rPr>
          <w:rFonts w:eastAsia="MS Mincho"/>
          <w:lang w:val="en-GB"/>
        </w:rPr>
        <w:t>/INF.</w:t>
      </w:r>
      <w:r w:rsidR="00566985">
        <w:rPr>
          <w:rFonts w:eastAsia="MS Mincho"/>
          <w:lang w:val="en-GB"/>
        </w:rPr>
        <w:t>5</w:t>
      </w:r>
      <w:r w:rsidR="000C4350">
        <w:rPr>
          <w:rFonts w:eastAsia="MS Mincho"/>
          <w:lang w:val="en-GB"/>
        </w:rPr>
        <w:t>4</w:t>
      </w:r>
      <w:r w:rsidR="0065495A" w:rsidRPr="00C1605A">
        <w:rPr>
          <w:rFonts w:eastAsia="MS Mincho"/>
          <w:lang w:val="en-GB"/>
        </w:rPr>
        <w:t xml:space="preserve"> </w:t>
      </w:r>
      <w:r w:rsidR="000C4350">
        <w:rPr>
          <w:rFonts w:eastAsia="MS Mincho"/>
          <w:lang w:val="en-GB"/>
        </w:rPr>
        <w:t>Clarification relating to the test method for readily combustible solids (UN Test N.1)</w:t>
      </w:r>
    </w:p>
    <w:p w14:paraId="204B1670" w14:textId="28D57012" w:rsidR="008B65FB" w:rsidRDefault="008B65FB" w:rsidP="008B65FB">
      <w:pPr>
        <w:pStyle w:val="H1G"/>
        <w:rPr>
          <w:rFonts w:eastAsia="MS Mincho"/>
        </w:rPr>
      </w:pPr>
      <w:r w:rsidRPr="001039FD">
        <w:rPr>
          <w:rFonts w:eastAsia="MS Mincho"/>
        </w:rPr>
        <w:tab/>
      </w:r>
      <w:r w:rsidRPr="001039FD">
        <w:rPr>
          <w:rFonts w:eastAsia="MS Mincho"/>
        </w:rPr>
        <w:tab/>
      </w:r>
      <w:r w:rsidRPr="00BC0C09">
        <w:rPr>
          <w:rFonts w:eastAsia="MS Mincho"/>
        </w:rPr>
        <w:t xml:space="preserve">Transmitted by </w:t>
      </w:r>
      <w:r w:rsidR="001B6F2D" w:rsidRPr="00BC0C09">
        <w:rPr>
          <w:rFonts w:eastAsia="MS Mincho"/>
        </w:rPr>
        <w:t xml:space="preserve">the </w:t>
      </w:r>
      <w:r w:rsidR="001A34E5">
        <w:rPr>
          <w:rFonts w:eastAsia="MS Mincho"/>
        </w:rPr>
        <w:t>expert from Germany</w:t>
      </w:r>
    </w:p>
    <w:p w14:paraId="385D817A" w14:textId="1A86B1A2" w:rsidR="00B844A0" w:rsidRPr="00B844A0" w:rsidRDefault="00B844A0" w:rsidP="00B844A0">
      <w:pPr>
        <w:rPr>
          <w:rFonts w:eastAsia="MS Mincho"/>
          <w:b/>
          <w:sz w:val="28"/>
          <w:szCs w:val="28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B844A0">
        <w:rPr>
          <w:b/>
          <w:sz w:val="28"/>
          <w:szCs w:val="28"/>
        </w:rPr>
        <w:t>Introduction</w:t>
      </w:r>
    </w:p>
    <w:p w14:paraId="119EC6BE" w14:textId="77777777" w:rsidR="00B844A0" w:rsidRPr="00B844A0" w:rsidRDefault="00B844A0" w:rsidP="00B844A0">
      <w:pPr>
        <w:rPr>
          <w:rFonts w:eastAsia="MS Mincho"/>
        </w:rPr>
      </w:pPr>
    </w:p>
    <w:p w14:paraId="7898E902" w14:textId="796036C9" w:rsidR="001A34E5" w:rsidRPr="004A4348" w:rsidRDefault="00280CBF" w:rsidP="001A34E5">
      <w:pPr>
        <w:pStyle w:val="SingleTxtG"/>
        <w:numPr>
          <w:ilvl w:val="0"/>
          <w:numId w:val="43"/>
        </w:numPr>
        <w:ind w:left="1134" w:firstLine="0"/>
        <w:rPr>
          <w:rFonts w:eastAsia="MS Mincho"/>
          <w:lang w:val="en-GB"/>
        </w:rPr>
      </w:pPr>
      <w:r>
        <w:rPr>
          <w:rFonts w:eastAsia="MS Mincho"/>
          <w:lang w:val="en-GB"/>
        </w:rPr>
        <w:t xml:space="preserve">This paper is </w:t>
      </w:r>
      <w:r w:rsidR="005E7A74">
        <w:rPr>
          <w:rFonts w:eastAsia="MS Mincho"/>
          <w:lang w:val="en-GB"/>
        </w:rPr>
        <w:t>a follow-up</w:t>
      </w:r>
      <w:r>
        <w:rPr>
          <w:rFonts w:eastAsia="MS Mincho"/>
          <w:lang w:val="en-GB"/>
        </w:rPr>
        <w:t xml:space="preserve"> to </w:t>
      </w:r>
      <w:r w:rsidR="005E7A74">
        <w:rPr>
          <w:rFonts w:eastAsia="MS Mincho"/>
          <w:lang w:val="en-GB"/>
        </w:rPr>
        <w:t xml:space="preserve">the </w:t>
      </w:r>
      <w:r>
        <w:rPr>
          <w:rFonts w:eastAsia="MS Mincho"/>
          <w:lang w:val="en-GB"/>
        </w:rPr>
        <w:t>discussion</w:t>
      </w:r>
      <w:r w:rsidR="004A4348">
        <w:rPr>
          <w:rFonts w:eastAsia="MS Mincho"/>
          <w:lang w:val="en-GB"/>
        </w:rPr>
        <w:t>s</w:t>
      </w:r>
      <w:r>
        <w:rPr>
          <w:rFonts w:eastAsia="MS Mincho"/>
          <w:lang w:val="en-GB"/>
        </w:rPr>
        <w:t xml:space="preserve"> on the working paper</w:t>
      </w:r>
      <w:r w:rsidR="004A4348">
        <w:rPr>
          <w:rFonts w:eastAsia="MS Mincho"/>
          <w:lang w:val="en-GB"/>
        </w:rPr>
        <w:t xml:space="preserve"> </w:t>
      </w:r>
      <w:r w:rsidR="004A4348">
        <w:t>ST/SG/AC.10/C.3/</w:t>
      </w:r>
      <w:r w:rsidR="004A4348" w:rsidRPr="00ED3AE3">
        <w:t>2016/5</w:t>
      </w:r>
      <w:r w:rsidR="005E7A74">
        <w:rPr>
          <w:rFonts w:eastAsia="MS Mincho"/>
          <w:lang w:val="en-GB"/>
        </w:rPr>
        <w:t xml:space="preserve"> and the informal </w:t>
      </w:r>
      <w:r>
        <w:rPr>
          <w:rFonts w:eastAsia="MS Mincho"/>
          <w:lang w:val="en-GB"/>
        </w:rPr>
        <w:t>papers</w:t>
      </w:r>
      <w:r w:rsidR="008626DB">
        <w:rPr>
          <w:rFonts w:eastAsia="MS Mincho"/>
          <w:lang w:val="en-GB"/>
        </w:rPr>
        <w:t xml:space="preserve"> </w:t>
      </w:r>
      <w:r w:rsidR="004A4348">
        <w:rPr>
          <w:rFonts w:eastAsia="MS Mincho"/>
          <w:lang w:val="en-GB"/>
        </w:rPr>
        <w:t xml:space="preserve">UN/SCETDG/48/INF.42 and </w:t>
      </w:r>
      <w:r w:rsidR="008626DB">
        <w:rPr>
          <w:rFonts w:eastAsia="MS Mincho"/>
          <w:lang w:val="en-GB"/>
        </w:rPr>
        <w:t>UN/SCETDG/49/INF.54</w:t>
      </w:r>
      <w:r w:rsidR="004A4348">
        <w:rPr>
          <w:rFonts w:eastAsia="MS Mincho"/>
          <w:lang w:val="en-GB"/>
        </w:rPr>
        <w:t xml:space="preserve"> </w:t>
      </w:r>
      <w:r w:rsidR="004A4348">
        <w:t xml:space="preserve">on </w:t>
      </w:r>
      <w:r w:rsidR="004A4348" w:rsidRPr="00566985">
        <w:rPr>
          <w:lang w:val="en-US"/>
        </w:rPr>
        <w:t>the test method for readily combustible solids</w:t>
      </w:r>
      <w:r w:rsidR="004A4348" w:rsidRPr="008B2E94">
        <w:t xml:space="preserve"> (UN-Test N.1)</w:t>
      </w:r>
      <w:r w:rsidR="004A4348">
        <w:t>.</w:t>
      </w:r>
    </w:p>
    <w:p w14:paraId="11440C54" w14:textId="6CFABD87" w:rsidR="0043747D" w:rsidRPr="00566985" w:rsidRDefault="004A4348" w:rsidP="0043747D">
      <w:pPr>
        <w:pStyle w:val="SingleTxtG"/>
        <w:numPr>
          <w:ilvl w:val="0"/>
          <w:numId w:val="43"/>
        </w:numPr>
        <w:ind w:left="1134" w:firstLine="0"/>
        <w:rPr>
          <w:rFonts w:eastAsia="MS Mincho"/>
          <w:lang w:val="en-US"/>
        </w:rPr>
      </w:pPr>
      <w:r w:rsidRPr="00566985">
        <w:rPr>
          <w:rFonts w:eastAsia="MS Mincho"/>
          <w:lang w:val="en-US"/>
        </w:rPr>
        <w:t xml:space="preserve">The discussions </w:t>
      </w:r>
      <w:r w:rsidR="005E7A74">
        <w:rPr>
          <w:rFonts w:eastAsia="MS Mincho"/>
          <w:lang w:val="en-US"/>
        </w:rPr>
        <w:t>were</w:t>
      </w:r>
      <w:r w:rsidR="004A619C" w:rsidRPr="00566985">
        <w:rPr>
          <w:rFonts w:eastAsia="MS Mincho"/>
          <w:lang w:val="en-US"/>
        </w:rPr>
        <w:t xml:space="preserve"> </w:t>
      </w:r>
      <w:r w:rsidR="00566985" w:rsidRPr="00566985">
        <w:rPr>
          <w:rFonts w:eastAsia="MS Mincho"/>
          <w:lang w:val="en-US"/>
        </w:rPr>
        <w:t>focused</w:t>
      </w:r>
      <w:r w:rsidRPr="00566985">
        <w:rPr>
          <w:rFonts w:eastAsia="MS Mincho"/>
          <w:lang w:val="en-US"/>
        </w:rPr>
        <w:t xml:space="preserve"> on the question </w:t>
      </w:r>
      <w:r w:rsidR="0043747D" w:rsidRPr="00566985">
        <w:rPr>
          <w:lang w:val="en-US"/>
        </w:rPr>
        <w:t>whether the “whole</w:t>
      </w:r>
      <w:r w:rsidR="0043747D" w:rsidRPr="00566985">
        <w:rPr>
          <w:rFonts w:eastAsia="MS Mincho"/>
          <w:lang w:val="en-US"/>
        </w:rPr>
        <w:t xml:space="preserve"> </w:t>
      </w:r>
      <w:r w:rsidR="0043747D" w:rsidRPr="00566985">
        <w:rPr>
          <w:lang w:val="en-US"/>
        </w:rPr>
        <w:t xml:space="preserve">length of the sample” in 33.2.1.4.4.1 (last sentence) refers to: </w:t>
      </w:r>
    </w:p>
    <w:p w14:paraId="333F994E" w14:textId="5628F5AA" w:rsidR="0043747D" w:rsidRPr="00566985" w:rsidRDefault="00BE4DB6" w:rsidP="00BE4DB6">
      <w:pPr>
        <w:pStyle w:val="SingleTxtG"/>
        <w:numPr>
          <w:ilvl w:val="0"/>
          <w:numId w:val="46"/>
        </w:numPr>
        <w:ind w:left="1701" w:firstLine="0"/>
        <w:rPr>
          <w:rFonts w:eastAsia="MS Mincho"/>
          <w:lang w:val="en-US"/>
        </w:rPr>
      </w:pPr>
      <w:r>
        <w:rPr>
          <w:lang w:val="en-US"/>
        </w:rPr>
        <w:t>T</w:t>
      </w:r>
      <w:r w:rsidR="0043747D" w:rsidRPr="00566985">
        <w:rPr>
          <w:lang w:val="en-US"/>
        </w:rPr>
        <w:t xml:space="preserve">he 250 mm length specified for the </w:t>
      </w:r>
      <w:proofErr w:type="spellStart"/>
      <w:r w:rsidR="0043747D" w:rsidRPr="00566985">
        <w:rPr>
          <w:lang w:val="en-US"/>
        </w:rPr>
        <w:t>mould</w:t>
      </w:r>
      <w:proofErr w:type="spellEnd"/>
      <w:r w:rsidR="0043747D" w:rsidRPr="00566985">
        <w:rPr>
          <w:lang w:val="en-US"/>
        </w:rPr>
        <w:t xml:space="preserve">; or </w:t>
      </w:r>
    </w:p>
    <w:p w14:paraId="74695EBB" w14:textId="21821EDF" w:rsidR="00280CBF" w:rsidRPr="00566985" w:rsidRDefault="00BE4DB6" w:rsidP="00BE4DB6">
      <w:pPr>
        <w:pStyle w:val="SingleTxtG"/>
        <w:numPr>
          <w:ilvl w:val="0"/>
          <w:numId w:val="46"/>
        </w:numPr>
        <w:ind w:left="1701" w:firstLine="0"/>
        <w:rPr>
          <w:rFonts w:eastAsia="MS Mincho"/>
          <w:lang w:val="en-US"/>
        </w:rPr>
      </w:pPr>
      <w:r>
        <w:rPr>
          <w:lang w:val="en-US"/>
        </w:rPr>
        <w:t>T</w:t>
      </w:r>
      <w:r w:rsidR="0043747D" w:rsidRPr="00566985">
        <w:rPr>
          <w:lang w:val="en-US"/>
        </w:rPr>
        <w:t>he 100 mm length (“timing zone”) over which the rate of burning is measured.</w:t>
      </w:r>
    </w:p>
    <w:p w14:paraId="67D4DD38" w14:textId="095A9A66" w:rsidR="0043747D" w:rsidRPr="001821F8" w:rsidRDefault="0043747D" w:rsidP="0043747D">
      <w:pPr>
        <w:pStyle w:val="SingleTxtG"/>
        <w:numPr>
          <w:ilvl w:val="0"/>
          <w:numId w:val="43"/>
        </w:numPr>
        <w:ind w:left="1134" w:firstLine="0"/>
        <w:rPr>
          <w:rFonts w:eastAsia="MS Mincho"/>
          <w:lang w:val="en-GB"/>
        </w:rPr>
      </w:pPr>
      <w:r>
        <w:rPr>
          <w:rFonts w:eastAsia="MS Mincho"/>
          <w:lang w:val="en-GB"/>
        </w:rPr>
        <w:t xml:space="preserve">In </w:t>
      </w:r>
      <w:r w:rsidR="00BE4DB6">
        <w:rPr>
          <w:rFonts w:eastAsia="MS Mincho"/>
          <w:lang w:val="en-GB"/>
        </w:rPr>
        <w:t xml:space="preserve">informal document </w:t>
      </w:r>
      <w:r>
        <w:rPr>
          <w:rFonts w:eastAsia="MS Mincho"/>
          <w:lang w:val="en-GB"/>
        </w:rPr>
        <w:t xml:space="preserve">INF.54 </w:t>
      </w:r>
      <w:r w:rsidR="00BE4DB6">
        <w:rPr>
          <w:rFonts w:eastAsia="MS Mincho"/>
          <w:lang w:val="en-GB"/>
        </w:rPr>
        <w:t>(49</w:t>
      </w:r>
      <w:r w:rsidR="00BE4DB6" w:rsidRPr="00BE4DB6">
        <w:rPr>
          <w:rFonts w:eastAsia="MS Mincho"/>
          <w:vertAlign w:val="superscript"/>
          <w:lang w:val="en-GB"/>
        </w:rPr>
        <w:t>th</w:t>
      </w:r>
      <w:r w:rsidR="00BE4DB6">
        <w:rPr>
          <w:rFonts w:eastAsia="MS Mincho"/>
          <w:lang w:val="en-GB"/>
        </w:rPr>
        <w:t xml:space="preserve"> session) </w:t>
      </w:r>
      <w:r>
        <w:rPr>
          <w:rFonts w:eastAsia="MS Mincho"/>
          <w:lang w:val="en-GB"/>
        </w:rPr>
        <w:t>it was concluded that</w:t>
      </w:r>
      <w:r w:rsidR="00EF2498">
        <w:rPr>
          <w:rFonts w:eastAsia="MS Mincho"/>
          <w:lang w:val="en-GB"/>
        </w:rPr>
        <w:t xml:space="preserve"> the</w:t>
      </w:r>
      <w:r>
        <w:rPr>
          <w:rFonts w:eastAsia="MS Mincho"/>
          <w:lang w:val="en-GB"/>
        </w:rPr>
        <w:t xml:space="preserve">100 mm </w:t>
      </w:r>
      <w:r w:rsidR="005E7A74">
        <w:rPr>
          <w:rFonts w:eastAsia="MS Mincho"/>
          <w:lang w:val="en-GB"/>
        </w:rPr>
        <w:t xml:space="preserve">timing zone would </w:t>
      </w:r>
      <w:r w:rsidR="004A619C">
        <w:rPr>
          <w:rFonts w:eastAsia="MS Mincho"/>
          <w:lang w:val="en-GB"/>
        </w:rPr>
        <w:t xml:space="preserve">be </w:t>
      </w:r>
      <w:r>
        <w:rPr>
          <w:rFonts w:eastAsia="MS Mincho"/>
          <w:lang w:val="en-GB"/>
        </w:rPr>
        <w:t xml:space="preserve">the correct </w:t>
      </w:r>
      <w:r w:rsidR="005E7A74">
        <w:rPr>
          <w:rFonts w:eastAsia="MS Mincho"/>
          <w:lang w:val="en-GB"/>
        </w:rPr>
        <w:t xml:space="preserve">length, in particular </w:t>
      </w:r>
      <w:r w:rsidR="00EF2498">
        <w:rPr>
          <w:rFonts w:eastAsia="MS Mincho"/>
          <w:lang w:val="en-GB"/>
        </w:rPr>
        <w:t>for the reason</w:t>
      </w:r>
      <w:r w:rsidR="00B844A0" w:rsidRPr="00566985">
        <w:rPr>
          <w:lang w:val="en-US"/>
        </w:rPr>
        <w:t xml:space="preserve"> </w:t>
      </w:r>
      <w:r w:rsidR="004A619C" w:rsidRPr="00566985">
        <w:rPr>
          <w:lang w:val="en-US"/>
        </w:rPr>
        <w:t xml:space="preserve">that </w:t>
      </w:r>
      <w:r w:rsidR="001821F8" w:rsidRPr="00566985">
        <w:rPr>
          <w:lang w:val="en-US"/>
        </w:rPr>
        <w:t>in</w:t>
      </w:r>
      <w:r w:rsidR="001821F8" w:rsidRPr="001821F8">
        <w:rPr>
          <w:lang w:val="en-US"/>
        </w:rPr>
        <w:t xml:space="preserve"> this case the criteria for</w:t>
      </w:r>
      <w:r w:rsidR="00EF2498">
        <w:rPr>
          <w:lang w:val="en-US"/>
        </w:rPr>
        <w:t xml:space="preserve"> the</w:t>
      </w:r>
      <w:r w:rsidR="001821F8" w:rsidRPr="001821F8">
        <w:rPr>
          <w:lang w:val="en-US"/>
        </w:rPr>
        <w:t xml:space="preserve"> screening test and </w:t>
      </w:r>
      <w:r w:rsidR="00EF2498">
        <w:rPr>
          <w:lang w:val="en-US"/>
        </w:rPr>
        <w:t xml:space="preserve">the </w:t>
      </w:r>
      <w:r w:rsidR="001821F8" w:rsidRPr="001821F8">
        <w:rPr>
          <w:lang w:val="en-US"/>
        </w:rPr>
        <w:t>main test are identical with a limit of 10 mm /min</w:t>
      </w:r>
      <w:r w:rsidR="00124441">
        <w:rPr>
          <w:lang w:val="en-US"/>
        </w:rPr>
        <w:t xml:space="preserve"> for metals</w:t>
      </w:r>
      <w:r w:rsidR="001821F8" w:rsidRPr="001821F8">
        <w:rPr>
          <w:lang w:val="en-US"/>
        </w:rPr>
        <w:t xml:space="preserve">. </w:t>
      </w:r>
      <w:r w:rsidR="001821F8">
        <w:rPr>
          <w:lang w:val="en-US"/>
        </w:rPr>
        <w:t>Substance</w:t>
      </w:r>
      <w:r w:rsidR="00124441">
        <w:rPr>
          <w:lang w:val="en-US"/>
        </w:rPr>
        <w:t>s</w:t>
      </w:r>
      <w:r w:rsidR="001821F8">
        <w:rPr>
          <w:lang w:val="en-US"/>
        </w:rPr>
        <w:t xml:space="preserve"> burning with a higher burning rate </w:t>
      </w:r>
      <w:r w:rsidR="00EF2498">
        <w:rPr>
          <w:lang w:val="en-US"/>
        </w:rPr>
        <w:t xml:space="preserve">should </w:t>
      </w:r>
      <w:r w:rsidR="001821F8">
        <w:rPr>
          <w:lang w:val="en-US"/>
        </w:rPr>
        <w:t>be classified as flammable solids.</w:t>
      </w:r>
      <w:r w:rsidR="00EF2498">
        <w:rPr>
          <w:lang w:val="en-US"/>
        </w:rPr>
        <w:t xml:space="preserve"> The sub-committee decided to adopt the amendments proposed for 33.2.1.4.4.1, 33.2.1.4.4.2 and 333.2.1.4.4.3 of the Manual of Tests and Criteria in square brackets.</w:t>
      </w:r>
    </w:p>
    <w:p w14:paraId="03CA9B76" w14:textId="1AED33F9" w:rsidR="001821F8" w:rsidRPr="0043747D" w:rsidRDefault="00EF2498" w:rsidP="0043747D">
      <w:pPr>
        <w:pStyle w:val="SingleTxtG"/>
        <w:numPr>
          <w:ilvl w:val="0"/>
          <w:numId w:val="43"/>
        </w:numPr>
        <w:ind w:left="1134" w:firstLine="0"/>
        <w:rPr>
          <w:rFonts w:eastAsia="MS Mincho"/>
          <w:lang w:val="en-GB"/>
        </w:rPr>
      </w:pPr>
      <w:r>
        <w:rPr>
          <w:lang w:val="en-GB"/>
        </w:rPr>
        <w:t xml:space="preserve">Germany supported the amendments at the last session. However, after further discussions </w:t>
      </w:r>
      <w:r w:rsidR="00BF76CE">
        <w:rPr>
          <w:lang w:val="en-GB"/>
        </w:rPr>
        <w:t>between</w:t>
      </w:r>
      <w:r>
        <w:rPr>
          <w:lang w:val="en-GB"/>
        </w:rPr>
        <w:t xml:space="preserve"> experts </w:t>
      </w:r>
      <w:r w:rsidR="00BF76CE">
        <w:rPr>
          <w:lang w:val="en-GB"/>
        </w:rPr>
        <w:t>it seems that a further review is necessary.</w:t>
      </w:r>
      <w:r>
        <w:rPr>
          <w:lang w:val="en-GB"/>
        </w:rPr>
        <w:t xml:space="preserve"> </w:t>
      </w:r>
      <w:r w:rsidR="00BF76CE">
        <w:rPr>
          <w:lang w:val="en-US"/>
        </w:rPr>
        <w:t xml:space="preserve">If the criteria </w:t>
      </w:r>
      <w:proofErr w:type="gramStart"/>
      <w:r w:rsidR="00BF76CE">
        <w:rPr>
          <w:lang w:val="en-US"/>
        </w:rPr>
        <w:t xml:space="preserve">for </w:t>
      </w:r>
      <w:r w:rsidR="001821F8">
        <w:rPr>
          <w:lang w:val="en-US"/>
        </w:rPr>
        <w:t xml:space="preserve"> screening</w:t>
      </w:r>
      <w:proofErr w:type="gramEnd"/>
      <w:r w:rsidR="001821F8">
        <w:rPr>
          <w:lang w:val="en-US"/>
        </w:rPr>
        <w:t xml:space="preserve"> and</w:t>
      </w:r>
      <w:r w:rsidR="00531995">
        <w:rPr>
          <w:lang w:val="en-US"/>
        </w:rPr>
        <w:t xml:space="preserve">  </w:t>
      </w:r>
      <w:r w:rsidR="001821F8">
        <w:rPr>
          <w:lang w:val="en-US"/>
        </w:rPr>
        <w:t>main test are identical</w:t>
      </w:r>
      <w:r w:rsidR="00531995">
        <w:rPr>
          <w:lang w:val="en-US"/>
        </w:rPr>
        <w:t>,</w:t>
      </w:r>
      <w:r w:rsidR="00BF76CE">
        <w:rPr>
          <w:lang w:val="en-US"/>
        </w:rPr>
        <w:t xml:space="preserve"> the function of the screening test is questionable.  </w:t>
      </w:r>
      <w:r w:rsidR="001821F8">
        <w:rPr>
          <w:lang w:val="en-US"/>
        </w:rPr>
        <w:t xml:space="preserve">. </w:t>
      </w:r>
    </w:p>
    <w:p w14:paraId="44B2DB49" w14:textId="73928D01" w:rsidR="008C58F1" w:rsidRPr="008C58F1" w:rsidRDefault="0043747D" w:rsidP="008C58F1">
      <w:pPr>
        <w:pStyle w:val="SingleTxtG"/>
        <w:numPr>
          <w:ilvl w:val="0"/>
          <w:numId w:val="43"/>
        </w:numPr>
        <w:ind w:left="1134" w:firstLine="0"/>
        <w:rPr>
          <w:rFonts w:eastAsia="MS Mincho"/>
          <w:lang w:val="en-GB"/>
        </w:rPr>
      </w:pPr>
      <w:r>
        <w:rPr>
          <w:lang w:val="en-US"/>
        </w:rPr>
        <w:t xml:space="preserve">Comparing </w:t>
      </w:r>
      <w:r w:rsidR="00566985">
        <w:rPr>
          <w:lang w:val="en-US"/>
        </w:rPr>
        <w:t xml:space="preserve">the </w:t>
      </w:r>
      <w:r>
        <w:rPr>
          <w:lang w:val="en-US"/>
        </w:rPr>
        <w:t>two different criteria for metals and non-metals the following can be stated:</w:t>
      </w:r>
    </w:p>
    <w:p w14:paraId="14C1B12E" w14:textId="65B6DDD7" w:rsidR="008C58F1" w:rsidRPr="008C58F1" w:rsidRDefault="008C58F1" w:rsidP="008C58F1">
      <w:pPr>
        <w:pStyle w:val="SingleTxtG"/>
        <w:rPr>
          <w:rFonts w:eastAsia="MS Mincho"/>
          <w:lang w:val="en-GB"/>
        </w:rPr>
      </w:pPr>
      <w:r>
        <w:rPr>
          <w:rFonts w:eastAsia="MS Mincho"/>
          <w:lang w:val="en-GB"/>
        </w:rPr>
        <w:br w:type="column"/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2693"/>
        <w:gridCol w:w="1418"/>
        <w:gridCol w:w="1417"/>
      </w:tblGrid>
      <w:tr w:rsidR="008C58F1" w:rsidRPr="009D6161" w14:paraId="177D855B" w14:textId="77777777" w:rsidTr="008C58F1">
        <w:tc>
          <w:tcPr>
            <w:tcW w:w="1843" w:type="dxa"/>
          </w:tcPr>
          <w:p w14:paraId="192681AB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</w:p>
        </w:tc>
        <w:tc>
          <w:tcPr>
            <w:tcW w:w="2693" w:type="dxa"/>
          </w:tcPr>
          <w:p w14:paraId="6D13C1DA" w14:textId="08BAD9C4" w:rsidR="008C58F1" w:rsidRPr="009D6161" w:rsidRDefault="008C58F1" w:rsidP="00092D9D">
            <w:pPr>
              <w:pStyle w:val="BodyText2"/>
              <w:spacing w:after="0" w:line="240" w:lineRule="auto"/>
              <w:jc w:val="center"/>
              <w:rPr>
                <w:b/>
                <w:szCs w:val="22"/>
              </w:rPr>
            </w:pPr>
            <w:r w:rsidRPr="009D6161">
              <w:rPr>
                <w:szCs w:val="22"/>
              </w:rPr>
              <w:t>Non-Metals</w:t>
            </w:r>
          </w:p>
        </w:tc>
        <w:tc>
          <w:tcPr>
            <w:tcW w:w="2835" w:type="dxa"/>
            <w:gridSpan w:val="2"/>
          </w:tcPr>
          <w:p w14:paraId="75F2ECE8" w14:textId="77777777" w:rsidR="008C58F1" w:rsidRPr="009D6161" w:rsidRDefault="008C58F1" w:rsidP="008C58F1">
            <w:pPr>
              <w:pStyle w:val="BodyText2"/>
              <w:spacing w:after="0" w:line="240" w:lineRule="auto"/>
              <w:jc w:val="center"/>
              <w:rPr>
                <w:szCs w:val="22"/>
              </w:rPr>
            </w:pPr>
            <w:r w:rsidRPr="009D6161">
              <w:rPr>
                <w:szCs w:val="22"/>
              </w:rPr>
              <w:t>Metals</w:t>
            </w:r>
          </w:p>
          <w:p w14:paraId="754948DF" w14:textId="1676F7F9" w:rsidR="008C58F1" w:rsidRPr="009D6161" w:rsidRDefault="008C58F1" w:rsidP="00092D9D">
            <w:pPr>
              <w:pStyle w:val="BodyText2"/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8C58F1" w:rsidRPr="009D6161" w14:paraId="7FE48210" w14:textId="77777777" w:rsidTr="00AD5E79">
        <w:tc>
          <w:tcPr>
            <w:tcW w:w="1843" w:type="dxa"/>
          </w:tcPr>
          <w:p w14:paraId="68772FCE" w14:textId="50F957F3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r w:rsidRPr="009D6161">
              <w:rPr>
                <w:szCs w:val="22"/>
              </w:rPr>
              <w:t>Preliminary testing</w:t>
            </w:r>
          </w:p>
        </w:tc>
        <w:tc>
          <w:tcPr>
            <w:tcW w:w="5528" w:type="dxa"/>
            <w:gridSpan w:val="3"/>
          </w:tcPr>
          <w:p w14:paraId="10008B16" w14:textId="7FB33284" w:rsidR="008C58F1" w:rsidRPr="009D6161" w:rsidRDefault="008C58F1" w:rsidP="00092D9D">
            <w:pPr>
              <w:pStyle w:val="BodyText2"/>
              <w:spacing w:after="0" w:line="240" w:lineRule="auto"/>
              <w:jc w:val="center"/>
              <w:rPr>
                <w:b/>
                <w:szCs w:val="22"/>
              </w:rPr>
            </w:pPr>
            <w:r w:rsidRPr="009D6161">
              <w:rPr>
                <w:b/>
                <w:szCs w:val="22"/>
              </w:rPr>
              <w:t>200 mm length</w:t>
            </w:r>
          </w:p>
        </w:tc>
      </w:tr>
      <w:tr w:rsidR="008C58F1" w:rsidRPr="009D6161" w14:paraId="0C22D89B" w14:textId="77777777" w:rsidTr="00092D9D">
        <w:tc>
          <w:tcPr>
            <w:tcW w:w="1843" w:type="dxa"/>
          </w:tcPr>
          <w:p w14:paraId="5DE0A2B3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</w:p>
        </w:tc>
        <w:tc>
          <w:tcPr>
            <w:tcW w:w="2693" w:type="dxa"/>
          </w:tcPr>
          <w:p w14:paraId="0DCE8B11" w14:textId="77777777" w:rsidR="008C58F1" w:rsidRPr="009D6161" w:rsidRDefault="008C58F1" w:rsidP="00092D9D">
            <w:pPr>
              <w:pStyle w:val="BodyText2"/>
              <w:spacing w:after="0" w:line="240" w:lineRule="auto"/>
              <w:jc w:val="center"/>
              <w:rPr>
                <w:szCs w:val="22"/>
              </w:rPr>
            </w:pPr>
            <w:r w:rsidRPr="009D6161">
              <w:rPr>
                <w:szCs w:val="22"/>
              </w:rPr>
              <w:t>&lt; 2min proceed testing</w:t>
            </w:r>
          </w:p>
          <w:p w14:paraId="47B9BD14" w14:textId="77777777" w:rsidR="008C58F1" w:rsidRPr="009D6161" w:rsidRDefault="008C58F1" w:rsidP="00092D9D">
            <w:pPr>
              <w:pStyle w:val="BodyText2"/>
              <w:spacing w:after="0" w:line="240" w:lineRule="auto"/>
              <w:jc w:val="center"/>
              <w:rPr>
                <w:szCs w:val="22"/>
              </w:rPr>
            </w:pPr>
            <w:proofErr w:type="spellStart"/>
            <w:r w:rsidRPr="009D6161">
              <w:rPr>
                <w:b/>
                <w:szCs w:val="22"/>
              </w:rPr>
              <w:t>br</w:t>
            </w:r>
            <w:proofErr w:type="spellEnd"/>
            <w:r w:rsidRPr="009D6161">
              <w:rPr>
                <w:b/>
                <w:szCs w:val="22"/>
              </w:rPr>
              <w:t xml:space="preserve"> &gt; 100 mm/min</w:t>
            </w:r>
            <w:r w:rsidRPr="009D6161">
              <w:rPr>
                <w:szCs w:val="22"/>
              </w:rPr>
              <w:t xml:space="preserve"> proceed testing</w:t>
            </w:r>
          </w:p>
        </w:tc>
        <w:tc>
          <w:tcPr>
            <w:tcW w:w="2835" w:type="dxa"/>
            <w:gridSpan w:val="2"/>
          </w:tcPr>
          <w:p w14:paraId="3B97810E" w14:textId="77777777" w:rsidR="008C58F1" w:rsidRPr="009D6161" w:rsidRDefault="008C58F1" w:rsidP="00092D9D">
            <w:pPr>
              <w:pStyle w:val="BodyText2"/>
              <w:spacing w:after="0" w:line="240" w:lineRule="auto"/>
              <w:jc w:val="center"/>
              <w:rPr>
                <w:szCs w:val="22"/>
              </w:rPr>
            </w:pPr>
            <w:r w:rsidRPr="009D6161">
              <w:rPr>
                <w:szCs w:val="22"/>
              </w:rPr>
              <w:t>&lt; 20 min proceed testing</w:t>
            </w:r>
          </w:p>
          <w:p w14:paraId="3E3ED94B" w14:textId="77777777" w:rsidR="008C58F1" w:rsidRPr="009D6161" w:rsidRDefault="008C58F1" w:rsidP="00092D9D">
            <w:pPr>
              <w:pStyle w:val="BodyText2"/>
              <w:spacing w:after="0" w:line="240" w:lineRule="auto"/>
              <w:jc w:val="center"/>
              <w:rPr>
                <w:szCs w:val="22"/>
              </w:rPr>
            </w:pPr>
            <w:proofErr w:type="spellStart"/>
            <w:r w:rsidRPr="009D6161">
              <w:rPr>
                <w:b/>
                <w:szCs w:val="22"/>
              </w:rPr>
              <w:t>br</w:t>
            </w:r>
            <w:proofErr w:type="spellEnd"/>
            <w:r w:rsidRPr="009D6161">
              <w:rPr>
                <w:b/>
                <w:szCs w:val="22"/>
              </w:rPr>
              <w:t xml:space="preserve"> &gt; 10 mm/min</w:t>
            </w:r>
            <w:r w:rsidRPr="009D6161">
              <w:rPr>
                <w:szCs w:val="22"/>
              </w:rPr>
              <w:t xml:space="preserve"> proceed testing</w:t>
            </w:r>
          </w:p>
        </w:tc>
      </w:tr>
      <w:tr w:rsidR="008C58F1" w:rsidRPr="009D6161" w14:paraId="4428B9B3" w14:textId="77777777" w:rsidTr="00092D9D">
        <w:tc>
          <w:tcPr>
            <w:tcW w:w="1843" w:type="dxa"/>
          </w:tcPr>
          <w:p w14:paraId="2FDC7B4A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r w:rsidRPr="009D6161">
              <w:rPr>
                <w:szCs w:val="22"/>
              </w:rPr>
              <w:t>Full test</w:t>
            </w:r>
          </w:p>
        </w:tc>
        <w:tc>
          <w:tcPr>
            <w:tcW w:w="2693" w:type="dxa"/>
          </w:tcPr>
          <w:p w14:paraId="38729C93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b/>
                <w:szCs w:val="22"/>
              </w:rPr>
            </w:pPr>
            <w:r w:rsidRPr="009D6161">
              <w:rPr>
                <w:b/>
                <w:szCs w:val="22"/>
              </w:rPr>
              <w:t>100 mm length</w:t>
            </w:r>
          </w:p>
        </w:tc>
        <w:tc>
          <w:tcPr>
            <w:tcW w:w="1418" w:type="dxa"/>
          </w:tcPr>
          <w:p w14:paraId="1FED9350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r w:rsidRPr="009D6161">
              <w:rPr>
                <w:b/>
                <w:szCs w:val="22"/>
              </w:rPr>
              <w:t>100 mm length</w:t>
            </w:r>
          </w:p>
        </w:tc>
        <w:tc>
          <w:tcPr>
            <w:tcW w:w="1417" w:type="dxa"/>
          </w:tcPr>
          <w:p w14:paraId="78392AB7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r w:rsidRPr="009D6161">
              <w:rPr>
                <w:b/>
                <w:szCs w:val="22"/>
              </w:rPr>
              <w:t>250 mm length</w:t>
            </w:r>
          </w:p>
        </w:tc>
      </w:tr>
      <w:tr w:rsidR="008C58F1" w:rsidRPr="009D6161" w14:paraId="29CF0097" w14:textId="77777777" w:rsidTr="00092D9D">
        <w:tc>
          <w:tcPr>
            <w:tcW w:w="1843" w:type="dxa"/>
          </w:tcPr>
          <w:p w14:paraId="6968CE62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r w:rsidRPr="009D6161">
              <w:rPr>
                <w:szCs w:val="22"/>
              </w:rPr>
              <w:t>PG III</w:t>
            </w:r>
          </w:p>
        </w:tc>
        <w:tc>
          <w:tcPr>
            <w:tcW w:w="2693" w:type="dxa"/>
          </w:tcPr>
          <w:p w14:paraId="74C274F1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r w:rsidRPr="009D6161">
              <w:rPr>
                <w:szCs w:val="22"/>
              </w:rPr>
              <w:t>&lt; 45 s</w:t>
            </w:r>
          </w:p>
          <w:p w14:paraId="630D3E9B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b/>
                <w:szCs w:val="22"/>
              </w:rPr>
            </w:pPr>
            <w:proofErr w:type="spellStart"/>
            <w:r w:rsidRPr="009D6161">
              <w:rPr>
                <w:b/>
                <w:szCs w:val="22"/>
              </w:rPr>
              <w:t>br</w:t>
            </w:r>
            <w:proofErr w:type="spellEnd"/>
            <w:r w:rsidRPr="009D6161">
              <w:rPr>
                <w:b/>
                <w:szCs w:val="22"/>
              </w:rPr>
              <w:t xml:space="preserve"> &gt; 133.3 mm/min</w:t>
            </w:r>
          </w:p>
          <w:p w14:paraId="0E27A04C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r w:rsidRPr="009D6161">
              <w:rPr>
                <w:szCs w:val="22"/>
              </w:rPr>
              <w:t xml:space="preserve">and wetted zone stops propagation for 4 min </w:t>
            </w:r>
          </w:p>
        </w:tc>
        <w:tc>
          <w:tcPr>
            <w:tcW w:w="1418" w:type="dxa"/>
          </w:tcPr>
          <w:p w14:paraId="213D2AE0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r w:rsidRPr="009D6161">
              <w:rPr>
                <w:szCs w:val="22"/>
              </w:rPr>
              <w:t>&lt; 10 min</w:t>
            </w:r>
          </w:p>
          <w:p w14:paraId="42A28DBF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proofErr w:type="spellStart"/>
            <w:r w:rsidRPr="009D6161">
              <w:rPr>
                <w:b/>
                <w:szCs w:val="22"/>
              </w:rPr>
              <w:t>br</w:t>
            </w:r>
            <w:proofErr w:type="spellEnd"/>
            <w:r w:rsidRPr="009D6161">
              <w:rPr>
                <w:b/>
                <w:szCs w:val="22"/>
              </w:rPr>
              <w:t xml:space="preserve"> &gt; 10 mm/min</w:t>
            </w:r>
          </w:p>
        </w:tc>
        <w:tc>
          <w:tcPr>
            <w:tcW w:w="1417" w:type="dxa"/>
          </w:tcPr>
          <w:p w14:paraId="71249EF7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r w:rsidRPr="009D6161">
              <w:rPr>
                <w:szCs w:val="22"/>
              </w:rPr>
              <w:t>&lt; 10 min</w:t>
            </w:r>
          </w:p>
          <w:p w14:paraId="24F36DFB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b/>
                <w:szCs w:val="22"/>
              </w:rPr>
            </w:pPr>
            <w:proofErr w:type="spellStart"/>
            <w:r w:rsidRPr="009D6161">
              <w:rPr>
                <w:b/>
                <w:szCs w:val="22"/>
              </w:rPr>
              <w:t>br</w:t>
            </w:r>
            <w:proofErr w:type="spellEnd"/>
            <w:r w:rsidRPr="009D6161">
              <w:rPr>
                <w:b/>
                <w:szCs w:val="22"/>
              </w:rPr>
              <w:t xml:space="preserve"> &gt; 25 mm/min</w:t>
            </w:r>
          </w:p>
        </w:tc>
      </w:tr>
      <w:tr w:rsidR="008C58F1" w:rsidRPr="009D6161" w14:paraId="404131BD" w14:textId="77777777" w:rsidTr="00092D9D">
        <w:tc>
          <w:tcPr>
            <w:tcW w:w="1843" w:type="dxa"/>
          </w:tcPr>
          <w:p w14:paraId="0556627F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r w:rsidRPr="009D6161">
              <w:rPr>
                <w:szCs w:val="22"/>
              </w:rPr>
              <w:t>PG II</w:t>
            </w:r>
          </w:p>
        </w:tc>
        <w:tc>
          <w:tcPr>
            <w:tcW w:w="2693" w:type="dxa"/>
          </w:tcPr>
          <w:p w14:paraId="5E0D5A1B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r w:rsidRPr="009D6161">
              <w:rPr>
                <w:szCs w:val="22"/>
              </w:rPr>
              <w:t>wetted zone passed in 4 min</w:t>
            </w:r>
          </w:p>
        </w:tc>
        <w:tc>
          <w:tcPr>
            <w:tcW w:w="1418" w:type="dxa"/>
          </w:tcPr>
          <w:p w14:paraId="4146B1F3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r w:rsidRPr="009D6161">
              <w:rPr>
                <w:szCs w:val="22"/>
              </w:rPr>
              <w:t>&lt; 5 min</w:t>
            </w:r>
          </w:p>
          <w:p w14:paraId="50257F95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proofErr w:type="spellStart"/>
            <w:r w:rsidRPr="009D6161">
              <w:rPr>
                <w:b/>
                <w:szCs w:val="22"/>
              </w:rPr>
              <w:t>br</w:t>
            </w:r>
            <w:proofErr w:type="spellEnd"/>
            <w:r w:rsidRPr="009D6161">
              <w:rPr>
                <w:b/>
                <w:szCs w:val="22"/>
              </w:rPr>
              <w:t xml:space="preserve"> &gt; 20 mm/min</w:t>
            </w:r>
          </w:p>
        </w:tc>
        <w:tc>
          <w:tcPr>
            <w:tcW w:w="1417" w:type="dxa"/>
          </w:tcPr>
          <w:p w14:paraId="499C5BD5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szCs w:val="22"/>
              </w:rPr>
            </w:pPr>
            <w:r w:rsidRPr="009D6161">
              <w:rPr>
                <w:szCs w:val="22"/>
              </w:rPr>
              <w:t>&lt; 5 min</w:t>
            </w:r>
          </w:p>
          <w:p w14:paraId="0E7BD904" w14:textId="77777777" w:rsidR="008C58F1" w:rsidRPr="009D6161" w:rsidRDefault="008C58F1" w:rsidP="00092D9D">
            <w:pPr>
              <w:pStyle w:val="BodyText2"/>
              <w:spacing w:after="0" w:line="240" w:lineRule="auto"/>
              <w:rPr>
                <w:b/>
                <w:szCs w:val="22"/>
              </w:rPr>
            </w:pPr>
            <w:proofErr w:type="spellStart"/>
            <w:r w:rsidRPr="009D6161">
              <w:rPr>
                <w:b/>
                <w:szCs w:val="22"/>
              </w:rPr>
              <w:t>br</w:t>
            </w:r>
            <w:proofErr w:type="spellEnd"/>
            <w:r w:rsidRPr="009D6161">
              <w:rPr>
                <w:b/>
                <w:szCs w:val="22"/>
              </w:rPr>
              <w:t xml:space="preserve"> &gt; 50 mm/min</w:t>
            </w:r>
          </w:p>
        </w:tc>
      </w:tr>
    </w:tbl>
    <w:p w14:paraId="47F9993C" w14:textId="79415D73" w:rsidR="00F00C8D" w:rsidRPr="000D4D81" w:rsidRDefault="000B4E4B" w:rsidP="000D4D81">
      <w:pPr>
        <w:pStyle w:val="SingleTxtG"/>
        <w:spacing w:before="120"/>
        <w:jc w:val="center"/>
        <w:rPr>
          <w:rFonts w:eastAsia="MS Mincho"/>
          <w:b/>
          <w:lang w:val="en-US"/>
        </w:rPr>
      </w:pPr>
      <w:r w:rsidRPr="000D4D81">
        <w:rPr>
          <w:rFonts w:eastAsia="MS Mincho"/>
          <w:b/>
          <w:lang w:val="en-US"/>
        </w:rPr>
        <w:t>Table 1. Test method criteria for non-metals and me</w:t>
      </w:r>
      <w:r w:rsidR="00F00C8D" w:rsidRPr="000D4D81">
        <w:rPr>
          <w:rFonts w:eastAsia="MS Mincho"/>
          <w:b/>
          <w:lang w:val="en-US"/>
        </w:rPr>
        <w:t>tals for both measuring length</w:t>
      </w:r>
    </w:p>
    <w:p w14:paraId="39A02DAC" w14:textId="33462659" w:rsidR="008C58F1" w:rsidRPr="001A5F36" w:rsidRDefault="008C58F1" w:rsidP="008C58F1">
      <w:pPr>
        <w:pStyle w:val="SingleTxtG"/>
        <w:rPr>
          <w:rFonts w:eastAsia="MS Mincho"/>
          <w:lang w:val="en-US"/>
        </w:rPr>
      </w:pPr>
      <w:r w:rsidRPr="001A5F36">
        <w:rPr>
          <w:rFonts w:eastAsia="MS Mincho"/>
          <w:lang w:val="en-US"/>
        </w:rPr>
        <w:t xml:space="preserve">The criteria for </w:t>
      </w:r>
      <w:r w:rsidR="00BF76CE">
        <w:rPr>
          <w:rFonts w:eastAsia="MS Mincho"/>
          <w:lang w:val="en-US"/>
        </w:rPr>
        <w:t xml:space="preserve">non-metals are not questionable, </w:t>
      </w:r>
      <w:r w:rsidRPr="001A5F36">
        <w:rPr>
          <w:rFonts w:eastAsia="MS Mincho"/>
          <w:lang w:val="en-US"/>
        </w:rPr>
        <w:t xml:space="preserve">but for metals </w:t>
      </w:r>
      <w:r w:rsidR="00BF76CE">
        <w:rPr>
          <w:rFonts w:eastAsia="MS Mincho"/>
          <w:lang w:val="en-US"/>
        </w:rPr>
        <w:t>fur</w:t>
      </w:r>
      <w:r w:rsidR="000226E1">
        <w:rPr>
          <w:rFonts w:eastAsia="MS Mincho"/>
          <w:lang w:val="en-US"/>
        </w:rPr>
        <w:t>ther clarification is necessary.</w:t>
      </w:r>
    </w:p>
    <w:p w14:paraId="586DA6F8" w14:textId="6B2086D6" w:rsidR="008C58F1" w:rsidRPr="001A5F36" w:rsidRDefault="008C58F1" w:rsidP="000B4E4B">
      <w:pPr>
        <w:pStyle w:val="SingleTxtG"/>
        <w:rPr>
          <w:rFonts w:eastAsia="MS Mincho"/>
          <w:lang w:val="en-US"/>
        </w:rPr>
      </w:pPr>
      <w:r w:rsidRPr="001A5F36">
        <w:rPr>
          <w:rFonts w:eastAsia="MS Mincho"/>
          <w:lang w:val="en-US"/>
        </w:rPr>
        <w:t>An example illustrates the pr</w:t>
      </w:r>
      <w:r w:rsidR="000B4E4B" w:rsidRPr="001A5F36">
        <w:rPr>
          <w:rFonts w:eastAsia="MS Mincho"/>
          <w:lang w:val="en-US"/>
        </w:rPr>
        <w:t>oblem:</w:t>
      </w:r>
    </w:p>
    <w:p w14:paraId="457946DC" w14:textId="403ACA87" w:rsidR="008C58F1" w:rsidRPr="001A5F36" w:rsidRDefault="000B4E4B" w:rsidP="008C58F1">
      <w:pPr>
        <w:pStyle w:val="SingleTxtG"/>
        <w:rPr>
          <w:rFonts w:eastAsia="MS Mincho"/>
          <w:b/>
          <w:lang w:val="en-US"/>
        </w:rPr>
      </w:pPr>
      <w:r w:rsidRPr="001A5F36">
        <w:rPr>
          <w:rFonts w:eastAsia="MS Mincho"/>
          <w:b/>
          <w:lang w:val="en-US"/>
        </w:rPr>
        <w:t>Non-metals</w:t>
      </w:r>
    </w:p>
    <w:p w14:paraId="18811915" w14:textId="6199E4BA" w:rsidR="008C58F1" w:rsidRPr="001A5F36" w:rsidRDefault="008C58F1" w:rsidP="000B4E4B">
      <w:pPr>
        <w:pStyle w:val="SingleTxtG"/>
        <w:rPr>
          <w:rFonts w:eastAsia="MS Mincho"/>
          <w:lang w:val="en-US"/>
        </w:rPr>
      </w:pPr>
      <w:r w:rsidRPr="001A5F36">
        <w:rPr>
          <w:rFonts w:eastAsia="MS Mincho"/>
          <w:lang w:val="en-US"/>
        </w:rPr>
        <w:t>-</w:t>
      </w:r>
      <w:r w:rsidR="000D4D81">
        <w:rPr>
          <w:rFonts w:eastAsia="MS Mincho"/>
          <w:lang w:val="en-US"/>
        </w:rPr>
        <w:tab/>
      </w:r>
      <w:r w:rsidRPr="001A5F36">
        <w:rPr>
          <w:rFonts w:eastAsia="MS Mincho"/>
          <w:lang w:val="en-US"/>
        </w:rPr>
        <w:t xml:space="preserve">Example: non-metals with a </w:t>
      </w:r>
      <w:proofErr w:type="spellStart"/>
      <w:r w:rsidRPr="001A5F36">
        <w:rPr>
          <w:rFonts w:eastAsia="MS Mincho"/>
          <w:lang w:val="en-US"/>
        </w:rPr>
        <w:t>br</w:t>
      </w:r>
      <w:proofErr w:type="spellEnd"/>
      <w:r w:rsidRPr="001A5F36">
        <w:rPr>
          <w:rFonts w:eastAsia="MS Mincho"/>
          <w:lang w:val="en-US"/>
        </w:rPr>
        <w:t xml:space="preserve"> of 100-133.3 mm/min in the preliminary testing will not be d</w:t>
      </w:r>
      <w:r w:rsidR="001A5F36">
        <w:rPr>
          <w:rFonts w:eastAsia="MS Mincho"/>
          <w:lang w:val="en-US"/>
        </w:rPr>
        <w:t>ivision 4.1 after the full test.</w:t>
      </w:r>
    </w:p>
    <w:p w14:paraId="2BABEEB5" w14:textId="777A3141" w:rsidR="008C58F1" w:rsidRPr="001A5F36" w:rsidRDefault="008C58F1" w:rsidP="008C58F1">
      <w:pPr>
        <w:pStyle w:val="SingleTxtG"/>
        <w:rPr>
          <w:rFonts w:eastAsia="MS Mincho"/>
          <w:lang w:val="en-US"/>
        </w:rPr>
      </w:pPr>
      <w:r w:rsidRPr="001A5F36">
        <w:rPr>
          <w:rFonts w:eastAsia="MS Mincho"/>
          <w:lang w:val="en-US"/>
        </w:rPr>
        <w:t>-</w:t>
      </w:r>
      <w:r w:rsidR="000D4D81">
        <w:rPr>
          <w:rFonts w:eastAsia="MS Mincho"/>
          <w:lang w:val="en-US"/>
        </w:rPr>
        <w:tab/>
      </w:r>
      <w:r w:rsidRPr="001A5F36">
        <w:rPr>
          <w:rFonts w:eastAsia="MS Mincho"/>
          <w:lang w:val="en-US"/>
        </w:rPr>
        <w:t xml:space="preserve">For non-metals a PG III substance needs a higher </w:t>
      </w:r>
      <w:proofErr w:type="spellStart"/>
      <w:r w:rsidRPr="001A5F36">
        <w:rPr>
          <w:rFonts w:eastAsia="MS Mincho"/>
          <w:lang w:val="en-US"/>
        </w:rPr>
        <w:t>br</w:t>
      </w:r>
      <w:proofErr w:type="spellEnd"/>
      <w:r w:rsidRPr="001A5F36">
        <w:rPr>
          <w:rFonts w:eastAsia="MS Mincho"/>
          <w:lang w:val="en-US"/>
        </w:rPr>
        <w:t xml:space="preserve"> in the full test</w:t>
      </w:r>
      <w:r w:rsidR="00124441">
        <w:rPr>
          <w:rFonts w:eastAsia="MS Mincho"/>
          <w:lang w:val="en-US"/>
        </w:rPr>
        <w:t xml:space="preserve"> (&gt;133.3 mm/min)</w:t>
      </w:r>
      <w:r w:rsidRPr="001A5F36">
        <w:rPr>
          <w:rFonts w:eastAsia="MS Mincho"/>
          <w:lang w:val="en-US"/>
        </w:rPr>
        <w:t>.</w:t>
      </w:r>
    </w:p>
    <w:p w14:paraId="2DF4BE33" w14:textId="1220DF3D" w:rsidR="008C58F1" w:rsidRPr="001A5F36" w:rsidRDefault="008C58F1" w:rsidP="008C58F1">
      <w:pPr>
        <w:pStyle w:val="SingleTxtG"/>
        <w:rPr>
          <w:rFonts w:eastAsia="MS Mincho"/>
          <w:lang w:val="en-US"/>
        </w:rPr>
      </w:pPr>
      <w:r w:rsidRPr="001A5F36">
        <w:rPr>
          <w:rFonts w:eastAsia="MS Mincho"/>
          <w:lang w:val="en-US"/>
        </w:rPr>
        <w:t>-</w:t>
      </w:r>
      <w:r w:rsidR="000D4D81">
        <w:rPr>
          <w:rFonts w:eastAsia="MS Mincho"/>
          <w:lang w:val="en-US"/>
        </w:rPr>
        <w:tab/>
      </w:r>
      <w:r w:rsidRPr="001A5F36">
        <w:rPr>
          <w:rFonts w:eastAsia="MS Mincho"/>
          <w:lang w:val="en-US"/>
        </w:rPr>
        <w:t>The criteria for preliminary testing are not identical with the full test.</w:t>
      </w:r>
    </w:p>
    <w:p w14:paraId="02682A91" w14:textId="1FF04B8D" w:rsidR="008C58F1" w:rsidRPr="001A5F36" w:rsidRDefault="008C58F1" w:rsidP="008C58F1">
      <w:pPr>
        <w:pStyle w:val="SingleTxtG"/>
        <w:rPr>
          <w:rFonts w:eastAsia="MS Mincho"/>
          <w:b/>
          <w:lang w:val="en-US"/>
        </w:rPr>
      </w:pPr>
      <w:r w:rsidRPr="001A5F36">
        <w:rPr>
          <w:rFonts w:eastAsia="MS Mincho"/>
          <w:b/>
          <w:lang w:val="en-US"/>
        </w:rPr>
        <w:t>For metals: 100 mm length</w:t>
      </w:r>
      <w:r w:rsidR="000B4E4B" w:rsidRPr="001A5F36">
        <w:rPr>
          <w:rFonts w:eastAsia="MS Mincho"/>
          <w:b/>
          <w:lang w:val="en-US"/>
        </w:rPr>
        <w:t xml:space="preserve"> criteria</w:t>
      </w:r>
    </w:p>
    <w:p w14:paraId="350C8A53" w14:textId="370059F0" w:rsidR="008C58F1" w:rsidRPr="001A5F36" w:rsidRDefault="008C58F1" w:rsidP="008C58F1">
      <w:pPr>
        <w:pStyle w:val="SingleTxtG"/>
        <w:rPr>
          <w:rFonts w:eastAsia="MS Mincho"/>
          <w:lang w:val="en-US"/>
        </w:rPr>
      </w:pPr>
      <w:r w:rsidRPr="001A5F36">
        <w:rPr>
          <w:rFonts w:eastAsia="MS Mincho"/>
          <w:lang w:val="en-US"/>
        </w:rPr>
        <w:t>-</w:t>
      </w:r>
      <w:r w:rsidR="000D4D81">
        <w:rPr>
          <w:rFonts w:eastAsia="MS Mincho"/>
          <w:lang w:val="en-US"/>
        </w:rPr>
        <w:tab/>
      </w:r>
      <w:r w:rsidRPr="001A5F36">
        <w:rPr>
          <w:rFonts w:eastAsia="MS Mincho"/>
          <w:lang w:val="en-US"/>
        </w:rPr>
        <w:t>Criteria for preliminary test and full test are equal for classification of PG III.</w:t>
      </w:r>
    </w:p>
    <w:p w14:paraId="3D236074" w14:textId="2F9717B9" w:rsidR="008C58F1" w:rsidRPr="001A5F36" w:rsidRDefault="008C58F1" w:rsidP="008C58F1">
      <w:pPr>
        <w:pStyle w:val="SingleTxtG"/>
        <w:rPr>
          <w:rFonts w:eastAsia="MS Mincho"/>
          <w:lang w:val="en-US"/>
        </w:rPr>
      </w:pPr>
      <w:r w:rsidRPr="001A5F36">
        <w:rPr>
          <w:rFonts w:eastAsia="MS Mincho"/>
          <w:lang w:val="en-US"/>
        </w:rPr>
        <w:t>-</w:t>
      </w:r>
      <w:r w:rsidR="000D4D81">
        <w:rPr>
          <w:rFonts w:eastAsia="MS Mincho"/>
          <w:lang w:val="en-US"/>
        </w:rPr>
        <w:tab/>
      </w:r>
      <w:r w:rsidRPr="001A5F36">
        <w:rPr>
          <w:rFonts w:eastAsia="MS Mincho"/>
          <w:lang w:val="en-US"/>
        </w:rPr>
        <w:t xml:space="preserve">Preliminary testing could </w:t>
      </w:r>
      <w:r w:rsidR="000B4E4B" w:rsidRPr="001A5F36">
        <w:rPr>
          <w:rFonts w:eastAsia="MS Mincho"/>
          <w:lang w:val="en-US"/>
        </w:rPr>
        <w:t>also be used for classification</w:t>
      </w:r>
      <w:r w:rsidRPr="001A5F36">
        <w:rPr>
          <w:rFonts w:eastAsia="MS Mincho"/>
          <w:lang w:val="en-US"/>
        </w:rPr>
        <w:t>!</w:t>
      </w:r>
    </w:p>
    <w:p w14:paraId="22AE8856" w14:textId="608F28D4" w:rsidR="008C58F1" w:rsidRPr="001A5F36" w:rsidRDefault="008C58F1" w:rsidP="008C58F1">
      <w:pPr>
        <w:pStyle w:val="SingleTxtG"/>
        <w:rPr>
          <w:rFonts w:eastAsia="MS Mincho"/>
          <w:b/>
          <w:lang w:val="en-US"/>
        </w:rPr>
      </w:pPr>
      <w:r w:rsidRPr="001A5F36">
        <w:rPr>
          <w:rFonts w:eastAsia="MS Mincho"/>
          <w:b/>
          <w:lang w:val="en-US"/>
        </w:rPr>
        <w:t>For metals 250 mm length</w:t>
      </w:r>
      <w:r w:rsidR="000B4E4B" w:rsidRPr="001A5F36">
        <w:rPr>
          <w:rFonts w:eastAsia="MS Mincho"/>
          <w:b/>
          <w:lang w:val="en-US"/>
        </w:rPr>
        <w:t xml:space="preserve"> criteria</w:t>
      </w:r>
    </w:p>
    <w:p w14:paraId="1CB11C3E" w14:textId="267B0AFB" w:rsidR="008C58F1" w:rsidRPr="001A5F36" w:rsidRDefault="008C58F1" w:rsidP="008C58F1">
      <w:pPr>
        <w:pStyle w:val="SingleTxtG"/>
        <w:rPr>
          <w:rFonts w:eastAsia="MS Mincho"/>
          <w:lang w:val="en-US"/>
        </w:rPr>
      </w:pPr>
      <w:r w:rsidRPr="001A5F36">
        <w:rPr>
          <w:rFonts w:eastAsia="MS Mincho"/>
          <w:lang w:val="en-US"/>
        </w:rPr>
        <w:t>-</w:t>
      </w:r>
      <w:r w:rsidR="000D4D81">
        <w:rPr>
          <w:rFonts w:eastAsia="MS Mincho"/>
          <w:lang w:val="en-US"/>
        </w:rPr>
        <w:tab/>
      </w:r>
      <w:r w:rsidR="000B4E4B" w:rsidRPr="001A5F36">
        <w:rPr>
          <w:rFonts w:eastAsia="MS Mincho"/>
          <w:lang w:val="en-US"/>
        </w:rPr>
        <w:t>M</w:t>
      </w:r>
      <w:r w:rsidRPr="001A5F36">
        <w:rPr>
          <w:rFonts w:eastAsia="MS Mincho"/>
          <w:lang w:val="en-US"/>
        </w:rPr>
        <w:t xml:space="preserve">etals with a </w:t>
      </w:r>
      <w:proofErr w:type="spellStart"/>
      <w:r w:rsidRPr="001A5F36">
        <w:rPr>
          <w:rFonts w:eastAsia="MS Mincho"/>
          <w:lang w:val="en-US"/>
        </w:rPr>
        <w:t>br</w:t>
      </w:r>
      <w:proofErr w:type="spellEnd"/>
      <w:r w:rsidRPr="001A5F36">
        <w:rPr>
          <w:rFonts w:eastAsia="MS Mincho"/>
          <w:lang w:val="en-US"/>
        </w:rPr>
        <w:t xml:space="preserve"> of 10 to 25 mm/min in the preliminary testing will not be division 4.1.</w:t>
      </w:r>
    </w:p>
    <w:p w14:paraId="69DBC24C" w14:textId="01DCA57F" w:rsidR="008C58F1" w:rsidRPr="001A5F36" w:rsidRDefault="008C58F1" w:rsidP="000B4E4B">
      <w:pPr>
        <w:pStyle w:val="SingleTxtG"/>
        <w:rPr>
          <w:rFonts w:eastAsia="MS Mincho"/>
          <w:lang w:val="en-US"/>
        </w:rPr>
      </w:pPr>
      <w:r w:rsidRPr="001A5F36">
        <w:rPr>
          <w:rFonts w:eastAsia="MS Mincho"/>
          <w:lang w:val="en-US"/>
        </w:rPr>
        <w:t>-</w:t>
      </w:r>
      <w:r w:rsidR="000D4D81">
        <w:rPr>
          <w:rFonts w:eastAsia="MS Mincho"/>
          <w:lang w:val="en-US"/>
        </w:rPr>
        <w:tab/>
      </w:r>
      <w:r w:rsidRPr="001A5F36">
        <w:rPr>
          <w:rFonts w:eastAsia="MS Mincho"/>
          <w:lang w:val="en-US"/>
        </w:rPr>
        <w:t xml:space="preserve">A PG III metal needs a higher </w:t>
      </w:r>
      <w:proofErr w:type="spellStart"/>
      <w:r w:rsidRPr="001A5F36">
        <w:rPr>
          <w:rFonts w:eastAsia="MS Mincho"/>
          <w:lang w:val="en-US"/>
        </w:rPr>
        <w:t>br</w:t>
      </w:r>
      <w:proofErr w:type="spellEnd"/>
      <w:r w:rsidRPr="001A5F36">
        <w:rPr>
          <w:rFonts w:eastAsia="MS Mincho"/>
          <w:lang w:val="en-US"/>
        </w:rPr>
        <w:t xml:space="preserve"> than in the preliminary testing which is more consistent to non-metals criteria!</w:t>
      </w:r>
    </w:p>
    <w:p w14:paraId="3B38C4BB" w14:textId="7B3E983B" w:rsidR="008C58F1" w:rsidRPr="008C58F1" w:rsidRDefault="00DF3BB3" w:rsidP="008C58F1">
      <w:pPr>
        <w:pStyle w:val="SingleTxtG"/>
        <w:rPr>
          <w:rFonts w:eastAsia="MS Mincho"/>
          <w:lang w:val="en-US"/>
        </w:rPr>
      </w:pPr>
      <w:r>
        <w:rPr>
          <w:b/>
          <w:sz w:val="28"/>
          <w:szCs w:val="28"/>
          <w:lang w:val="en-US"/>
        </w:rPr>
        <w:t>Proposal</w:t>
      </w:r>
    </w:p>
    <w:p w14:paraId="66657613" w14:textId="19CD587C" w:rsidR="008C58F1" w:rsidRDefault="00DF3BB3" w:rsidP="008C58F1">
      <w:pPr>
        <w:pStyle w:val="SingleTxtG"/>
        <w:numPr>
          <w:ilvl w:val="0"/>
          <w:numId w:val="43"/>
        </w:numPr>
        <w:ind w:left="1134" w:firstLine="0"/>
        <w:rPr>
          <w:rFonts w:eastAsia="MS Mincho"/>
          <w:lang w:val="en-GB"/>
        </w:rPr>
      </w:pPr>
      <w:r>
        <w:rPr>
          <w:rFonts w:eastAsia="MS Mincho"/>
          <w:lang w:val="en-GB"/>
        </w:rPr>
        <w:t>The expert of Germany is of the opinion that further work is needed on this</w:t>
      </w:r>
      <w:r w:rsidR="00531995">
        <w:rPr>
          <w:rFonts w:eastAsia="MS Mincho"/>
          <w:lang w:val="en-GB"/>
        </w:rPr>
        <w:t xml:space="preserve"> topic</w:t>
      </w:r>
      <w:r>
        <w:rPr>
          <w:rFonts w:eastAsia="MS Mincho"/>
          <w:lang w:val="en-GB"/>
        </w:rPr>
        <w:t xml:space="preserve"> and invites interested delegations</w:t>
      </w:r>
      <w:r w:rsidR="008C58F1">
        <w:rPr>
          <w:rFonts w:eastAsia="MS Mincho"/>
          <w:lang w:val="en-GB"/>
        </w:rPr>
        <w:t xml:space="preserve"> to </w:t>
      </w:r>
      <w:r>
        <w:rPr>
          <w:rFonts w:eastAsia="MS Mincho"/>
          <w:lang w:val="en-GB"/>
        </w:rPr>
        <w:t>report</w:t>
      </w:r>
      <w:r w:rsidR="008C58F1">
        <w:rPr>
          <w:rFonts w:eastAsia="MS Mincho"/>
          <w:lang w:val="en-GB"/>
        </w:rPr>
        <w:t xml:space="preserve"> their experience with </w:t>
      </w:r>
      <w:proofErr w:type="gramStart"/>
      <w:r w:rsidR="008C58F1">
        <w:rPr>
          <w:rFonts w:eastAsia="MS Mincho"/>
          <w:lang w:val="en-GB"/>
        </w:rPr>
        <w:t>this</w:t>
      </w:r>
      <w:proofErr w:type="gramEnd"/>
      <w:r w:rsidR="008C58F1">
        <w:rPr>
          <w:rFonts w:eastAsia="MS Mincho"/>
          <w:lang w:val="en-GB"/>
        </w:rPr>
        <w:t xml:space="preserve"> method/criteria.</w:t>
      </w:r>
    </w:p>
    <w:p w14:paraId="02EA243F" w14:textId="0158A0AE" w:rsidR="00124441" w:rsidRPr="008C58F1" w:rsidRDefault="00531995" w:rsidP="00DF3BB3">
      <w:pPr>
        <w:pStyle w:val="SingleTxtG"/>
        <w:rPr>
          <w:rFonts w:eastAsia="MS Mincho"/>
          <w:lang w:val="en-GB"/>
        </w:rPr>
      </w:pPr>
      <w:r>
        <w:rPr>
          <w:rFonts w:eastAsia="MS Mincho"/>
          <w:lang w:val="en-GB"/>
        </w:rPr>
        <w:t>7.</w:t>
      </w:r>
      <w:r>
        <w:rPr>
          <w:rFonts w:eastAsia="MS Mincho"/>
          <w:lang w:val="en-GB"/>
        </w:rPr>
        <w:tab/>
      </w:r>
      <w:r w:rsidR="00DF3BB3">
        <w:rPr>
          <w:rFonts w:eastAsia="MS Mincho"/>
          <w:lang w:val="en-GB"/>
        </w:rPr>
        <w:t xml:space="preserve">It is proposed to </w:t>
      </w:r>
      <w:r w:rsidR="00DF3BB3" w:rsidRPr="00DF3BB3">
        <w:rPr>
          <w:rFonts w:eastAsia="MS Mincho"/>
          <w:lang w:val="en-GB"/>
        </w:rPr>
        <w:t>place this topic onto the work plan for discussion during the next biennium</w:t>
      </w:r>
      <w:r w:rsidR="00124441">
        <w:rPr>
          <w:rFonts w:eastAsia="MS Mincho"/>
          <w:lang w:val="en-GB"/>
        </w:rPr>
        <w:t>.</w:t>
      </w:r>
      <w:r w:rsidR="00DF3BB3">
        <w:rPr>
          <w:rFonts w:eastAsia="MS Mincho"/>
          <w:lang w:val="en-GB"/>
        </w:rPr>
        <w:t xml:space="preserve"> Furthermore, the</w:t>
      </w:r>
      <w:r>
        <w:rPr>
          <w:rFonts w:eastAsia="MS Mincho"/>
          <w:lang w:val="en-GB"/>
        </w:rPr>
        <w:t xml:space="preserve"> preliminary adopted</w:t>
      </w:r>
      <w:r w:rsidR="00DF3BB3">
        <w:rPr>
          <w:rFonts w:eastAsia="MS Mincho"/>
          <w:lang w:val="en-GB"/>
        </w:rPr>
        <w:t xml:space="preserve"> amendments to </w:t>
      </w:r>
      <w:r w:rsidR="00DF3BB3" w:rsidRPr="00DF3BB3">
        <w:rPr>
          <w:rFonts w:eastAsia="MS Mincho"/>
          <w:lang w:val="en-GB"/>
        </w:rPr>
        <w:t>33.2.1.4.4.1, 33.2.1.4.4.2 and 333.2.1.4.4.3 of the Manual of Tests and Criteria</w:t>
      </w:r>
      <w:r>
        <w:rPr>
          <w:rFonts w:eastAsia="MS Mincho"/>
          <w:lang w:val="en-GB"/>
        </w:rPr>
        <w:t xml:space="preserve"> (see ST/SG/AC.10/C.3/2016/55 – Consolidated list of adopted texts) should be deleted from list of draft amendments to the sixth revised edition of the Manual of Tests und Criteria.</w:t>
      </w:r>
    </w:p>
    <w:p w14:paraId="25EFD0BE" w14:textId="30F12E81" w:rsidR="00280CBF" w:rsidRPr="001A5F36" w:rsidRDefault="000D4D81" w:rsidP="000D4D81">
      <w:pPr>
        <w:pStyle w:val="SingleTxtG"/>
        <w:jc w:val="center"/>
        <w:rPr>
          <w:rFonts w:eastAsia="MS Mincho"/>
          <w:lang w:val="en-GB"/>
        </w:rPr>
      </w:pPr>
      <w:r>
        <w:rPr>
          <w:rFonts w:eastAsia="MS Mincho"/>
          <w:lang w:val="en-GB"/>
        </w:rPr>
        <w:t>_________________</w:t>
      </w:r>
    </w:p>
    <w:sectPr w:rsidR="00280CBF" w:rsidRPr="001A5F36" w:rsidSect="00280CB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1134" w:bottom="851" w:left="1134" w:header="851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BB1FF" w14:textId="77777777" w:rsidR="00F0009C" w:rsidRDefault="00F0009C"/>
  </w:endnote>
  <w:endnote w:type="continuationSeparator" w:id="0">
    <w:p w14:paraId="0065D389" w14:textId="77777777" w:rsidR="00F0009C" w:rsidRDefault="00F0009C"/>
  </w:endnote>
  <w:endnote w:type="continuationNotice" w:id="1">
    <w:p w14:paraId="4C263945" w14:textId="77777777" w:rsidR="00F0009C" w:rsidRDefault="00F00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C3BED" w14:textId="0DF29466" w:rsidR="00B35AEF" w:rsidRPr="000216CC" w:rsidRDefault="00B35AEF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CA5F11">
      <w:rPr>
        <w:b/>
        <w:noProof/>
        <w:sz w:val="18"/>
      </w:rPr>
      <w:t>2</w:t>
    </w:r>
    <w:r w:rsidRPr="000216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A6AC7" w14:textId="77777777" w:rsidR="00B35AEF" w:rsidRPr="00594F31" w:rsidRDefault="00B35AEF" w:rsidP="00594F31">
    <w:pPr>
      <w:pStyle w:val="Footer"/>
      <w:jc w:val="right"/>
      <w:rPr>
        <w:b/>
        <w:sz w:val="18"/>
      </w:rPr>
    </w:pPr>
    <w:r w:rsidRPr="00594F31">
      <w:rPr>
        <w:b/>
        <w:sz w:val="18"/>
      </w:rPr>
      <w:fldChar w:fldCharType="begin"/>
    </w:r>
    <w:r w:rsidRPr="00594F31">
      <w:rPr>
        <w:b/>
        <w:sz w:val="18"/>
      </w:rPr>
      <w:instrText xml:space="preserve"> PAGE   \* MERGEFORMAT </w:instrText>
    </w:r>
    <w:r w:rsidRPr="00594F31">
      <w:rPr>
        <w:b/>
        <w:sz w:val="18"/>
      </w:rPr>
      <w:fldChar w:fldCharType="separate"/>
    </w:r>
    <w:r w:rsidR="00F00C8D">
      <w:rPr>
        <w:b/>
        <w:noProof/>
        <w:sz w:val="18"/>
      </w:rPr>
      <w:t>3</w:t>
    </w:r>
    <w:r w:rsidRPr="00594F31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DAF5" w14:textId="055CBC88" w:rsidR="00FF4687" w:rsidRPr="00667788" w:rsidRDefault="00FF4687" w:rsidP="008800FF">
    <w:pPr>
      <w:pStyle w:val="Footer"/>
      <w:jc w:val="right"/>
      <w:rPr>
        <w:b/>
        <w:sz w:val="22"/>
      </w:rPr>
    </w:pPr>
    <w:r w:rsidRPr="00667788">
      <w:rPr>
        <w:b/>
        <w:sz w:val="18"/>
      </w:rPr>
      <w:fldChar w:fldCharType="begin"/>
    </w:r>
    <w:r w:rsidRPr="00667788">
      <w:rPr>
        <w:b/>
        <w:sz w:val="18"/>
      </w:rPr>
      <w:instrText xml:space="preserve"> PAGE   \* MERGEFORMAT </w:instrText>
    </w:r>
    <w:r w:rsidRPr="00667788">
      <w:rPr>
        <w:b/>
        <w:sz w:val="18"/>
      </w:rPr>
      <w:fldChar w:fldCharType="separate"/>
    </w:r>
    <w:r w:rsidR="00CA5F11">
      <w:rPr>
        <w:b/>
        <w:noProof/>
        <w:sz w:val="18"/>
      </w:rPr>
      <w:t>1</w:t>
    </w:r>
    <w:r w:rsidRPr="00667788">
      <w:rPr>
        <w:b/>
        <w:noProof/>
        <w:sz w:val="18"/>
      </w:rPr>
      <w:fldChar w:fldCharType="end"/>
    </w:r>
  </w:p>
  <w:p w14:paraId="164AA13B" w14:textId="77777777" w:rsidR="00FF4687" w:rsidRDefault="00FF46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AAE17" w14:textId="77777777" w:rsidR="00F0009C" w:rsidRPr="000B175B" w:rsidRDefault="00F0009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045F50" w14:textId="77777777" w:rsidR="00F0009C" w:rsidRPr="00FC68B7" w:rsidRDefault="00F0009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79B0E0" w14:textId="77777777" w:rsidR="00F0009C" w:rsidRDefault="00F000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1FE23" w14:textId="342D0AAC" w:rsidR="00B35AEF" w:rsidRPr="00B5392B" w:rsidRDefault="000226E1">
    <w:pPr>
      <w:pStyle w:val="Header"/>
      <w:rPr>
        <w:lang w:val="nl-NL"/>
      </w:rPr>
    </w:pPr>
    <w:r>
      <w:rPr>
        <w:lang w:val="nl-NL"/>
      </w:rPr>
      <w:t>UN/SCETDG/50/INF.27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6B42" w14:textId="77777777" w:rsidR="00B35AEF" w:rsidRPr="00947F38" w:rsidRDefault="00B35AEF" w:rsidP="009E47FC">
    <w:pPr>
      <w:pStyle w:val="Header"/>
      <w:jc w:val="right"/>
      <w:rPr>
        <w:lang w:val="fr-CH"/>
      </w:rPr>
    </w:pPr>
    <w:r w:rsidRPr="00947F38">
      <w:rPr>
        <w:lang w:val="fr-CH"/>
      </w:rPr>
      <w:t>UN/SCETDG/</w:t>
    </w:r>
    <w:r>
      <w:rPr>
        <w:lang w:val="fr-CH"/>
      </w:rPr>
      <w:t>50</w:t>
    </w:r>
    <w:r w:rsidRPr="00947F38">
      <w:rPr>
        <w:lang w:val="fr-CH"/>
      </w:rPr>
      <w:t>/INF.</w:t>
    </w:r>
    <w:r>
      <w:rPr>
        <w:lang w:val="fr-CH"/>
      </w:rPr>
      <w:t>14</w:t>
    </w:r>
    <w:r w:rsidRPr="00947F38">
      <w:rPr>
        <w:lang w:val="fr-CH"/>
      </w:rPr>
      <w:br/>
      <w:t>UN/SCEGHS/3</w:t>
    </w:r>
    <w:r>
      <w:rPr>
        <w:lang w:val="fr-CH"/>
      </w:rPr>
      <w:t>2</w:t>
    </w:r>
    <w:r w:rsidRPr="00947F38">
      <w:rPr>
        <w:lang w:val="fr-CH"/>
      </w:rPr>
      <w:t>/INF.</w:t>
    </w:r>
    <w:r>
      <w:rPr>
        <w:lang w:val="fr-CH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904C5"/>
    <w:multiLevelType w:val="multilevel"/>
    <w:tmpl w:val="54C43D2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C9D266F"/>
    <w:multiLevelType w:val="multilevel"/>
    <w:tmpl w:val="3FB8F978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>
    <w:nsid w:val="1097194C"/>
    <w:multiLevelType w:val="hybridMultilevel"/>
    <w:tmpl w:val="391692A0"/>
    <w:lvl w:ilvl="0" w:tplc="6DA81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F0563"/>
    <w:multiLevelType w:val="multilevel"/>
    <w:tmpl w:val="CAEC5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>
    <w:nsid w:val="152C7F68"/>
    <w:multiLevelType w:val="hybridMultilevel"/>
    <w:tmpl w:val="1E46ED6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8DF5A88"/>
    <w:multiLevelType w:val="hybridMultilevel"/>
    <w:tmpl w:val="A8D6CAAA"/>
    <w:lvl w:ilvl="0" w:tplc="58A2C878">
      <w:start w:val="1"/>
      <w:numFmt w:val="bullet"/>
      <w:lvlText w:val="–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3">
    <w:nsid w:val="33837532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4">
    <w:nsid w:val="348168ED"/>
    <w:multiLevelType w:val="hybridMultilevel"/>
    <w:tmpl w:val="BE60F3F4"/>
    <w:lvl w:ilvl="0" w:tplc="663C660A">
      <w:start w:val="1"/>
      <w:numFmt w:val="lowerLetter"/>
      <w:lvlText w:val="(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6">
    <w:nsid w:val="37F91969"/>
    <w:multiLevelType w:val="multilevel"/>
    <w:tmpl w:val="F2727EE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384C6B67"/>
    <w:multiLevelType w:val="multilevel"/>
    <w:tmpl w:val="5728F454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8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E6CA6"/>
    <w:multiLevelType w:val="hybridMultilevel"/>
    <w:tmpl w:val="7C14A3FC"/>
    <w:lvl w:ilvl="0" w:tplc="9F82D3C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00EBB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3">
    <w:nsid w:val="4CAB0053"/>
    <w:multiLevelType w:val="hybridMultilevel"/>
    <w:tmpl w:val="5D304FFC"/>
    <w:lvl w:ilvl="0" w:tplc="49F2387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4D730CB5"/>
    <w:multiLevelType w:val="multilevel"/>
    <w:tmpl w:val="561A7B4C"/>
    <w:lvl w:ilvl="0">
      <w:start w:val="2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F041F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64597E50"/>
    <w:multiLevelType w:val="hybridMultilevel"/>
    <w:tmpl w:val="0F24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1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750F9"/>
    <w:multiLevelType w:val="multilevel"/>
    <w:tmpl w:val="708E5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9AE64EA"/>
    <w:multiLevelType w:val="multilevel"/>
    <w:tmpl w:val="70AE34F8"/>
    <w:lvl w:ilvl="0">
      <w:start w:val="1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5">
    <w:nsid w:val="7D993563"/>
    <w:multiLevelType w:val="hybridMultilevel"/>
    <w:tmpl w:val="66007052"/>
    <w:lvl w:ilvl="0" w:tplc="33E8D0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17"/>
  </w:num>
  <w:num w:numId="13">
    <w:abstractNumId w:val="12"/>
  </w:num>
  <w:num w:numId="14">
    <w:abstractNumId w:val="39"/>
  </w:num>
  <w:num w:numId="15">
    <w:abstractNumId w:val="42"/>
  </w:num>
  <w:num w:numId="16">
    <w:abstractNumId w:val="28"/>
  </w:num>
  <w:num w:numId="17">
    <w:abstractNumId w:val="35"/>
  </w:num>
  <w:num w:numId="18">
    <w:abstractNumId w:val="41"/>
  </w:num>
  <w:num w:numId="19">
    <w:abstractNumId w:val="25"/>
  </w:num>
  <w:num w:numId="20">
    <w:abstractNumId w:val="40"/>
  </w:num>
  <w:num w:numId="21">
    <w:abstractNumId w:val="22"/>
  </w:num>
  <w:num w:numId="22">
    <w:abstractNumId w:val="31"/>
  </w:num>
  <w:num w:numId="23">
    <w:abstractNumId w:val="46"/>
  </w:num>
  <w:num w:numId="24">
    <w:abstractNumId w:val="20"/>
  </w:num>
  <w:num w:numId="25">
    <w:abstractNumId w:val="30"/>
  </w:num>
  <w:num w:numId="26">
    <w:abstractNumId w:val="19"/>
  </w:num>
  <w:num w:numId="27">
    <w:abstractNumId w:val="13"/>
  </w:num>
  <w:num w:numId="28">
    <w:abstractNumId w:val="44"/>
  </w:num>
  <w:num w:numId="29">
    <w:abstractNumId w:val="34"/>
  </w:num>
  <w:num w:numId="30">
    <w:abstractNumId w:val="27"/>
  </w:num>
  <w:num w:numId="31">
    <w:abstractNumId w:val="36"/>
  </w:num>
  <w:num w:numId="32">
    <w:abstractNumId w:val="23"/>
  </w:num>
  <w:num w:numId="33">
    <w:abstractNumId w:val="32"/>
  </w:num>
  <w:num w:numId="34">
    <w:abstractNumId w:val="43"/>
  </w:num>
  <w:num w:numId="35">
    <w:abstractNumId w:val="10"/>
  </w:num>
  <w:num w:numId="36">
    <w:abstractNumId w:val="26"/>
  </w:num>
  <w:num w:numId="37">
    <w:abstractNumId w:val="15"/>
  </w:num>
  <w:num w:numId="38">
    <w:abstractNumId w:val="38"/>
  </w:num>
  <w:num w:numId="39">
    <w:abstractNumId w:val="16"/>
  </w:num>
  <w:num w:numId="40">
    <w:abstractNumId w:val="18"/>
  </w:num>
  <w:num w:numId="41">
    <w:abstractNumId w:val="33"/>
  </w:num>
  <w:num w:numId="42">
    <w:abstractNumId w:val="14"/>
  </w:num>
  <w:num w:numId="43">
    <w:abstractNumId w:val="45"/>
  </w:num>
  <w:num w:numId="44">
    <w:abstractNumId w:val="21"/>
  </w:num>
  <w:num w:numId="45">
    <w:abstractNumId w:val="11"/>
  </w:num>
  <w:num w:numId="46">
    <w:abstractNumId w:val="24"/>
  </w:num>
  <w:num w:numId="47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AC10_C3_BIS_E"/>
  </w:docVars>
  <w:rsids>
    <w:rsidRoot w:val="000216CC"/>
    <w:rsid w:val="000019B8"/>
    <w:rsid w:val="00006FAE"/>
    <w:rsid w:val="000133C5"/>
    <w:rsid w:val="00017D24"/>
    <w:rsid w:val="000216CC"/>
    <w:rsid w:val="000226AB"/>
    <w:rsid w:val="000226E1"/>
    <w:rsid w:val="0003398F"/>
    <w:rsid w:val="00043180"/>
    <w:rsid w:val="000504CE"/>
    <w:rsid w:val="00050922"/>
    <w:rsid w:val="00050F6B"/>
    <w:rsid w:val="00053492"/>
    <w:rsid w:val="0005710C"/>
    <w:rsid w:val="000618D2"/>
    <w:rsid w:val="0006267E"/>
    <w:rsid w:val="00064402"/>
    <w:rsid w:val="00066F8F"/>
    <w:rsid w:val="00067E6D"/>
    <w:rsid w:val="000725D2"/>
    <w:rsid w:val="00072C8C"/>
    <w:rsid w:val="00073129"/>
    <w:rsid w:val="00073341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A678D"/>
    <w:rsid w:val="000B175B"/>
    <w:rsid w:val="000B2968"/>
    <w:rsid w:val="000B3A0F"/>
    <w:rsid w:val="000B4919"/>
    <w:rsid w:val="000B4E4B"/>
    <w:rsid w:val="000B7AF2"/>
    <w:rsid w:val="000C1ED8"/>
    <w:rsid w:val="000C4350"/>
    <w:rsid w:val="000C5D4B"/>
    <w:rsid w:val="000C64C5"/>
    <w:rsid w:val="000C717F"/>
    <w:rsid w:val="000D0B8F"/>
    <w:rsid w:val="000D4819"/>
    <w:rsid w:val="000D481F"/>
    <w:rsid w:val="000D4D81"/>
    <w:rsid w:val="000D6D97"/>
    <w:rsid w:val="000D7830"/>
    <w:rsid w:val="000E0415"/>
    <w:rsid w:val="000F52D6"/>
    <w:rsid w:val="000F6A20"/>
    <w:rsid w:val="001001A5"/>
    <w:rsid w:val="001039FD"/>
    <w:rsid w:val="0010461A"/>
    <w:rsid w:val="001106F4"/>
    <w:rsid w:val="00113320"/>
    <w:rsid w:val="00115303"/>
    <w:rsid w:val="00117787"/>
    <w:rsid w:val="00117D0D"/>
    <w:rsid w:val="00121EB7"/>
    <w:rsid w:val="00121F9B"/>
    <w:rsid w:val="00123BDC"/>
    <w:rsid w:val="00124441"/>
    <w:rsid w:val="00131B10"/>
    <w:rsid w:val="00131D42"/>
    <w:rsid w:val="00133C50"/>
    <w:rsid w:val="001406F4"/>
    <w:rsid w:val="00146CFA"/>
    <w:rsid w:val="001633FB"/>
    <w:rsid w:val="00163A1B"/>
    <w:rsid w:val="00165735"/>
    <w:rsid w:val="00167786"/>
    <w:rsid w:val="00173874"/>
    <w:rsid w:val="00181019"/>
    <w:rsid w:val="001821F8"/>
    <w:rsid w:val="001835BF"/>
    <w:rsid w:val="00184B86"/>
    <w:rsid w:val="00192B66"/>
    <w:rsid w:val="001A02A4"/>
    <w:rsid w:val="001A1B60"/>
    <w:rsid w:val="001A34E5"/>
    <w:rsid w:val="001A5F36"/>
    <w:rsid w:val="001B35EE"/>
    <w:rsid w:val="001B4B04"/>
    <w:rsid w:val="001B6B72"/>
    <w:rsid w:val="001B6F2D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1D5E"/>
    <w:rsid w:val="001E797C"/>
    <w:rsid w:val="00211B12"/>
    <w:rsid w:val="00211E0B"/>
    <w:rsid w:val="0021481D"/>
    <w:rsid w:val="00221589"/>
    <w:rsid w:val="00221AC2"/>
    <w:rsid w:val="00224CD9"/>
    <w:rsid w:val="002309A7"/>
    <w:rsid w:val="002341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0DDB"/>
    <w:rsid w:val="002725CA"/>
    <w:rsid w:val="002729C4"/>
    <w:rsid w:val="00273A92"/>
    <w:rsid w:val="00277896"/>
    <w:rsid w:val="00280CBF"/>
    <w:rsid w:val="00280EB7"/>
    <w:rsid w:val="002932DF"/>
    <w:rsid w:val="002976CF"/>
    <w:rsid w:val="002A0BD2"/>
    <w:rsid w:val="002A5B17"/>
    <w:rsid w:val="002B0609"/>
    <w:rsid w:val="002B067A"/>
    <w:rsid w:val="002B1514"/>
    <w:rsid w:val="002B1CDA"/>
    <w:rsid w:val="002C7F25"/>
    <w:rsid w:val="002D5A85"/>
    <w:rsid w:val="002D5C7D"/>
    <w:rsid w:val="002D7DAE"/>
    <w:rsid w:val="002E35BB"/>
    <w:rsid w:val="002F68FD"/>
    <w:rsid w:val="002F6E37"/>
    <w:rsid w:val="00306ABF"/>
    <w:rsid w:val="003107FA"/>
    <w:rsid w:val="003147D0"/>
    <w:rsid w:val="00315D73"/>
    <w:rsid w:val="00316FF9"/>
    <w:rsid w:val="00321716"/>
    <w:rsid w:val="003229D8"/>
    <w:rsid w:val="00327D0A"/>
    <w:rsid w:val="00334BE5"/>
    <w:rsid w:val="003517C3"/>
    <w:rsid w:val="00355502"/>
    <w:rsid w:val="00356BC7"/>
    <w:rsid w:val="00357A20"/>
    <w:rsid w:val="00372F06"/>
    <w:rsid w:val="003734CA"/>
    <w:rsid w:val="00391647"/>
    <w:rsid w:val="0039277A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B52"/>
    <w:rsid w:val="00403EC6"/>
    <w:rsid w:val="00406CD4"/>
    <w:rsid w:val="00430086"/>
    <w:rsid w:val="00430918"/>
    <w:rsid w:val="004325CB"/>
    <w:rsid w:val="004354EE"/>
    <w:rsid w:val="0043747D"/>
    <w:rsid w:val="00437F3F"/>
    <w:rsid w:val="00446DE4"/>
    <w:rsid w:val="00452D10"/>
    <w:rsid w:val="00454036"/>
    <w:rsid w:val="004562AA"/>
    <w:rsid w:val="0046443A"/>
    <w:rsid w:val="004653B3"/>
    <w:rsid w:val="004654C4"/>
    <w:rsid w:val="0046668F"/>
    <w:rsid w:val="00466C18"/>
    <w:rsid w:val="0046773D"/>
    <w:rsid w:val="0046788D"/>
    <w:rsid w:val="0048304D"/>
    <w:rsid w:val="00484A9B"/>
    <w:rsid w:val="00492AF9"/>
    <w:rsid w:val="00493EBD"/>
    <w:rsid w:val="00494C77"/>
    <w:rsid w:val="00497711"/>
    <w:rsid w:val="004A4348"/>
    <w:rsid w:val="004A4BB5"/>
    <w:rsid w:val="004A619C"/>
    <w:rsid w:val="004B2C9D"/>
    <w:rsid w:val="004B5939"/>
    <w:rsid w:val="004B5C97"/>
    <w:rsid w:val="004B5CFC"/>
    <w:rsid w:val="004B73D6"/>
    <w:rsid w:val="004C39D0"/>
    <w:rsid w:val="004C4F1A"/>
    <w:rsid w:val="004C6D6D"/>
    <w:rsid w:val="004E0C5D"/>
    <w:rsid w:val="004F4240"/>
    <w:rsid w:val="004F77CD"/>
    <w:rsid w:val="00507CF1"/>
    <w:rsid w:val="00511208"/>
    <w:rsid w:val="00522177"/>
    <w:rsid w:val="00527910"/>
    <w:rsid w:val="00531995"/>
    <w:rsid w:val="005322D3"/>
    <w:rsid w:val="00532FC3"/>
    <w:rsid w:val="00537944"/>
    <w:rsid w:val="005420F2"/>
    <w:rsid w:val="00542505"/>
    <w:rsid w:val="005475D4"/>
    <w:rsid w:val="00555CDB"/>
    <w:rsid w:val="00561B6D"/>
    <w:rsid w:val="00562D45"/>
    <w:rsid w:val="0056615B"/>
    <w:rsid w:val="00566985"/>
    <w:rsid w:val="00567DFB"/>
    <w:rsid w:val="00571DAA"/>
    <w:rsid w:val="0058129D"/>
    <w:rsid w:val="00590144"/>
    <w:rsid w:val="00594F31"/>
    <w:rsid w:val="0059682C"/>
    <w:rsid w:val="005A0B37"/>
    <w:rsid w:val="005A64DD"/>
    <w:rsid w:val="005B09F0"/>
    <w:rsid w:val="005B0CED"/>
    <w:rsid w:val="005B3DB3"/>
    <w:rsid w:val="005B528A"/>
    <w:rsid w:val="005C4CB5"/>
    <w:rsid w:val="005D0C6C"/>
    <w:rsid w:val="005E5946"/>
    <w:rsid w:val="005E7A74"/>
    <w:rsid w:val="005F3A39"/>
    <w:rsid w:val="005F3B9D"/>
    <w:rsid w:val="005F5C2F"/>
    <w:rsid w:val="005F7BB1"/>
    <w:rsid w:val="00602490"/>
    <w:rsid w:val="00602927"/>
    <w:rsid w:val="00603E3C"/>
    <w:rsid w:val="00611FC4"/>
    <w:rsid w:val="00612812"/>
    <w:rsid w:val="006176FB"/>
    <w:rsid w:val="00623E42"/>
    <w:rsid w:val="00626B06"/>
    <w:rsid w:val="00626DE3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5495A"/>
    <w:rsid w:val="00662121"/>
    <w:rsid w:val="00662E09"/>
    <w:rsid w:val="00667788"/>
    <w:rsid w:val="00670CF0"/>
    <w:rsid w:val="00675F87"/>
    <w:rsid w:val="00684C14"/>
    <w:rsid w:val="00690CD6"/>
    <w:rsid w:val="006A1458"/>
    <w:rsid w:val="006A3932"/>
    <w:rsid w:val="006A63E3"/>
    <w:rsid w:val="006A7392"/>
    <w:rsid w:val="006B1C55"/>
    <w:rsid w:val="006C0D34"/>
    <w:rsid w:val="006C1108"/>
    <w:rsid w:val="006C251B"/>
    <w:rsid w:val="006C2F7E"/>
    <w:rsid w:val="006D3560"/>
    <w:rsid w:val="006D7E3D"/>
    <w:rsid w:val="006E10F2"/>
    <w:rsid w:val="006E3B65"/>
    <w:rsid w:val="006E564B"/>
    <w:rsid w:val="006F40AC"/>
    <w:rsid w:val="007025C0"/>
    <w:rsid w:val="00707F04"/>
    <w:rsid w:val="00711637"/>
    <w:rsid w:val="00714F4F"/>
    <w:rsid w:val="0072632A"/>
    <w:rsid w:val="00736E6A"/>
    <w:rsid w:val="00741792"/>
    <w:rsid w:val="00741F59"/>
    <w:rsid w:val="0074697D"/>
    <w:rsid w:val="0075168C"/>
    <w:rsid w:val="00755EBE"/>
    <w:rsid w:val="00761619"/>
    <w:rsid w:val="0076177C"/>
    <w:rsid w:val="00763C33"/>
    <w:rsid w:val="00766322"/>
    <w:rsid w:val="00770BCD"/>
    <w:rsid w:val="00770D3F"/>
    <w:rsid w:val="00771904"/>
    <w:rsid w:val="00773353"/>
    <w:rsid w:val="00774129"/>
    <w:rsid w:val="00774E8F"/>
    <w:rsid w:val="00774EAA"/>
    <w:rsid w:val="0078123B"/>
    <w:rsid w:val="00786434"/>
    <w:rsid w:val="00790791"/>
    <w:rsid w:val="00796F36"/>
    <w:rsid w:val="00797331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E7225"/>
    <w:rsid w:val="007F2A54"/>
    <w:rsid w:val="007F5104"/>
    <w:rsid w:val="007F6611"/>
    <w:rsid w:val="00800024"/>
    <w:rsid w:val="008037A2"/>
    <w:rsid w:val="00811097"/>
    <w:rsid w:val="00813F2B"/>
    <w:rsid w:val="00816582"/>
    <w:rsid w:val="008175E9"/>
    <w:rsid w:val="00820A2D"/>
    <w:rsid w:val="00822315"/>
    <w:rsid w:val="008242D7"/>
    <w:rsid w:val="00826C09"/>
    <w:rsid w:val="0083043E"/>
    <w:rsid w:val="0083069A"/>
    <w:rsid w:val="00832A1D"/>
    <w:rsid w:val="00834479"/>
    <w:rsid w:val="00843AB2"/>
    <w:rsid w:val="00846809"/>
    <w:rsid w:val="008604BA"/>
    <w:rsid w:val="00860785"/>
    <w:rsid w:val="0086107D"/>
    <w:rsid w:val="00861B05"/>
    <w:rsid w:val="008626DB"/>
    <w:rsid w:val="00864251"/>
    <w:rsid w:val="00871FD5"/>
    <w:rsid w:val="00873000"/>
    <w:rsid w:val="008800FF"/>
    <w:rsid w:val="00881213"/>
    <w:rsid w:val="008813D6"/>
    <w:rsid w:val="00892009"/>
    <w:rsid w:val="00892487"/>
    <w:rsid w:val="008979B1"/>
    <w:rsid w:val="008A0B75"/>
    <w:rsid w:val="008A1542"/>
    <w:rsid w:val="008A466C"/>
    <w:rsid w:val="008A57D9"/>
    <w:rsid w:val="008A6B25"/>
    <w:rsid w:val="008A6C4F"/>
    <w:rsid w:val="008A7679"/>
    <w:rsid w:val="008A7AB3"/>
    <w:rsid w:val="008B65FB"/>
    <w:rsid w:val="008C3B3C"/>
    <w:rsid w:val="008C4283"/>
    <w:rsid w:val="008C58F1"/>
    <w:rsid w:val="008C74C3"/>
    <w:rsid w:val="008C7BF7"/>
    <w:rsid w:val="008D134F"/>
    <w:rsid w:val="008D3C75"/>
    <w:rsid w:val="008D6942"/>
    <w:rsid w:val="008E0E46"/>
    <w:rsid w:val="008E1DAE"/>
    <w:rsid w:val="008E295A"/>
    <w:rsid w:val="008E4B13"/>
    <w:rsid w:val="008F2D9A"/>
    <w:rsid w:val="008F44B8"/>
    <w:rsid w:val="008F504A"/>
    <w:rsid w:val="00904EBC"/>
    <w:rsid w:val="00923019"/>
    <w:rsid w:val="00924B63"/>
    <w:rsid w:val="009363B6"/>
    <w:rsid w:val="00940F46"/>
    <w:rsid w:val="00941ECC"/>
    <w:rsid w:val="00945A5D"/>
    <w:rsid w:val="009469DF"/>
    <w:rsid w:val="00946A0D"/>
    <w:rsid w:val="00947F38"/>
    <w:rsid w:val="00953B72"/>
    <w:rsid w:val="00955109"/>
    <w:rsid w:val="00963B67"/>
    <w:rsid w:val="00963CBA"/>
    <w:rsid w:val="009701ED"/>
    <w:rsid w:val="00970489"/>
    <w:rsid w:val="00984471"/>
    <w:rsid w:val="00985F37"/>
    <w:rsid w:val="009879EA"/>
    <w:rsid w:val="009908A5"/>
    <w:rsid w:val="0099124E"/>
    <w:rsid w:val="00991261"/>
    <w:rsid w:val="009950A3"/>
    <w:rsid w:val="009953D5"/>
    <w:rsid w:val="009A1D29"/>
    <w:rsid w:val="009A4740"/>
    <w:rsid w:val="009B5E2E"/>
    <w:rsid w:val="009C31D5"/>
    <w:rsid w:val="009C3E0F"/>
    <w:rsid w:val="009C6394"/>
    <w:rsid w:val="009D0E2A"/>
    <w:rsid w:val="009D0F0E"/>
    <w:rsid w:val="009D1AAE"/>
    <w:rsid w:val="009D6161"/>
    <w:rsid w:val="009D634E"/>
    <w:rsid w:val="009E1560"/>
    <w:rsid w:val="009E47FC"/>
    <w:rsid w:val="009F0F06"/>
    <w:rsid w:val="009F4FC5"/>
    <w:rsid w:val="00A1427D"/>
    <w:rsid w:val="00A22FE4"/>
    <w:rsid w:val="00A235F1"/>
    <w:rsid w:val="00A34B00"/>
    <w:rsid w:val="00A3777A"/>
    <w:rsid w:val="00A50077"/>
    <w:rsid w:val="00A54CA8"/>
    <w:rsid w:val="00A57236"/>
    <w:rsid w:val="00A60196"/>
    <w:rsid w:val="00A6199C"/>
    <w:rsid w:val="00A622AF"/>
    <w:rsid w:val="00A62F4B"/>
    <w:rsid w:val="00A65F4A"/>
    <w:rsid w:val="00A6663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0828"/>
    <w:rsid w:val="00AB382F"/>
    <w:rsid w:val="00AB4CF1"/>
    <w:rsid w:val="00AC1990"/>
    <w:rsid w:val="00AC31E3"/>
    <w:rsid w:val="00AD34EE"/>
    <w:rsid w:val="00AD7C88"/>
    <w:rsid w:val="00AE0F61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2238"/>
    <w:rsid w:val="00B26710"/>
    <w:rsid w:val="00B26B3C"/>
    <w:rsid w:val="00B30179"/>
    <w:rsid w:val="00B3317B"/>
    <w:rsid w:val="00B35AEF"/>
    <w:rsid w:val="00B40DCF"/>
    <w:rsid w:val="00B41384"/>
    <w:rsid w:val="00B4398E"/>
    <w:rsid w:val="00B47274"/>
    <w:rsid w:val="00B5392B"/>
    <w:rsid w:val="00B55A3E"/>
    <w:rsid w:val="00B71E2B"/>
    <w:rsid w:val="00B73DA8"/>
    <w:rsid w:val="00B74F7C"/>
    <w:rsid w:val="00B75E05"/>
    <w:rsid w:val="00B8003E"/>
    <w:rsid w:val="00B801C3"/>
    <w:rsid w:val="00B81E12"/>
    <w:rsid w:val="00B844A0"/>
    <w:rsid w:val="00B84AAC"/>
    <w:rsid w:val="00B90F54"/>
    <w:rsid w:val="00B91CC3"/>
    <w:rsid w:val="00B92A0C"/>
    <w:rsid w:val="00B93068"/>
    <w:rsid w:val="00B93292"/>
    <w:rsid w:val="00B97E37"/>
    <w:rsid w:val="00BA12E5"/>
    <w:rsid w:val="00BB0198"/>
    <w:rsid w:val="00BB176D"/>
    <w:rsid w:val="00BB3B28"/>
    <w:rsid w:val="00BC0C09"/>
    <w:rsid w:val="00BC74E9"/>
    <w:rsid w:val="00BD22B7"/>
    <w:rsid w:val="00BD586C"/>
    <w:rsid w:val="00BE1FF8"/>
    <w:rsid w:val="00BE4DB6"/>
    <w:rsid w:val="00BE50CA"/>
    <w:rsid w:val="00BE618E"/>
    <w:rsid w:val="00BF76CE"/>
    <w:rsid w:val="00C0263F"/>
    <w:rsid w:val="00C03B44"/>
    <w:rsid w:val="00C0491F"/>
    <w:rsid w:val="00C07CB2"/>
    <w:rsid w:val="00C10EF6"/>
    <w:rsid w:val="00C13A85"/>
    <w:rsid w:val="00C1605A"/>
    <w:rsid w:val="00C218A4"/>
    <w:rsid w:val="00C36D37"/>
    <w:rsid w:val="00C4230B"/>
    <w:rsid w:val="00C463DD"/>
    <w:rsid w:val="00C46D5B"/>
    <w:rsid w:val="00C537D5"/>
    <w:rsid w:val="00C54ADB"/>
    <w:rsid w:val="00C54CEA"/>
    <w:rsid w:val="00C62F76"/>
    <w:rsid w:val="00C66D78"/>
    <w:rsid w:val="00C745C3"/>
    <w:rsid w:val="00C81212"/>
    <w:rsid w:val="00C84FF1"/>
    <w:rsid w:val="00C91180"/>
    <w:rsid w:val="00C93C11"/>
    <w:rsid w:val="00C94F76"/>
    <w:rsid w:val="00C971F6"/>
    <w:rsid w:val="00CA049C"/>
    <w:rsid w:val="00CA381C"/>
    <w:rsid w:val="00CA5F11"/>
    <w:rsid w:val="00CA74D3"/>
    <w:rsid w:val="00CB2158"/>
    <w:rsid w:val="00CB6380"/>
    <w:rsid w:val="00CC4CA6"/>
    <w:rsid w:val="00CC7212"/>
    <w:rsid w:val="00CD0009"/>
    <w:rsid w:val="00CD20AA"/>
    <w:rsid w:val="00CD30EE"/>
    <w:rsid w:val="00CD3225"/>
    <w:rsid w:val="00CE4083"/>
    <w:rsid w:val="00CE46BA"/>
    <w:rsid w:val="00CE4A8F"/>
    <w:rsid w:val="00CE542C"/>
    <w:rsid w:val="00CF6F32"/>
    <w:rsid w:val="00CF778D"/>
    <w:rsid w:val="00D01746"/>
    <w:rsid w:val="00D0631B"/>
    <w:rsid w:val="00D06C3A"/>
    <w:rsid w:val="00D06F88"/>
    <w:rsid w:val="00D164BA"/>
    <w:rsid w:val="00D2031B"/>
    <w:rsid w:val="00D25E8C"/>
    <w:rsid w:val="00D25FE2"/>
    <w:rsid w:val="00D27E89"/>
    <w:rsid w:val="00D317D0"/>
    <w:rsid w:val="00D33DE8"/>
    <w:rsid w:val="00D37E80"/>
    <w:rsid w:val="00D40F5B"/>
    <w:rsid w:val="00D43252"/>
    <w:rsid w:val="00D45E31"/>
    <w:rsid w:val="00D46231"/>
    <w:rsid w:val="00D477C4"/>
    <w:rsid w:val="00D5409C"/>
    <w:rsid w:val="00D57C13"/>
    <w:rsid w:val="00D57FD9"/>
    <w:rsid w:val="00D60685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B072B"/>
    <w:rsid w:val="00DB43DC"/>
    <w:rsid w:val="00DD026E"/>
    <w:rsid w:val="00DD42A0"/>
    <w:rsid w:val="00DE236F"/>
    <w:rsid w:val="00DE3E90"/>
    <w:rsid w:val="00DE3ECB"/>
    <w:rsid w:val="00DE4785"/>
    <w:rsid w:val="00DE7267"/>
    <w:rsid w:val="00DF0A4D"/>
    <w:rsid w:val="00DF3039"/>
    <w:rsid w:val="00DF3A04"/>
    <w:rsid w:val="00DF3BB3"/>
    <w:rsid w:val="00DF4518"/>
    <w:rsid w:val="00E01324"/>
    <w:rsid w:val="00E130AB"/>
    <w:rsid w:val="00E1679E"/>
    <w:rsid w:val="00E178A1"/>
    <w:rsid w:val="00E239A0"/>
    <w:rsid w:val="00E32E0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01C0"/>
    <w:rsid w:val="00E62EB3"/>
    <w:rsid w:val="00E631BA"/>
    <w:rsid w:val="00E6613A"/>
    <w:rsid w:val="00E67816"/>
    <w:rsid w:val="00E7260F"/>
    <w:rsid w:val="00E730D8"/>
    <w:rsid w:val="00E73EB3"/>
    <w:rsid w:val="00E81230"/>
    <w:rsid w:val="00E8535A"/>
    <w:rsid w:val="00E864BE"/>
    <w:rsid w:val="00E90647"/>
    <w:rsid w:val="00E96630"/>
    <w:rsid w:val="00EA0364"/>
    <w:rsid w:val="00EA48C4"/>
    <w:rsid w:val="00EA772F"/>
    <w:rsid w:val="00EB291B"/>
    <w:rsid w:val="00EB2AE3"/>
    <w:rsid w:val="00EB4C06"/>
    <w:rsid w:val="00EB51D5"/>
    <w:rsid w:val="00EB65EF"/>
    <w:rsid w:val="00EB6832"/>
    <w:rsid w:val="00EB6DB9"/>
    <w:rsid w:val="00EB71BA"/>
    <w:rsid w:val="00EB798F"/>
    <w:rsid w:val="00EC14E9"/>
    <w:rsid w:val="00EC271A"/>
    <w:rsid w:val="00EC688B"/>
    <w:rsid w:val="00EC755A"/>
    <w:rsid w:val="00ED3508"/>
    <w:rsid w:val="00ED3F6F"/>
    <w:rsid w:val="00ED5510"/>
    <w:rsid w:val="00ED7A2A"/>
    <w:rsid w:val="00EE4D59"/>
    <w:rsid w:val="00EE73C3"/>
    <w:rsid w:val="00EF1D7F"/>
    <w:rsid w:val="00EF2498"/>
    <w:rsid w:val="00EF4AAC"/>
    <w:rsid w:val="00F0009C"/>
    <w:rsid w:val="00F00C8D"/>
    <w:rsid w:val="00F01C57"/>
    <w:rsid w:val="00F03FA2"/>
    <w:rsid w:val="00F05283"/>
    <w:rsid w:val="00F07537"/>
    <w:rsid w:val="00F075EF"/>
    <w:rsid w:val="00F07E12"/>
    <w:rsid w:val="00F1200D"/>
    <w:rsid w:val="00F21360"/>
    <w:rsid w:val="00F30A8A"/>
    <w:rsid w:val="00F30E13"/>
    <w:rsid w:val="00F34267"/>
    <w:rsid w:val="00F3574D"/>
    <w:rsid w:val="00F36DCA"/>
    <w:rsid w:val="00F40295"/>
    <w:rsid w:val="00F40E75"/>
    <w:rsid w:val="00F412D3"/>
    <w:rsid w:val="00F444E3"/>
    <w:rsid w:val="00F5087E"/>
    <w:rsid w:val="00F51BAB"/>
    <w:rsid w:val="00F535BE"/>
    <w:rsid w:val="00F54674"/>
    <w:rsid w:val="00F54A7E"/>
    <w:rsid w:val="00F570EA"/>
    <w:rsid w:val="00F64C95"/>
    <w:rsid w:val="00F75E96"/>
    <w:rsid w:val="00F847EA"/>
    <w:rsid w:val="00FA00A0"/>
    <w:rsid w:val="00FA2BF7"/>
    <w:rsid w:val="00FA3FB7"/>
    <w:rsid w:val="00FA41A4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4687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862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F30E13"/>
    <w:rPr>
      <w:lang w:eastAsia="en-US"/>
    </w:rPr>
  </w:style>
  <w:style w:type="paragraph" w:customStyle="1" w:styleId="ParaNoG">
    <w:name w:val="_ParaNo._G"/>
    <w:basedOn w:val="SingleTxtG"/>
    <w:rsid w:val="0043747D"/>
    <w:pPr>
      <w:numPr>
        <w:numId w:val="45"/>
      </w:numPr>
      <w:tabs>
        <w:tab w:val="clear" w:pos="1494"/>
      </w:tabs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F30E13"/>
    <w:rPr>
      <w:lang w:eastAsia="en-US"/>
    </w:rPr>
  </w:style>
  <w:style w:type="paragraph" w:customStyle="1" w:styleId="ParaNoG">
    <w:name w:val="_ParaNo._G"/>
    <w:basedOn w:val="SingleTxtG"/>
    <w:rsid w:val="0043747D"/>
    <w:pPr>
      <w:numPr>
        <w:numId w:val="45"/>
      </w:numPr>
      <w:tabs>
        <w:tab w:val="clear" w:pos="1494"/>
      </w:tabs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F8CF-6E9E-4757-A7B2-85EE5045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barrio-champeau</cp:lastModifiedBy>
  <cp:revision>2</cp:revision>
  <cp:lastPrinted>2016-11-08T11:46:00Z</cp:lastPrinted>
  <dcterms:created xsi:type="dcterms:W3CDTF">2016-11-16T16:05:00Z</dcterms:created>
  <dcterms:modified xsi:type="dcterms:W3CDTF">2016-11-16T16:05:00Z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