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9639"/>
      </w:tblGrid>
      <w:tr w:rsidR="00A90B74">
        <w:trPr>
          <w:cantSplit/>
          <w:trHeight w:hRule="exact" w:val="568"/>
        </w:trPr>
        <w:tc>
          <w:tcPr>
            <w:tcW w:w="9639" w:type="dxa"/>
            <w:tcBorders>
              <w:bottom w:val="single" w:sz="4" w:space="0" w:color="auto"/>
            </w:tcBorders>
            <w:shd w:val="clear" w:color="auto" w:fill="FFFFFF"/>
            <w:vAlign w:val="bottom"/>
          </w:tcPr>
          <w:p w:rsidR="00A90B74" w:rsidRDefault="005811E5" w:rsidP="00141599">
            <w:pPr>
              <w:spacing w:after="240"/>
              <w:jc w:val="right"/>
              <w:rPr>
                <w:b/>
                <w:sz w:val="40"/>
                <w:szCs w:val="40"/>
                <w:lang w:val="fr-FR"/>
              </w:rPr>
            </w:pPr>
            <w:bookmarkStart w:id="0" w:name="_GoBack"/>
            <w:bookmarkEnd w:id="0"/>
            <w:r>
              <w:rPr>
                <w:b/>
                <w:sz w:val="40"/>
                <w:szCs w:val="40"/>
                <w:lang w:val="fr-FR"/>
              </w:rPr>
              <w:t>UN/SCETDG/49/INF.</w:t>
            </w:r>
            <w:r w:rsidR="009C19F3">
              <w:rPr>
                <w:b/>
                <w:sz w:val="40"/>
                <w:szCs w:val="40"/>
                <w:lang w:val="fr-FR"/>
              </w:rPr>
              <w:t>2</w:t>
            </w:r>
            <w:r w:rsidR="00141599">
              <w:rPr>
                <w:b/>
                <w:sz w:val="40"/>
                <w:szCs w:val="40"/>
                <w:lang w:val="fr-FR"/>
              </w:rPr>
              <w:t>4</w:t>
            </w:r>
            <w:r>
              <w:rPr>
                <w:b/>
                <w:sz w:val="40"/>
                <w:szCs w:val="40"/>
                <w:lang w:val="fr-FR"/>
              </w:rPr>
              <w:br/>
            </w:r>
            <w:r>
              <w:rPr>
                <w:lang w:val="fr-FR"/>
              </w:rPr>
              <w:t xml:space="preserve"> </w:t>
            </w:r>
          </w:p>
        </w:tc>
      </w:tr>
    </w:tbl>
    <w:tbl>
      <w:tblPr>
        <w:tblW w:w="9645" w:type="dxa"/>
        <w:tblInd w:w="108" w:type="dxa"/>
        <w:tblLayout w:type="fixed"/>
        <w:tblLook w:val="04A0" w:firstRow="1" w:lastRow="0" w:firstColumn="1" w:lastColumn="0" w:noHBand="0" w:noVBand="1"/>
      </w:tblPr>
      <w:tblGrid>
        <w:gridCol w:w="4536"/>
        <w:gridCol w:w="5109"/>
      </w:tblGrid>
      <w:tr w:rsidR="00A90B74">
        <w:tc>
          <w:tcPr>
            <w:tcW w:w="9645" w:type="dxa"/>
            <w:gridSpan w:val="2"/>
            <w:tcMar>
              <w:top w:w="142" w:type="dxa"/>
              <w:left w:w="108" w:type="dxa"/>
              <w:bottom w:w="142" w:type="dxa"/>
              <w:right w:w="108" w:type="dxa"/>
            </w:tcMar>
          </w:tcPr>
          <w:p w:rsidR="00A90B74" w:rsidRDefault="005811E5">
            <w:pPr>
              <w:tabs>
                <w:tab w:val="right" w:pos="9214"/>
              </w:tabs>
            </w:pPr>
            <w:r>
              <w:rPr>
                <w:b/>
                <w:sz w:val="24"/>
                <w:szCs w:val="24"/>
              </w:rPr>
              <w:t>Committee of Experts on the Transport of Dangerous Goods</w:t>
            </w:r>
            <w:r>
              <w:rPr>
                <w:b/>
                <w:sz w:val="24"/>
                <w:szCs w:val="24"/>
              </w:rPr>
              <w:tab/>
            </w:r>
            <w:r>
              <w:rPr>
                <w:b/>
                <w:sz w:val="24"/>
                <w:szCs w:val="24"/>
              </w:rPr>
              <w:br/>
              <w:t>and on the Globally Harmonized System of Classification</w:t>
            </w:r>
            <w:r>
              <w:rPr>
                <w:b/>
                <w:sz w:val="24"/>
                <w:szCs w:val="24"/>
              </w:rPr>
              <w:br/>
              <w:t>and Labelling of Chemicals</w:t>
            </w:r>
            <w:r w:rsidR="00141599">
              <w:rPr>
                <w:b/>
              </w:rPr>
              <w:tab/>
              <w:t>14</w:t>
            </w:r>
            <w:r>
              <w:rPr>
                <w:b/>
              </w:rPr>
              <w:t xml:space="preserve"> June</w:t>
            </w:r>
            <w:r>
              <w:rPr>
                <w:b/>
                <w:sz w:val="18"/>
                <w:szCs w:val="24"/>
              </w:rPr>
              <w:t xml:space="preserve"> 2016</w:t>
            </w:r>
          </w:p>
        </w:tc>
      </w:tr>
      <w:tr w:rsidR="00A90B74">
        <w:tc>
          <w:tcPr>
            <w:tcW w:w="4536" w:type="dxa"/>
            <w:tcMar>
              <w:top w:w="57" w:type="dxa"/>
              <w:left w:w="108" w:type="dxa"/>
              <w:bottom w:w="0" w:type="dxa"/>
              <w:right w:w="108" w:type="dxa"/>
            </w:tcMar>
          </w:tcPr>
          <w:p w:rsidR="00A90B74" w:rsidRDefault="005811E5">
            <w:pPr>
              <w:spacing w:before="120"/>
              <w:rPr>
                <w:b/>
              </w:rPr>
            </w:pPr>
            <w:r>
              <w:rPr>
                <w:b/>
              </w:rPr>
              <w:t xml:space="preserve">Sub-Committee of Experts on the Transport of Dangerous Goods </w:t>
            </w:r>
          </w:p>
        </w:tc>
        <w:tc>
          <w:tcPr>
            <w:tcW w:w="5109" w:type="dxa"/>
            <w:tcMar>
              <w:top w:w="57" w:type="dxa"/>
              <w:left w:w="108" w:type="dxa"/>
              <w:bottom w:w="0" w:type="dxa"/>
              <w:right w:w="108" w:type="dxa"/>
            </w:tcMar>
          </w:tcPr>
          <w:p w:rsidR="00A90B74" w:rsidRDefault="00A90B74">
            <w:pPr>
              <w:spacing w:before="120"/>
              <w:rPr>
                <w:b/>
              </w:rPr>
            </w:pPr>
          </w:p>
        </w:tc>
      </w:tr>
      <w:tr w:rsidR="00A90B74">
        <w:tc>
          <w:tcPr>
            <w:tcW w:w="4536" w:type="dxa"/>
            <w:tcMar>
              <w:top w:w="57" w:type="dxa"/>
              <w:left w:w="108" w:type="dxa"/>
              <w:bottom w:w="0" w:type="dxa"/>
              <w:right w:w="108" w:type="dxa"/>
            </w:tcMar>
          </w:tcPr>
          <w:p w:rsidR="00A90B74" w:rsidRDefault="005811E5">
            <w:pPr>
              <w:spacing w:before="120"/>
              <w:ind w:left="34" w:hanging="34"/>
              <w:rPr>
                <w:b/>
              </w:rPr>
            </w:pPr>
            <w:r>
              <w:rPr>
                <w:b/>
              </w:rPr>
              <w:t>Forty-ninth session</w:t>
            </w:r>
          </w:p>
        </w:tc>
        <w:tc>
          <w:tcPr>
            <w:tcW w:w="5109" w:type="dxa"/>
            <w:tcMar>
              <w:top w:w="57" w:type="dxa"/>
              <w:left w:w="108" w:type="dxa"/>
              <w:bottom w:w="0" w:type="dxa"/>
              <w:right w:w="108" w:type="dxa"/>
            </w:tcMar>
          </w:tcPr>
          <w:p w:rsidR="00A90B74" w:rsidRDefault="00A90B74">
            <w:pPr>
              <w:spacing w:before="120"/>
              <w:rPr>
                <w:b/>
              </w:rPr>
            </w:pPr>
          </w:p>
        </w:tc>
      </w:tr>
      <w:tr w:rsidR="00A90B74">
        <w:tc>
          <w:tcPr>
            <w:tcW w:w="4536" w:type="dxa"/>
            <w:tcMar>
              <w:top w:w="57" w:type="dxa"/>
              <w:left w:w="108" w:type="dxa"/>
              <w:bottom w:w="0" w:type="dxa"/>
              <w:right w:w="108" w:type="dxa"/>
            </w:tcMar>
          </w:tcPr>
          <w:p w:rsidR="00A90B74" w:rsidRDefault="005811E5">
            <w:pPr>
              <w:spacing w:before="120"/>
              <w:ind w:left="34" w:hanging="34"/>
            </w:pPr>
            <w:r>
              <w:t>Geneva, 27 June-6 July 2016</w:t>
            </w:r>
          </w:p>
          <w:p w:rsidR="00A90B74" w:rsidRDefault="005811E5">
            <w:pPr>
              <w:ind w:left="34" w:hanging="34"/>
            </w:pPr>
            <w:r>
              <w:t xml:space="preserve">Item </w:t>
            </w:r>
            <w:r w:rsidR="00141599">
              <w:t>3</w:t>
            </w:r>
            <w:r>
              <w:t xml:space="preserve"> of the provisional agenda</w:t>
            </w:r>
          </w:p>
          <w:p w:rsidR="00A90B74" w:rsidRPr="00141599" w:rsidRDefault="00141599">
            <w:pPr>
              <w:spacing w:after="120"/>
              <w:ind w:left="-11" w:firstLine="11"/>
              <w:rPr>
                <w:b/>
              </w:rPr>
            </w:pPr>
            <w:r w:rsidRPr="00141599">
              <w:rPr>
                <w:b/>
              </w:rPr>
              <w:t>Listing, classification and packing</w:t>
            </w:r>
          </w:p>
        </w:tc>
        <w:tc>
          <w:tcPr>
            <w:tcW w:w="5109" w:type="dxa"/>
            <w:tcMar>
              <w:top w:w="57" w:type="dxa"/>
              <w:left w:w="108" w:type="dxa"/>
              <w:bottom w:w="0" w:type="dxa"/>
              <w:right w:w="108" w:type="dxa"/>
            </w:tcMar>
          </w:tcPr>
          <w:p w:rsidR="00A90B74" w:rsidRDefault="00A90B74">
            <w:pPr>
              <w:rPr>
                <w:b/>
              </w:rPr>
            </w:pPr>
          </w:p>
        </w:tc>
      </w:tr>
    </w:tbl>
    <w:p w:rsidR="00141599" w:rsidRPr="008207B6" w:rsidRDefault="00141599" w:rsidP="00141599">
      <w:pPr>
        <w:pStyle w:val="HChG"/>
        <w:rPr>
          <w:lang w:val="en"/>
        </w:rPr>
      </w:pPr>
      <w:r>
        <w:rPr>
          <w:lang w:val="en"/>
        </w:rPr>
        <w:tab/>
      </w:r>
      <w:r>
        <w:rPr>
          <w:lang w:val="en"/>
        </w:rPr>
        <w:tab/>
        <w:t xml:space="preserve">Definition of </w:t>
      </w:r>
      <w:proofErr w:type="spellStart"/>
      <w:r>
        <w:rPr>
          <w:lang w:val="en"/>
        </w:rPr>
        <w:t>vapour</w:t>
      </w:r>
      <w:proofErr w:type="spellEnd"/>
      <w:r>
        <w:rPr>
          <w:lang w:val="en"/>
        </w:rPr>
        <w:t xml:space="preserve"> pressure</w:t>
      </w:r>
    </w:p>
    <w:p w:rsidR="00141599" w:rsidRPr="008207B6" w:rsidRDefault="00141599" w:rsidP="00141599">
      <w:pPr>
        <w:pStyle w:val="H1G"/>
        <w:rPr>
          <w:lang w:val="en"/>
        </w:rPr>
      </w:pPr>
      <w:r>
        <w:rPr>
          <w:lang w:val="en"/>
        </w:rPr>
        <w:tab/>
      </w:r>
      <w:r>
        <w:rPr>
          <w:lang w:val="en"/>
        </w:rPr>
        <w:tab/>
      </w:r>
      <w:r w:rsidRPr="008207B6">
        <w:rPr>
          <w:lang w:val="en"/>
        </w:rPr>
        <w:t>Transmitted by the expert from Canada</w:t>
      </w:r>
    </w:p>
    <w:p w:rsidR="00141599" w:rsidRPr="003E45C5" w:rsidRDefault="00141599" w:rsidP="00141599">
      <w:pPr>
        <w:pStyle w:val="HChG"/>
        <w:rPr>
          <w:lang w:val="en"/>
        </w:rPr>
      </w:pPr>
      <w:r>
        <w:rPr>
          <w:lang w:val="en"/>
        </w:rPr>
        <w:tab/>
      </w:r>
      <w:r>
        <w:rPr>
          <w:lang w:val="en"/>
        </w:rPr>
        <w:tab/>
      </w:r>
      <w:r w:rsidRPr="003E45C5">
        <w:rPr>
          <w:lang w:val="en"/>
        </w:rPr>
        <w:t>Introduction</w:t>
      </w:r>
    </w:p>
    <w:p w:rsidR="00141599" w:rsidRDefault="00141599" w:rsidP="00141599">
      <w:pPr>
        <w:pStyle w:val="SingleTxtG"/>
      </w:pPr>
      <w:r>
        <w:t>1.</w:t>
      </w:r>
      <w:r>
        <w:tab/>
        <w:t>The UN Model Regulations make frequent use of the term “vapour pressure”. Most importantly, it is one of the fundamental characteristics used in determining the state of a substance (i.e., solid, liquid, or gas) and is frequently used in determining means of containment requirements for substances.</w:t>
      </w:r>
    </w:p>
    <w:p w:rsidR="00141599" w:rsidRDefault="00141599" w:rsidP="00141599">
      <w:pPr>
        <w:pStyle w:val="SingleTxtG"/>
      </w:pPr>
      <w:r>
        <w:t>2.</w:t>
      </w:r>
      <w:r>
        <w:tab/>
        <w:t>While vapour pressure can be defined for a pure substance as a fundamental property of the substance, the definition of vapour pressure for a mixture can be more complicated, especially when considering that many of the test methods that reference vapour pressure require the use of a specific vapour: liquid (V/L) ratio in the test method (e.g., ASTM D 323). The vapour pressure of a mixture can vary with the V/L ratio at a given temperature.</w:t>
      </w:r>
    </w:p>
    <w:p w:rsidR="00141599" w:rsidRPr="003E45C5" w:rsidRDefault="00141599" w:rsidP="00141599">
      <w:pPr>
        <w:pStyle w:val="HChG"/>
      </w:pPr>
      <w:r>
        <w:tab/>
      </w:r>
      <w:r>
        <w:tab/>
        <w:t>Discussion</w:t>
      </w:r>
    </w:p>
    <w:p w:rsidR="00141599" w:rsidRDefault="00141599" w:rsidP="00141599">
      <w:pPr>
        <w:pStyle w:val="SingleTxtG"/>
      </w:pPr>
      <w:r>
        <w:t>3.</w:t>
      </w:r>
      <w:r>
        <w:tab/>
        <w:t>The UN Model Regulations contains the following definition for a liquid:</w:t>
      </w:r>
    </w:p>
    <w:p w:rsidR="00141599" w:rsidRDefault="00141599" w:rsidP="00141599">
      <w:pPr>
        <w:pStyle w:val="SingleTxtG"/>
        <w:ind w:left="1701"/>
      </w:pPr>
      <w:r>
        <w:rPr>
          <w:i/>
        </w:rPr>
        <w:t>(a)</w:t>
      </w:r>
      <w:r>
        <w:rPr>
          <w:i/>
        </w:rPr>
        <w:tab/>
        <w:t>Liquid</w:t>
      </w:r>
      <w:r>
        <w:t xml:space="preserve"> means a dangerous good which at 50 </w:t>
      </w:r>
      <w:r>
        <w:sym w:font="Symbol" w:char="F0B0"/>
      </w:r>
      <w:r>
        <w:t xml:space="preserve">C have a vapour pressure of not more than 300 </w:t>
      </w:r>
      <w:proofErr w:type="spellStart"/>
      <w:r>
        <w:t>kPa</w:t>
      </w:r>
      <w:proofErr w:type="spellEnd"/>
      <w:r>
        <w:t xml:space="preserve"> (3 bar), which is not completely gaseous at 20 </w:t>
      </w:r>
      <w:r>
        <w:sym w:font="Symbol" w:char="F0B0"/>
      </w:r>
      <w:r>
        <w:t xml:space="preserve">C or less at a pressure of 101.3 </w:t>
      </w:r>
      <w:proofErr w:type="spellStart"/>
      <w:r>
        <w:t>kPa</w:t>
      </w:r>
      <w:proofErr w:type="spellEnd"/>
      <w:r>
        <w:t>, and which has a melting point or initial melting point of 20 </w:t>
      </w:r>
      <w:r>
        <w:sym w:font="Symbol" w:char="F0B0"/>
      </w:r>
      <w:r>
        <w:t xml:space="preserve">C or less at a pressure of 101.3 </w:t>
      </w:r>
      <w:proofErr w:type="spellStart"/>
      <w:r>
        <w:t>kPa</w:t>
      </w:r>
      <w:proofErr w:type="spellEnd"/>
      <w:r>
        <w:t>. A viscous substance for which a specific melting point cannot be determined shall be subjected to the ASTM D 4359-90 test; or to the test for determining fluidity (penetrometer test) prescribed in section 2.3.4 of Annex A of the European Agreement concerning the International Carriage of Dangerous Goods by Road.</w:t>
      </w:r>
    </w:p>
    <w:p w:rsidR="00141599" w:rsidRDefault="00141599" w:rsidP="00141599">
      <w:pPr>
        <w:pStyle w:val="SingleTxtG"/>
      </w:pPr>
      <w:r>
        <w:t>4.</w:t>
      </w:r>
      <w:r>
        <w:tab/>
      </w:r>
      <w:r w:rsidRPr="00AD1C8B">
        <w:t xml:space="preserve">The UN </w:t>
      </w:r>
      <w:r>
        <w:t>Model Regulations also define a gas in 2.2.1.1 as:</w:t>
      </w:r>
    </w:p>
    <w:p w:rsidR="00141599" w:rsidRDefault="00141599" w:rsidP="00141599">
      <w:pPr>
        <w:pStyle w:val="SingleTxtG"/>
        <w:tabs>
          <w:tab w:val="left" w:pos="2552"/>
        </w:tabs>
        <w:ind w:firstLine="567"/>
      </w:pPr>
      <w:r>
        <w:t>2.2.1.1</w:t>
      </w:r>
      <w:r>
        <w:tab/>
        <w:t>A gas is a substance which:</w:t>
      </w:r>
    </w:p>
    <w:p w:rsidR="00141599" w:rsidRDefault="00141599" w:rsidP="00141599">
      <w:pPr>
        <w:pStyle w:val="SingleTxtG"/>
        <w:tabs>
          <w:tab w:val="left" w:pos="2552"/>
          <w:tab w:val="left" w:pos="3119"/>
        </w:tabs>
      </w:pPr>
      <w:r>
        <w:tab/>
        <w:t>(a)</w:t>
      </w:r>
      <w:r>
        <w:tab/>
        <w:t xml:space="preserve">At 50 </w:t>
      </w:r>
      <w:r>
        <w:sym w:font="Symbol" w:char="F0B0"/>
      </w:r>
      <w:r>
        <w:t xml:space="preserve">C has a vapour pressure greater than 300 </w:t>
      </w:r>
      <w:proofErr w:type="spellStart"/>
      <w:r>
        <w:t>kPa</w:t>
      </w:r>
      <w:proofErr w:type="spellEnd"/>
      <w:r>
        <w:t>; or</w:t>
      </w:r>
    </w:p>
    <w:p w:rsidR="00141599" w:rsidRPr="00AD1C8B" w:rsidRDefault="0014130F" w:rsidP="005F404E">
      <w:pPr>
        <w:pStyle w:val="SingleTxtG"/>
        <w:tabs>
          <w:tab w:val="left" w:pos="2552"/>
          <w:tab w:val="left" w:pos="3119"/>
        </w:tabs>
      </w:pPr>
      <w:r>
        <w:tab/>
      </w:r>
      <w:r w:rsidR="00141599">
        <w:t>(</w:t>
      </w:r>
      <w:proofErr w:type="gramStart"/>
      <w:r w:rsidR="00141599">
        <w:t>b</w:t>
      </w:r>
      <w:proofErr w:type="gramEnd"/>
      <w:r w:rsidR="00141599">
        <w:t>)</w:t>
      </w:r>
      <w:r w:rsidR="00141599">
        <w:tab/>
        <w:t xml:space="preserve">Is completely gaseous at 20 </w:t>
      </w:r>
      <w:r w:rsidR="00141599">
        <w:sym w:font="Symbol" w:char="F0B0"/>
      </w:r>
      <w:r w:rsidR="00141599">
        <w:t xml:space="preserve">C at a standard pressure of 101.3 </w:t>
      </w:r>
      <w:proofErr w:type="spellStart"/>
      <w:r w:rsidR="00141599">
        <w:t>kPa</w:t>
      </w:r>
      <w:proofErr w:type="spellEnd"/>
      <w:r w:rsidR="00141599">
        <w:t>.</w:t>
      </w:r>
    </w:p>
    <w:p w:rsidR="0014130F" w:rsidRDefault="0014130F" w:rsidP="0014130F">
      <w:pPr>
        <w:pStyle w:val="SingleTxtG"/>
      </w:pPr>
      <w:r>
        <w:lastRenderedPageBreak/>
        <w:t>5.</w:t>
      </w:r>
      <w:r>
        <w:tab/>
        <w:t>For a pure substance, the vapour pressure is understood to mean the pressure exerted by a vapour in thermodynamic equilibrium (no matter or energy exchange) with its condensed phases at a given temperature in a closed system. The vapour pressure of a pure substance is temperature-dependent, but does not vary with the outage that may be present above the liquid so long as both liquid and vapour are present when at thermodynamic equilibrium. It can be measured directly or calculated using various methods (e.g., Antoine equations).</w:t>
      </w:r>
    </w:p>
    <w:p w:rsidR="0014130F" w:rsidRDefault="0014130F" w:rsidP="0014130F">
      <w:pPr>
        <w:pStyle w:val="SingleTxtG"/>
      </w:pPr>
      <w:r>
        <w:t>6.</w:t>
      </w:r>
      <w:r>
        <w:tab/>
        <w:t xml:space="preserve">For a mixture, the calculation of vapour pressure can be a complex endeavour. For a defined system with defined components, the sum of the partial pressures of the components is equal to the total vapour pressure of the mixture. A simplified calculation is shown in </w:t>
      </w:r>
      <w:r>
        <w:fldChar w:fldCharType="begin"/>
      </w:r>
      <w:r>
        <w:instrText xml:space="preserve"> REF _Ref453317379 \h  \* MERGEFORMAT </w:instrText>
      </w:r>
      <w:r>
        <w:fldChar w:fldCharType="separate"/>
      </w:r>
      <w:r w:rsidR="00B76981" w:rsidRPr="00B76981">
        <w:rPr>
          <w:lang w:val="en-CA"/>
        </w:rPr>
        <w:t xml:space="preserve">Figure </w:t>
      </w:r>
      <w:r w:rsidR="00B76981" w:rsidRPr="00B76981">
        <w:rPr>
          <w:noProof/>
          <w:lang w:val="en-CA"/>
        </w:rPr>
        <w:t>1</w:t>
      </w:r>
      <w:r>
        <w:fldChar w:fldCharType="end"/>
      </w:r>
      <w:r>
        <w:t xml:space="preserve"> below. The partial pressure of a substance is the contribution a particular substance makes to the overall vapour pressure of a mixture.</w:t>
      </w:r>
    </w:p>
    <w:p w:rsidR="0014130F" w:rsidRDefault="0014130F" w:rsidP="0014130F">
      <w:pPr>
        <w:pStyle w:val="SingleTxtG"/>
        <w:jc w:val="center"/>
      </w:pPr>
    </w:p>
    <w:p w:rsidR="00141599" w:rsidRDefault="0014130F" w:rsidP="0014130F">
      <w:pPr>
        <w:pStyle w:val="SingleTxtG"/>
        <w:jc w:val="center"/>
      </w:pPr>
      <w:r>
        <w:rPr>
          <w:noProof/>
          <w:lang w:eastAsia="en-GB"/>
        </w:rPr>
        <w:drawing>
          <wp:inline distT="0" distB="0" distL="0" distR="0">
            <wp:extent cx="2774950" cy="1009650"/>
            <wp:effectExtent l="0" t="0" r="6350" b="0"/>
            <wp:docPr id="1" name="Picture 1" descr="CodeCogs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CogsEq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950" cy="1009650"/>
                    </a:xfrm>
                    <a:prstGeom prst="rect">
                      <a:avLst/>
                    </a:prstGeom>
                    <a:noFill/>
                    <a:ln>
                      <a:noFill/>
                    </a:ln>
                  </pic:spPr>
                </pic:pic>
              </a:graphicData>
            </a:graphic>
          </wp:inline>
        </w:drawing>
      </w:r>
    </w:p>
    <w:p w:rsidR="00F878AA" w:rsidRPr="00F878AA" w:rsidRDefault="00F878AA" w:rsidP="00F878AA">
      <w:pPr>
        <w:pStyle w:val="SingleTxtG"/>
        <w:jc w:val="center"/>
        <w:rPr>
          <w:b/>
        </w:rPr>
      </w:pPr>
      <w:bookmarkStart w:id="1" w:name="_Ref453317379"/>
      <w:r w:rsidRPr="00F878AA">
        <w:rPr>
          <w:b/>
          <w:lang w:val="en-CA"/>
        </w:rPr>
        <w:t xml:space="preserve">Figure </w:t>
      </w:r>
      <w:r w:rsidRPr="00F878AA">
        <w:rPr>
          <w:b/>
        </w:rPr>
        <w:fldChar w:fldCharType="begin"/>
      </w:r>
      <w:r w:rsidRPr="00F878AA">
        <w:rPr>
          <w:b/>
          <w:lang w:val="en-CA"/>
        </w:rPr>
        <w:instrText xml:space="preserve"> SEQ Figure \* ARABIC </w:instrText>
      </w:r>
      <w:r w:rsidRPr="00F878AA">
        <w:rPr>
          <w:b/>
        </w:rPr>
        <w:fldChar w:fldCharType="separate"/>
      </w:r>
      <w:r w:rsidR="00B76981">
        <w:rPr>
          <w:b/>
          <w:noProof/>
          <w:lang w:val="en-CA"/>
        </w:rPr>
        <w:t>1</w:t>
      </w:r>
      <w:r w:rsidRPr="00F878AA">
        <w:rPr>
          <w:b/>
        </w:rPr>
        <w:fldChar w:fldCharType="end"/>
      </w:r>
      <w:bookmarkEnd w:id="1"/>
      <w:r>
        <w:rPr>
          <w:b/>
          <w:lang w:val="en-CA"/>
        </w:rPr>
        <w:t>:</w:t>
      </w:r>
      <w:r w:rsidRPr="00F878AA">
        <w:rPr>
          <w:b/>
          <w:lang w:val="en-CA"/>
        </w:rPr>
        <w:t xml:space="preserve"> Vapour pressure calculation for a two-species system</w:t>
      </w:r>
    </w:p>
    <w:p w:rsidR="00F878AA" w:rsidRDefault="00F878AA" w:rsidP="00F878AA">
      <w:pPr>
        <w:pStyle w:val="SingleTxtG"/>
        <w:ind w:left="1701"/>
      </w:pPr>
      <w:r w:rsidRPr="0076134F">
        <w:rPr>
          <w:b/>
        </w:rPr>
        <w:t>P</w:t>
      </w:r>
      <w:r w:rsidRPr="0076134F">
        <w:rPr>
          <w:b/>
          <w:vertAlign w:val="superscript"/>
        </w:rPr>
        <w:t>o</w:t>
      </w:r>
      <w:r>
        <w:t xml:space="preserve"> is the vapour pressure of A and B if they were on their own as pure liquids.</w:t>
      </w:r>
    </w:p>
    <w:p w:rsidR="00F878AA" w:rsidRPr="00264D6A" w:rsidRDefault="00F878AA" w:rsidP="00F878AA">
      <w:pPr>
        <w:pStyle w:val="SingleTxtG"/>
        <w:ind w:left="1701"/>
      </w:pPr>
      <w:proofErr w:type="spellStart"/>
      <w:proofErr w:type="gramStart"/>
      <w:r w:rsidRPr="00B276C4">
        <w:rPr>
          <w:b/>
        </w:rPr>
        <w:t>x</w:t>
      </w:r>
      <w:r w:rsidRPr="00B276C4">
        <w:rPr>
          <w:b/>
          <w:vertAlign w:val="subscript"/>
        </w:rPr>
        <w:t>A</w:t>
      </w:r>
      <w:proofErr w:type="spellEnd"/>
      <w:proofErr w:type="gramEnd"/>
      <w:r>
        <w:t xml:space="preserve"> and </w:t>
      </w:r>
      <w:proofErr w:type="spellStart"/>
      <w:r w:rsidRPr="00B276C4">
        <w:rPr>
          <w:b/>
        </w:rPr>
        <w:t>x</w:t>
      </w:r>
      <w:r w:rsidRPr="00B276C4">
        <w:rPr>
          <w:b/>
          <w:vertAlign w:val="subscript"/>
        </w:rPr>
        <w:t>B</w:t>
      </w:r>
      <w:proofErr w:type="spellEnd"/>
      <w:r>
        <w:t xml:space="preserve"> are the mole fractions of A and B – the fraction of the total number of moles present of A and B.</w:t>
      </w:r>
    </w:p>
    <w:p w:rsidR="002825FB" w:rsidRDefault="002825FB" w:rsidP="002825FB">
      <w:pPr>
        <w:pStyle w:val="SingleTxtG"/>
      </w:pPr>
      <w:r>
        <w:t>7.</w:t>
      </w:r>
      <w:r>
        <w:tab/>
        <w:t xml:space="preserve">For a pure substance or for a defined system of substances, the vapour pressure of the substance can be measured directly or calculated using calculations such as those presented above. The calculation becomes more complicated as more substances are added to a mixture, but methods do exist (e.g., partial pressures). </w:t>
      </w:r>
    </w:p>
    <w:p w:rsidR="002825FB" w:rsidRDefault="002825FB" w:rsidP="002825FB">
      <w:pPr>
        <w:pStyle w:val="SingleTxtG"/>
      </w:pPr>
      <w:r>
        <w:t>8.</w:t>
      </w:r>
      <w:r>
        <w:tab/>
        <w:t xml:space="preserve">When considering undefined mixtures or mixtures where some components are present in small quantities, the measurement of the mixture’s vapour pressure can become more complex. The volume of the vapour space above the liquid can affect the vapour pressure measured and may result in measurements that are not equivalent to a pure substance vapour pressure. </w:t>
      </w:r>
    </w:p>
    <w:p w:rsidR="002825FB" w:rsidRDefault="002825FB" w:rsidP="002825FB">
      <w:pPr>
        <w:pStyle w:val="SingleTxtG"/>
      </w:pPr>
      <w:r>
        <w:t>9.</w:t>
      </w:r>
      <w:r>
        <w:tab/>
        <w:t xml:space="preserve">When </w:t>
      </w:r>
      <w:r w:rsidRPr="00821E36">
        <w:rPr>
          <w:u w:val="single"/>
        </w:rPr>
        <w:t>measuring</w:t>
      </w:r>
      <w:r>
        <w:t xml:space="preserve"> the vapour pressure of a substance, the determination of the vapour pressure of a mixture must be taken at the point where the V/L ratio approaches zero (0) – the bubble point; this is the point that accounts for the vapour pressure contribution of all the substances present in a mixture, the non-linearity and interactions present in a real mixture, and is the equivalent measurement to the vapour pressure of a pure substance.</w:t>
      </w:r>
    </w:p>
    <w:p w:rsidR="005F3F5F" w:rsidRDefault="002825FB" w:rsidP="002825FB">
      <w:pPr>
        <w:pStyle w:val="SingleTxtG"/>
      </w:pPr>
      <w:r>
        <w:t>10.</w:t>
      </w:r>
      <w:r>
        <w:tab/>
        <w:t>For example, a pure substance’s vapour pressure is independent of the vapour space above provided there is liquid present at thermodynamic equilibrium at a given temperature in a closed system.</w:t>
      </w:r>
    </w:p>
    <w:p w:rsidR="005F3F5F" w:rsidRDefault="005F3F5F">
      <w:pPr>
        <w:suppressAutoHyphens w:val="0"/>
        <w:spacing w:line="240" w:lineRule="auto"/>
      </w:pPr>
      <w:r>
        <w:br w:type="page"/>
      </w:r>
    </w:p>
    <w:p w:rsidR="00141599" w:rsidRDefault="005F3F5F" w:rsidP="002825FB">
      <w:pPr>
        <w:pStyle w:val="SingleTxtG"/>
      </w:pPr>
      <w:r>
        <w:lastRenderedPageBreak/>
        <w:t>See Figure 2.</w:t>
      </w:r>
    </w:p>
    <w:p w:rsidR="00141599" w:rsidRDefault="002825FB" w:rsidP="00141599">
      <w:pPr>
        <w:pStyle w:val="SingleTxtG"/>
      </w:pPr>
      <w:r>
        <w:rPr>
          <w:noProof/>
          <w:lang w:eastAsia="en-GB"/>
        </w:rPr>
        <w:drawing>
          <wp:inline distT="0" distB="0" distL="0" distR="0">
            <wp:extent cx="3251200" cy="3467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200" cy="3467100"/>
                    </a:xfrm>
                    <a:prstGeom prst="rect">
                      <a:avLst/>
                    </a:prstGeom>
                    <a:noFill/>
                    <a:ln>
                      <a:noFill/>
                    </a:ln>
                  </pic:spPr>
                </pic:pic>
              </a:graphicData>
            </a:graphic>
          </wp:inline>
        </w:drawing>
      </w:r>
    </w:p>
    <w:p w:rsidR="002825FB" w:rsidRPr="002825FB" w:rsidRDefault="002825FB" w:rsidP="002825FB">
      <w:pPr>
        <w:pStyle w:val="SingleTxtG"/>
        <w:jc w:val="center"/>
        <w:rPr>
          <w:b/>
          <w:lang w:val="en-CA"/>
        </w:rPr>
      </w:pPr>
      <w:r w:rsidRPr="002825FB">
        <w:rPr>
          <w:b/>
          <w:lang w:val="en-CA"/>
        </w:rPr>
        <w:t xml:space="preserve">Figure </w:t>
      </w:r>
      <w:r w:rsidRPr="002825FB">
        <w:rPr>
          <w:b/>
        </w:rPr>
        <w:fldChar w:fldCharType="begin"/>
      </w:r>
      <w:r w:rsidRPr="002825FB">
        <w:rPr>
          <w:b/>
          <w:lang w:val="en-CA"/>
        </w:rPr>
        <w:instrText xml:space="preserve"> SEQ Figure \* ARABIC </w:instrText>
      </w:r>
      <w:r w:rsidRPr="002825FB">
        <w:rPr>
          <w:b/>
        </w:rPr>
        <w:fldChar w:fldCharType="separate"/>
      </w:r>
      <w:r w:rsidR="00B76981">
        <w:rPr>
          <w:b/>
          <w:noProof/>
          <w:lang w:val="en-CA"/>
        </w:rPr>
        <w:t>2</w:t>
      </w:r>
      <w:r w:rsidRPr="002825FB">
        <w:rPr>
          <w:b/>
        </w:rPr>
        <w:fldChar w:fldCharType="end"/>
      </w:r>
      <w:r>
        <w:rPr>
          <w:b/>
          <w:lang w:val="en-CA"/>
        </w:rPr>
        <w:t>:</w:t>
      </w:r>
      <w:r w:rsidRPr="002825FB">
        <w:rPr>
          <w:b/>
          <w:lang w:val="en-CA"/>
        </w:rPr>
        <w:t xml:space="preserve"> Vapour Pressure of a Pure Substance</w:t>
      </w:r>
    </w:p>
    <w:p w:rsidR="002825FB" w:rsidRDefault="002825FB" w:rsidP="002825FB">
      <w:pPr>
        <w:pStyle w:val="SingleTxtG"/>
      </w:pPr>
      <w:bookmarkStart w:id="2" w:name="_Ref453331704"/>
      <w:r>
        <w:t>11.</w:t>
      </w:r>
      <w:r>
        <w:tab/>
        <w:t xml:space="preserve">For a mixture with small amounts of a high vapour pressure substance (e.g., methane), the contribution of methane to the total vapour pressure can vary with changing V/L ratio. As the small amount of methane is vaporised into the vapour space, it eventually reaches a limit where it has fully vaporised. Above this point, the partial pressure contribution of methane will begin to drop with regard to the overall vapour pressure of the mixture. As the V/L ratio is increased, the partial pressure of methane will decrease because the same amount of methane is now present in a larger volume and so its mole fraction decreases, decreasing its overall contribution to the vapour pressure. This same effect can happen multiple times over for each substance in a complex mixture, leading to a changing vapour space at thermodynamic equilibrium when the V/L ratio is varied. See </w:t>
      </w:r>
      <w:r>
        <w:fldChar w:fldCharType="begin"/>
      </w:r>
      <w:r>
        <w:instrText xml:space="preserve"> REF _Ref453319848 \h </w:instrText>
      </w:r>
      <w:r>
        <w:fldChar w:fldCharType="separate"/>
      </w:r>
      <w:r w:rsidR="00B76981" w:rsidRPr="002825FB">
        <w:rPr>
          <w:b/>
        </w:rPr>
        <w:t xml:space="preserve">Figure </w:t>
      </w:r>
      <w:r w:rsidR="00B76981">
        <w:rPr>
          <w:b/>
          <w:noProof/>
        </w:rPr>
        <w:t>3</w:t>
      </w:r>
      <w:r>
        <w:fldChar w:fldCharType="end"/>
      </w:r>
      <w:r>
        <w:t>.</w:t>
      </w:r>
      <w:bookmarkEnd w:id="2"/>
    </w:p>
    <w:p w:rsidR="00141599" w:rsidRDefault="002825FB" w:rsidP="00141599">
      <w:pPr>
        <w:pStyle w:val="SingleTxtG"/>
      </w:pPr>
      <w:r>
        <w:rPr>
          <w:noProof/>
          <w:lang w:eastAsia="en-GB"/>
        </w:rPr>
        <w:drawing>
          <wp:inline distT="0" distB="0" distL="0" distR="0">
            <wp:extent cx="3816350"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6350" cy="2247900"/>
                    </a:xfrm>
                    <a:prstGeom prst="rect">
                      <a:avLst/>
                    </a:prstGeom>
                    <a:noFill/>
                    <a:ln>
                      <a:noFill/>
                    </a:ln>
                  </pic:spPr>
                </pic:pic>
              </a:graphicData>
            </a:graphic>
          </wp:inline>
        </w:drawing>
      </w:r>
    </w:p>
    <w:p w:rsidR="002825FB" w:rsidRPr="002825FB" w:rsidRDefault="002825FB" w:rsidP="002825FB">
      <w:pPr>
        <w:pStyle w:val="SingleTxtG"/>
        <w:jc w:val="center"/>
        <w:rPr>
          <w:b/>
        </w:rPr>
      </w:pPr>
      <w:bookmarkStart w:id="3" w:name="_Ref453319848"/>
      <w:proofErr w:type="gramStart"/>
      <w:r w:rsidRPr="002825FB">
        <w:rPr>
          <w:b/>
        </w:rPr>
        <w:t xml:space="preserve">Figure </w:t>
      </w:r>
      <w:proofErr w:type="gramEnd"/>
      <w:r w:rsidRPr="002825FB">
        <w:rPr>
          <w:b/>
        </w:rPr>
        <w:fldChar w:fldCharType="begin"/>
      </w:r>
      <w:r w:rsidRPr="002825FB">
        <w:rPr>
          <w:b/>
        </w:rPr>
        <w:instrText xml:space="preserve"> SEQ Figure \* ARABIC </w:instrText>
      </w:r>
      <w:r w:rsidRPr="002825FB">
        <w:rPr>
          <w:b/>
        </w:rPr>
        <w:fldChar w:fldCharType="separate"/>
      </w:r>
      <w:r w:rsidR="00B76981">
        <w:rPr>
          <w:b/>
          <w:noProof/>
        </w:rPr>
        <w:t>3</w:t>
      </w:r>
      <w:r w:rsidRPr="002825FB">
        <w:rPr>
          <w:b/>
        </w:rPr>
        <w:fldChar w:fldCharType="end"/>
      </w:r>
      <w:bookmarkEnd w:id="3"/>
      <w:proofErr w:type="gramStart"/>
      <w:r w:rsidRPr="002825FB">
        <w:rPr>
          <w:b/>
        </w:rPr>
        <w:t>.</w:t>
      </w:r>
      <w:proofErr w:type="gramEnd"/>
      <w:r w:rsidRPr="002825FB">
        <w:rPr>
          <w:b/>
        </w:rPr>
        <w:t xml:space="preserve"> Partitioning of components</w:t>
      </w:r>
    </w:p>
    <w:p w:rsidR="002825FB" w:rsidRDefault="002825FB" w:rsidP="002825FB">
      <w:pPr>
        <w:pStyle w:val="SingleTxtG"/>
      </w:pPr>
      <w:r>
        <w:lastRenderedPageBreak/>
        <w:t>12.</w:t>
      </w:r>
      <w:r>
        <w:tab/>
      </w:r>
      <w:r>
        <w:fldChar w:fldCharType="begin"/>
      </w:r>
      <w:r>
        <w:instrText xml:space="preserve"> REF _Ref453319848 \h </w:instrText>
      </w:r>
      <w:r>
        <w:fldChar w:fldCharType="separate"/>
      </w:r>
      <w:r w:rsidR="00B76981" w:rsidRPr="002825FB">
        <w:rPr>
          <w:b/>
        </w:rPr>
        <w:t xml:space="preserve">Figure </w:t>
      </w:r>
      <w:r w:rsidR="00B76981">
        <w:rPr>
          <w:b/>
          <w:noProof/>
        </w:rPr>
        <w:t>3</w:t>
      </w:r>
      <w:r>
        <w:fldChar w:fldCharType="end"/>
      </w:r>
      <w:r>
        <w:t xml:space="preserve"> can be interpreted as follows:</w:t>
      </w:r>
    </w:p>
    <w:p w:rsidR="002825FB" w:rsidRDefault="002825FB" w:rsidP="002825FB">
      <w:pPr>
        <w:pStyle w:val="SingleTxtG"/>
        <w:ind w:left="1701"/>
      </w:pPr>
      <w:r>
        <w:t>(a)</w:t>
      </w:r>
      <w:r>
        <w:tab/>
        <w:t>A volatile component is present in both the liquid and gas phases, contributing to the vapour pressure of the mixture;</w:t>
      </w:r>
    </w:p>
    <w:p w:rsidR="002825FB" w:rsidRDefault="002825FB" w:rsidP="002825FB">
      <w:pPr>
        <w:pStyle w:val="SingleTxtG"/>
        <w:ind w:left="1701"/>
      </w:pPr>
      <w:r>
        <w:t>(b)</w:t>
      </w:r>
      <w:r>
        <w:tab/>
        <w:t>As the vapour phase is expanded, less of the volatile component is present in the liquid;</w:t>
      </w:r>
    </w:p>
    <w:p w:rsidR="002825FB" w:rsidRDefault="002825FB" w:rsidP="002825FB">
      <w:pPr>
        <w:pStyle w:val="SingleTxtG"/>
        <w:ind w:left="1701"/>
      </w:pPr>
      <w:r>
        <w:t>(c)</w:t>
      </w:r>
      <w:r>
        <w:tab/>
        <w:t xml:space="preserve">In this case, the volatile component is completely in the vapour phase, it is no longer in equilibrium with the liquid phase. As the vapour space continues to expand, its partial pressure (see </w:t>
      </w:r>
      <w:r>
        <w:fldChar w:fldCharType="begin"/>
      </w:r>
      <w:r>
        <w:instrText xml:space="preserve"> REF _Ref453317379 \h  \* MERGEFORMAT </w:instrText>
      </w:r>
      <w:r>
        <w:fldChar w:fldCharType="separate"/>
      </w:r>
      <w:r w:rsidR="00B76981" w:rsidRPr="00B76981">
        <w:rPr>
          <w:lang w:val="en-CA"/>
        </w:rPr>
        <w:t xml:space="preserve">Figure </w:t>
      </w:r>
      <w:r w:rsidR="00B76981" w:rsidRPr="00B76981">
        <w:rPr>
          <w:noProof/>
          <w:lang w:val="en-CA"/>
        </w:rPr>
        <w:t>1</w:t>
      </w:r>
      <w:r>
        <w:fldChar w:fldCharType="end"/>
      </w:r>
      <w:r>
        <w:t xml:space="preserve">) will begin to decrease, which will affect the overall vapour pressure of the mixture as shown in </w:t>
      </w:r>
      <w:r>
        <w:fldChar w:fldCharType="begin"/>
      </w:r>
      <w:r>
        <w:instrText xml:space="preserve"> REF _Ref453319760 \h  \* MERGEFORMAT </w:instrText>
      </w:r>
      <w:r>
        <w:fldChar w:fldCharType="separate"/>
      </w:r>
      <w:r w:rsidR="00B76981" w:rsidRPr="00B76981">
        <w:t xml:space="preserve">Figure </w:t>
      </w:r>
      <w:r w:rsidR="00B76981" w:rsidRPr="00B76981">
        <w:rPr>
          <w:noProof/>
        </w:rPr>
        <w:t>4</w:t>
      </w:r>
      <w:r>
        <w:fldChar w:fldCharType="end"/>
      </w:r>
      <w:r>
        <w:t>, causing it to vary with changes in V/L ratio.</w:t>
      </w:r>
    </w:p>
    <w:p w:rsidR="002825FB" w:rsidRDefault="002825FB" w:rsidP="002825FB">
      <w:pPr>
        <w:pStyle w:val="SingleTxtG"/>
      </w:pPr>
      <w:r>
        <w:t>13.</w:t>
      </w:r>
      <w:r>
        <w:tab/>
        <w:t xml:space="preserve">This is problematic because some test methods allow the V/L ratio to be varied, or the methods use a V/L ratio that may result in a vapour pressure measurement that underestimates the vapour pressure of the mixture and it’s resulting hazard or proper classification (e.g., whether it should be considered a liquid or gas). Depending on the V/L ratio used, the measured vapour pressure will vary (see </w:t>
      </w:r>
      <w:r>
        <w:fldChar w:fldCharType="begin"/>
      </w:r>
      <w:r>
        <w:instrText xml:space="preserve"> REF _Ref453319760 \h </w:instrText>
      </w:r>
      <w:r>
        <w:fldChar w:fldCharType="separate"/>
      </w:r>
      <w:r w:rsidR="00B76981" w:rsidRPr="002825FB">
        <w:rPr>
          <w:b/>
        </w:rPr>
        <w:t xml:space="preserve">Figure </w:t>
      </w:r>
      <w:r w:rsidR="00B76981">
        <w:rPr>
          <w:b/>
          <w:noProof/>
        </w:rPr>
        <w:t>4</w:t>
      </w:r>
      <w:r>
        <w:fldChar w:fldCharType="end"/>
      </w:r>
      <w:r>
        <w:t xml:space="preserve">) due to the effects discussed in paragraph </w:t>
      </w:r>
      <w:r>
        <w:fldChar w:fldCharType="begin"/>
      </w:r>
      <w:r>
        <w:instrText xml:space="preserve"> REF _Ref453331704 \r \h </w:instrText>
      </w:r>
      <w:r>
        <w:fldChar w:fldCharType="separate"/>
      </w:r>
      <w:r w:rsidR="00B76981">
        <w:t>0</w:t>
      </w:r>
      <w:r>
        <w:fldChar w:fldCharType="end"/>
      </w:r>
      <w:r>
        <w:t xml:space="preserve">, and due to non-linear interactions that occur in the mixture. A definition of vapour pressure should specify and account for this variance in establishing a vapour pressure for a mixture, and specify the V/L point equivalent to a pure substance to ensure consistency and ensure proper classification of mixtures (see </w:t>
      </w:r>
      <w:r>
        <w:fldChar w:fldCharType="begin"/>
      </w:r>
      <w:r>
        <w:instrText xml:space="preserve"> REF _Ref453325303 \h </w:instrText>
      </w:r>
      <w:r>
        <w:fldChar w:fldCharType="separate"/>
      </w:r>
      <w:r w:rsidR="00B76981" w:rsidRPr="002825FB">
        <w:rPr>
          <w:b/>
          <w:lang w:val="en-CA"/>
        </w:rPr>
        <w:t xml:space="preserve">Figure </w:t>
      </w:r>
      <w:r w:rsidR="00B76981">
        <w:rPr>
          <w:b/>
          <w:noProof/>
          <w:lang w:val="en-CA"/>
        </w:rPr>
        <w:t>5</w:t>
      </w:r>
      <w:r>
        <w:fldChar w:fldCharType="end"/>
      </w:r>
      <w:r>
        <w:t>).</w:t>
      </w:r>
    </w:p>
    <w:p w:rsidR="002825FB" w:rsidRDefault="002825FB" w:rsidP="002825FB">
      <w:pPr>
        <w:pStyle w:val="SingleTxtG"/>
      </w:pPr>
    </w:p>
    <w:p w:rsidR="002825FB" w:rsidRDefault="002825FB" w:rsidP="002825FB">
      <w:pPr>
        <w:pStyle w:val="SingleTxtG"/>
        <w:jc w:val="center"/>
      </w:pPr>
      <w:r>
        <w:rPr>
          <w:noProof/>
          <w:lang w:eastAsia="en-GB"/>
        </w:rPr>
        <w:drawing>
          <wp:inline distT="0" distB="0" distL="0" distR="0">
            <wp:extent cx="3282950" cy="3765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950" cy="3765550"/>
                    </a:xfrm>
                    <a:prstGeom prst="rect">
                      <a:avLst/>
                    </a:prstGeom>
                    <a:noFill/>
                    <a:ln>
                      <a:noFill/>
                    </a:ln>
                  </pic:spPr>
                </pic:pic>
              </a:graphicData>
            </a:graphic>
          </wp:inline>
        </w:drawing>
      </w:r>
    </w:p>
    <w:p w:rsidR="002825FB" w:rsidRPr="002825FB" w:rsidRDefault="002825FB" w:rsidP="002825FB">
      <w:pPr>
        <w:pStyle w:val="SingleTxtG"/>
        <w:jc w:val="center"/>
        <w:rPr>
          <w:b/>
        </w:rPr>
      </w:pPr>
      <w:bookmarkStart w:id="4" w:name="_Ref453319760"/>
      <w:proofErr w:type="gramStart"/>
      <w:r w:rsidRPr="002825FB">
        <w:rPr>
          <w:b/>
        </w:rPr>
        <w:t xml:space="preserve">Figure </w:t>
      </w:r>
      <w:proofErr w:type="gramEnd"/>
      <w:r w:rsidRPr="002825FB">
        <w:rPr>
          <w:b/>
        </w:rPr>
        <w:fldChar w:fldCharType="begin"/>
      </w:r>
      <w:r w:rsidRPr="002825FB">
        <w:rPr>
          <w:b/>
        </w:rPr>
        <w:instrText xml:space="preserve"> SEQ Figure \* ARABIC </w:instrText>
      </w:r>
      <w:r w:rsidRPr="002825FB">
        <w:rPr>
          <w:b/>
        </w:rPr>
        <w:fldChar w:fldCharType="separate"/>
      </w:r>
      <w:r w:rsidR="00B76981">
        <w:rPr>
          <w:b/>
          <w:noProof/>
        </w:rPr>
        <w:t>4</w:t>
      </w:r>
      <w:r w:rsidRPr="002825FB">
        <w:rPr>
          <w:b/>
        </w:rPr>
        <w:fldChar w:fldCharType="end"/>
      </w:r>
      <w:bookmarkEnd w:id="4"/>
      <w:proofErr w:type="gramStart"/>
      <w:r w:rsidRPr="002825FB">
        <w:rPr>
          <w:b/>
        </w:rPr>
        <w:t>.</w:t>
      </w:r>
      <w:proofErr w:type="gramEnd"/>
      <w:r w:rsidRPr="002825FB">
        <w:rPr>
          <w:b/>
        </w:rPr>
        <w:t xml:space="preserve"> Vapour pressure of a mixture</w:t>
      </w:r>
    </w:p>
    <w:p w:rsidR="002825FB" w:rsidRDefault="002825FB" w:rsidP="00141599">
      <w:pPr>
        <w:pStyle w:val="SingleTxtG"/>
      </w:pPr>
    </w:p>
    <w:p w:rsidR="002825FB" w:rsidRDefault="002825FB" w:rsidP="00141599">
      <w:pPr>
        <w:pStyle w:val="SingleTxtG"/>
      </w:pPr>
    </w:p>
    <w:p w:rsidR="002825FB" w:rsidRDefault="002825FB" w:rsidP="00141599">
      <w:pPr>
        <w:pStyle w:val="SingleTxtG"/>
      </w:pPr>
    </w:p>
    <w:p w:rsidR="002825FB" w:rsidRDefault="002825FB" w:rsidP="002825FB">
      <w:pPr>
        <w:pStyle w:val="SingleTxtG"/>
        <w:jc w:val="center"/>
      </w:pPr>
      <w:r>
        <w:rPr>
          <w:noProof/>
          <w:lang w:eastAsia="en-GB"/>
        </w:rPr>
        <w:drawing>
          <wp:inline distT="0" distB="0" distL="0" distR="0">
            <wp:extent cx="3562350" cy="3181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0" cy="3181350"/>
                    </a:xfrm>
                    <a:prstGeom prst="rect">
                      <a:avLst/>
                    </a:prstGeom>
                    <a:noFill/>
                    <a:ln>
                      <a:noFill/>
                    </a:ln>
                  </pic:spPr>
                </pic:pic>
              </a:graphicData>
            </a:graphic>
          </wp:inline>
        </w:drawing>
      </w:r>
    </w:p>
    <w:p w:rsidR="002825FB" w:rsidRPr="002825FB" w:rsidRDefault="002825FB" w:rsidP="002825FB">
      <w:pPr>
        <w:pStyle w:val="SingleTxtG"/>
        <w:jc w:val="center"/>
        <w:rPr>
          <w:b/>
          <w:lang w:val="en-CA"/>
        </w:rPr>
      </w:pPr>
      <w:bookmarkStart w:id="5" w:name="_Ref453325303"/>
      <w:r w:rsidRPr="002825FB">
        <w:rPr>
          <w:b/>
          <w:lang w:val="en-CA"/>
        </w:rPr>
        <w:t xml:space="preserve">Figure </w:t>
      </w:r>
      <w:r w:rsidRPr="002825FB">
        <w:rPr>
          <w:b/>
        </w:rPr>
        <w:fldChar w:fldCharType="begin"/>
      </w:r>
      <w:r w:rsidRPr="002825FB">
        <w:rPr>
          <w:b/>
          <w:lang w:val="en-CA"/>
        </w:rPr>
        <w:instrText xml:space="preserve"> SEQ Figure \* ARABIC </w:instrText>
      </w:r>
      <w:r w:rsidRPr="002825FB">
        <w:rPr>
          <w:b/>
        </w:rPr>
        <w:fldChar w:fldCharType="separate"/>
      </w:r>
      <w:r w:rsidR="00B76981">
        <w:rPr>
          <w:b/>
          <w:noProof/>
          <w:lang w:val="en-CA"/>
        </w:rPr>
        <w:t>5</w:t>
      </w:r>
      <w:r w:rsidRPr="002825FB">
        <w:rPr>
          <w:b/>
        </w:rPr>
        <w:fldChar w:fldCharType="end"/>
      </w:r>
      <w:bookmarkEnd w:id="5"/>
      <w:r w:rsidR="005F3F5F">
        <w:rPr>
          <w:b/>
          <w:lang w:val="en-CA"/>
        </w:rPr>
        <w:t>:</w:t>
      </w:r>
      <w:r w:rsidRPr="002825FB">
        <w:rPr>
          <w:b/>
          <w:lang w:val="en-CA"/>
        </w:rPr>
        <w:t xml:space="preserve"> Comparison of the vapour pressure for a mixture and pure substance</w:t>
      </w:r>
    </w:p>
    <w:p w:rsidR="002825FB" w:rsidRDefault="002825FB" w:rsidP="002825FB">
      <w:pPr>
        <w:pStyle w:val="SingleTxtG"/>
      </w:pPr>
      <w:r>
        <w:t>14.</w:t>
      </w:r>
      <w:r>
        <w:tab/>
        <w:t>Practically speaking, in a means of containment, the V/L ratio of the means of containment may be very different than the V/L ratio used in testing for the vapour pressure, and can vary significantly from the vapour pressure of that substance – the point at which the V/L ratio reaches zero (0) which is analogous to the vapour pressure of a pure substance. If not accounted for, this can underestimate the pressures experienced by that means of containment during transport and impact on the hazards present in transport.</w:t>
      </w:r>
    </w:p>
    <w:p w:rsidR="002825FB" w:rsidRDefault="002825FB" w:rsidP="002825FB">
      <w:pPr>
        <w:pStyle w:val="SingleTxtG"/>
      </w:pPr>
      <w:r>
        <w:t>15.</w:t>
      </w:r>
      <w:r>
        <w:tab/>
        <w:t>Such difficulties have been encountered in some regions, specifically North America, when considering complex mixtures such as petroleum products.</w:t>
      </w:r>
    </w:p>
    <w:p w:rsidR="002825FB" w:rsidRPr="003E45C5" w:rsidRDefault="002825FB" w:rsidP="002825FB">
      <w:pPr>
        <w:pStyle w:val="H1G"/>
      </w:pPr>
      <w:r>
        <w:tab/>
      </w:r>
      <w:r>
        <w:tab/>
      </w:r>
      <w:r w:rsidRPr="003E45C5">
        <w:t>Next Steps</w:t>
      </w:r>
    </w:p>
    <w:p w:rsidR="002825FB" w:rsidRDefault="002825FB" w:rsidP="002825FB">
      <w:pPr>
        <w:pStyle w:val="SingleTxtG"/>
      </w:pPr>
      <w:r>
        <w:t>16.</w:t>
      </w:r>
      <w:r>
        <w:tab/>
        <w:t xml:space="preserve">Given the complexities when it comes to measuring the vapour pressure of a complex liquid mixture, the expert from Canada proposes that the </w:t>
      </w:r>
      <w:r w:rsidRPr="006C21CA">
        <w:t>Sub</w:t>
      </w:r>
      <w:r>
        <w:t>-Committee consider introducing a definition of vapour pressure that clarifies how it should be interpreted for mixtures.</w:t>
      </w:r>
    </w:p>
    <w:p w:rsidR="002825FB" w:rsidRDefault="002825FB" w:rsidP="002825FB">
      <w:pPr>
        <w:pStyle w:val="SingleTxtG"/>
      </w:pPr>
      <w:r>
        <w:t>17.</w:t>
      </w:r>
      <w:r>
        <w:tab/>
        <w:t>The expert from Canada proposes the following definition for vapour pressure:</w:t>
      </w:r>
    </w:p>
    <w:p w:rsidR="002825FB" w:rsidRPr="00F71079" w:rsidRDefault="002825FB" w:rsidP="002825FB">
      <w:pPr>
        <w:pStyle w:val="SingleTxtG"/>
        <w:ind w:left="1701"/>
      </w:pPr>
      <w:r>
        <w:rPr>
          <w:i/>
        </w:rPr>
        <w:t>Vapour Pressure</w:t>
      </w:r>
      <w:r>
        <w:t xml:space="preserve"> means </w:t>
      </w:r>
      <w:r w:rsidRPr="00F71079">
        <w:t>the pressure exerted by a vapour in thermodynamic equilibrium with its condensed phases at a given temperature in a closed system.</w:t>
      </w:r>
      <w:r>
        <w:t xml:space="preserve"> For a mixture, the vapour pressure means the vapour pressure at a V/L ratio of zero (0).</w:t>
      </w:r>
    </w:p>
    <w:p w:rsidR="002825FB" w:rsidRPr="006C21CA" w:rsidRDefault="002825FB" w:rsidP="002825FB">
      <w:pPr>
        <w:pStyle w:val="SingleTxtG"/>
      </w:pPr>
      <w:r>
        <w:t>18.</w:t>
      </w:r>
      <w:r>
        <w:tab/>
        <w:t>The expert from Canada invites comments from members of the Sub-Committee. Following discussions, Canada can prepare a formal proposal for the Fiftieth Session of the Sub-Committee.</w:t>
      </w:r>
    </w:p>
    <w:p w:rsidR="002825FB" w:rsidRPr="002825FB" w:rsidRDefault="002825FB" w:rsidP="002825FB">
      <w:pPr>
        <w:pStyle w:val="SingleTxtG"/>
        <w:spacing w:before="240" w:after="0"/>
        <w:jc w:val="center"/>
        <w:rPr>
          <w:u w:val="single"/>
        </w:rPr>
      </w:pPr>
      <w:r>
        <w:rPr>
          <w:u w:val="single"/>
        </w:rPr>
        <w:tab/>
      </w:r>
      <w:r>
        <w:rPr>
          <w:u w:val="single"/>
        </w:rPr>
        <w:tab/>
      </w:r>
      <w:r>
        <w:rPr>
          <w:u w:val="single"/>
        </w:rPr>
        <w:tab/>
      </w:r>
    </w:p>
    <w:p w:rsidR="002825FB" w:rsidRDefault="002825FB" w:rsidP="00141599">
      <w:pPr>
        <w:pStyle w:val="SingleTxtG"/>
      </w:pPr>
    </w:p>
    <w:p w:rsidR="002825FB" w:rsidRPr="00141599" w:rsidRDefault="002825FB" w:rsidP="00141599">
      <w:pPr>
        <w:pStyle w:val="SingleTxtG"/>
      </w:pPr>
    </w:p>
    <w:sectPr w:rsidR="002825FB" w:rsidRPr="00141599">
      <w:headerReference w:type="even" r:id="rId14"/>
      <w:headerReference w:type="default" r:id="rId15"/>
      <w:footerReference w:type="even" r:id="rId16"/>
      <w:footerReference w:type="default" r:id="rId17"/>
      <w:endnotePr>
        <w:numFmt w:val="decimal"/>
      </w:endnotePr>
      <w:type w:val="continuous"/>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B74" w:rsidRDefault="00A90B74"/>
  </w:endnote>
  <w:endnote w:type="continuationSeparator" w:id="0">
    <w:p w:rsidR="00A90B74" w:rsidRDefault="00A90B74"/>
  </w:endnote>
  <w:endnote w:type="continuationNotice" w:id="1">
    <w:p w:rsidR="00A90B74" w:rsidRDefault="00A90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74" w:rsidRDefault="005811E5">
    <w:pPr>
      <w:pStyle w:val="Footer"/>
      <w:rPr>
        <w:b/>
        <w:sz w:val="18"/>
      </w:rPr>
    </w:pPr>
    <w:r>
      <w:rPr>
        <w:b/>
        <w:sz w:val="18"/>
      </w:rPr>
      <w:fldChar w:fldCharType="begin"/>
    </w:r>
    <w:r>
      <w:rPr>
        <w:b/>
        <w:sz w:val="18"/>
      </w:rPr>
      <w:instrText xml:space="preserve"> PAGE   \* MERGEFORMAT </w:instrText>
    </w:r>
    <w:r>
      <w:rPr>
        <w:b/>
        <w:sz w:val="18"/>
      </w:rPr>
      <w:fldChar w:fldCharType="separate"/>
    </w:r>
    <w:r w:rsidR="00B76981">
      <w:rPr>
        <w:b/>
        <w:noProof/>
        <w:sz w:val="18"/>
      </w:rPr>
      <w:t>4</w:t>
    </w:r>
    <w:r>
      <w:rPr>
        <w:b/>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74" w:rsidRDefault="005811E5">
    <w:pPr>
      <w:pStyle w:val="Footer"/>
      <w:tabs>
        <w:tab w:val="right" w:pos="9598"/>
      </w:tabs>
      <w:rPr>
        <w:b/>
        <w:sz w:val="18"/>
      </w:rPr>
    </w:pPr>
    <w:r>
      <w:tab/>
    </w:r>
    <w:r>
      <w:rPr>
        <w:b/>
        <w:sz w:val="18"/>
      </w:rPr>
      <w:fldChar w:fldCharType="begin"/>
    </w:r>
    <w:r>
      <w:rPr>
        <w:b/>
        <w:sz w:val="18"/>
      </w:rPr>
      <w:instrText xml:space="preserve"> PAGE  \* MERGEFORMAT </w:instrText>
    </w:r>
    <w:r>
      <w:rPr>
        <w:b/>
        <w:sz w:val="18"/>
      </w:rPr>
      <w:fldChar w:fldCharType="separate"/>
    </w:r>
    <w:r w:rsidR="00B76981">
      <w:rPr>
        <w:b/>
        <w:noProof/>
        <w:sz w:val="18"/>
      </w:rPr>
      <w:t>5</w:t>
    </w:r>
    <w:r>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B74" w:rsidRDefault="005811E5">
      <w:pPr>
        <w:tabs>
          <w:tab w:val="right" w:pos="2155"/>
        </w:tabs>
        <w:spacing w:after="80"/>
        <w:ind w:left="680"/>
        <w:rPr>
          <w:u w:val="single"/>
        </w:rPr>
      </w:pPr>
      <w:r>
        <w:rPr>
          <w:u w:val="single"/>
        </w:rPr>
        <w:tab/>
      </w:r>
    </w:p>
  </w:footnote>
  <w:footnote w:type="continuationSeparator" w:id="0">
    <w:p w:rsidR="00A90B74" w:rsidRDefault="005811E5">
      <w:pPr>
        <w:tabs>
          <w:tab w:val="left" w:pos="2155"/>
        </w:tabs>
        <w:spacing w:after="80"/>
        <w:ind w:left="680"/>
        <w:rPr>
          <w:u w:val="single"/>
        </w:rPr>
      </w:pPr>
      <w:r>
        <w:rPr>
          <w:u w:val="single"/>
        </w:rPr>
        <w:tab/>
      </w:r>
    </w:p>
  </w:footnote>
  <w:footnote w:type="continuationNotice" w:id="1">
    <w:p w:rsidR="00A90B74" w:rsidRDefault="00A90B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74" w:rsidRDefault="0014130F">
    <w:pPr>
      <w:pStyle w:val="Header"/>
    </w:pPr>
    <w:r>
      <w:rPr>
        <w:noProof/>
      </w:rPr>
      <w:t>UN/SCETDG/49/INF.24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74" w:rsidRDefault="002825FB">
    <w:pPr>
      <w:pStyle w:val="Header"/>
      <w:jc w:val="right"/>
    </w:pPr>
    <w:r>
      <w:t>UN/SCETDG/49/INF.24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C49F8"/>
    <w:multiLevelType w:val="hybridMultilevel"/>
    <w:tmpl w:val="57E679C2"/>
    <w:lvl w:ilvl="0" w:tplc="075A641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1444B84"/>
    <w:multiLevelType w:val="hybridMultilevel"/>
    <w:tmpl w:val="81DC493A"/>
    <w:lvl w:ilvl="0" w:tplc="CE96D52A">
      <w:start w:val="1"/>
      <w:numFmt w:val="decimal"/>
      <w:pStyle w:val="UNPara"/>
      <w:lvlText w:val="%1."/>
      <w:lvlJc w:val="left"/>
      <w:pPr>
        <w:ind w:left="1494" w:hanging="360"/>
      </w:pPr>
    </w:lvl>
    <w:lvl w:ilvl="1" w:tplc="10090019">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BD81E01"/>
    <w:multiLevelType w:val="hybridMultilevel"/>
    <w:tmpl w:val="F62C76D6"/>
    <w:lvl w:ilvl="0" w:tplc="E0FA54E2">
      <w:start w:val="3"/>
      <w:numFmt w:val="decimal"/>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14">
    <w:nsid w:val="0D006861"/>
    <w:multiLevelType w:val="hybridMultilevel"/>
    <w:tmpl w:val="D77E7D0E"/>
    <w:lvl w:ilvl="0" w:tplc="CDBC4AB8">
      <w:start w:val="1"/>
      <w:numFmt w:val="decimal"/>
      <w:lvlText w:val="%1."/>
      <w:lvlJc w:val="left"/>
      <w:pPr>
        <w:ind w:left="1353" w:hanging="360"/>
      </w:pPr>
      <w:rPr>
        <w:rFonts w:hint="default"/>
      </w:rPr>
    </w:lvl>
    <w:lvl w:ilvl="1" w:tplc="0409000F">
      <w:start w:val="1"/>
      <w:numFmt w:val="decimal"/>
      <w:lvlText w:val="%2."/>
      <w:lvlJc w:val="left"/>
      <w:pPr>
        <w:tabs>
          <w:tab w:val="num" w:pos="2214"/>
        </w:tabs>
        <w:ind w:left="2214" w:hanging="360"/>
      </w:pPr>
      <w:rPr>
        <w:rFonts w:hint="default"/>
      </w:rPr>
    </w:lvl>
    <w:lvl w:ilvl="2" w:tplc="0409000F">
      <w:start w:val="1"/>
      <w:numFmt w:val="decimal"/>
      <w:lvlText w:val="%3."/>
      <w:lvlJc w:val="lef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nsid w:val="111A56BF"/>
    <w:multiLevelType w:val="hybridMultilevel"/>
    <w:tmpl w:val="B3EAC734"/>
    <w:lvl w:ilvl="0" w:tplc="87EC08E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96614F3"/>
    <w:multiLevelType w:val="hybridMultilevel"/>
    <w:tmpl w:val="DAC44DB4"/>
    <w:lvl w:ilvl="0" w:tplc="01FEB27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nsid w:val="19B85BD5"/>
    <w:multiLevelType w:val="hybridMultilevel"/>
    <w:tmpl w:val="DAAE06CA"/>
    <w:lvl w:ilvl="0" w:tplc="9168B7A6">
      <w:start w:val="1"/>
      <w:numFmt w:val="lowerRoman"/>
      <w:lvlText w:val="%1."/>
      <w:lvlJc w:val="left"/>
      <w:pPr>
        <w:ind w:left="2574" w:hanging="72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9">
    <w:nsid w:val="1A667145"/>
    <w:multiLevelType w:val="hybridMultilevel"/>
    <w:tmpl w:val="32FA10A6"/>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FD026AC"/>
    <w:multiLevelType w:val="hybridMultilevel"/>
    <w:tmpl w:val="ACACE0DE"/>
    <w:lvl w:ilvl="0" w:tplc="E2708F08">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2">
    <w:nsid w:val="21A97A4A"/>
    <w:multiLevelType w:val="hybridMultilevel"/>
    <w:tmpl w:val="5216A528"/>
    <w:lvl w:ilvl="0" w:tplc="97E6B682">
      <w:start w:val="3"/>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1BD0541"/>
    <w:multiLevelType w:val="hybridMultilevel"/>
    <w:tmpl w:val="C02854C2"/>
    <w:lvl w:ilvl="0" w:tplc="E0FA54E2">
      <w:start w:val="3"/>
      <w:numFmt w:val="decimal"/>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24">
    <w:nsid w:val="2BFD3DB5"/>
    <w:multiLevelType w:val="hybridMultilevel"/>
    <w:tmpl w:val="10D03F8C"/>
    <w:lvl w:ilvl="0" w:tplc="04070001">
      <w:start w:val="1"/>
      <w:numFmt w:val="bullet"/>
      <w:lvlText w:val=""/>
      <w:lvlJc w:val="left"/>
      <w:pPr>
        <w:ind w:left="2220" w:hanging="360"/>
      </w:pPr>
      <w:rPr>
        <w:rFonts w:ascii="Symbol" w:hAnsi="Symbol" w:hint="default"/>
      </w:rPr>
    </w:lvl>
    <w:lvl w:ilvl="1" w:tplc="04070003" w:tentative="1">
      <w:start w:val="1"/>
      <w:numFmt w:val="bullet"/>
      <w:lvlText w:val="o"/>
      <w:lvlJc w:val="left"/>
      <w:pPr>
        <w:ind w:left="2940" w:hanging="360"/>
      </w:pPr>
      <w:rPr>
        <w:rFonts w:ascii="Courier New" w:hAnsi="Courier New" w:cs="Courier New" w:hint="default"/>
      </w:rPr>
    </w:lvl>
    <w:lvl w:ilvl="2" w:tplc="04070005" w:tentative="1">
      <w:start w:val="1"/>
      <w:numFmt w:val="bullet"/>
      <w:lvlText w:val=""/>
      <w:lvlJc w:val="left"/>
      <w:pPr>
        <w:ind w:left="3660" w:hanging="360"/>
      </w:pPr>
      <w:rPr>
        <w:rFonts w:ascii="Wingdings" w:hAnsi="Wingdings" w:hint="default"/>
      </w:rPr>
    </w:lvl>
    <w:lvl w:ilvl="3" w:tplc="04070001" w:tentative="1">
      <w:start w:val="1"/>
      <w:numFmt w:val="bullet"/>
      <w:lvlText w:val=""/>
      <w:lvlJc w:val="left"/>
      <w:pPr>
        <w:ind w:left="4380" w:hanging="360"/>
      </w:pPr>
      <w:rPr>
        <w:rFonts w:ascii="Symbol" w:hAnsi="Symbol" w:hint="default"/>
      </w:rPr>
    </w:lvl>
    <w:lvl w:ilvl="4" w:tplc="04070003" w:tentative="1">
      <w:start w:val="1"/>
      <w:numFmt w:val="bullet"/>
      <w:lvlText w:val="o"/>
      <w:lvlJc w:val="left"/>
      <w:pPr>
        <w:ind w:left="5100" w:hanging="360"/>
      </w:pPr>
      <w:rPr>
        <w:rFonts w:ascii="Courier New" w:hAnsi="Courier New" w:cs="Courier New" w:hint="default"/>
      </w:rPr>
    </w:lvl>
    <w:lvl w:ilvl="5" w:tplc="04070005" w:tentative="1">
      <w:start w:val="1"/>
      <w:numFmt w:val="bullet"/>
      <w:lvlText w:val=""/>
      <w:lvlJc w:val="left"/>
      <w:pPr>
        <w:ind w:left="5820" w:hanging="360"/>
      </w:pPr>
      <w:rPr>
        <w:rFonts w:ascii="Wingdings" w:hAnsi="Wingdings" w:hint="default"/>
      </w:rPr>
    </w:lvl>
    <w:lvl w:ilvl="6" w:tplc="04070001" w:tentative="1">
      <w:start w:val="1"/>
      <w:numFmt w:val="bullet"/>
      <w:lvlText w:val=""/>
      <w:lvlJc w:val="left"/>
      <w:pPr>
        <w:ind w:left="6540" w:hanging="360"/>
      </w:pPr>
      <w:rPr>
        <w:rFonts w:ascii="Symbol" w:hAnsi="Symbol" w:hint="default"/>
      </w:rPr>
    </w:lvl>
    <w:lvl w:ilvl="7" w:tplc="04070003" w:tentative="1">
      <w:start w:val="1"/>
      <w:numFmt w:val="bullet"/>
      <w:lvlText w:val="o"/>
      <w:lvlJc w:val="left"/>
      <w:pPr>
        <w:ind w:left="7260" w:hanging="360"/>
      </w:pPr>
      <w:rPr>
        <w:rFonts w:ascii="Courier New" w:hAnsi="Courier New" w:cs="Courier New" w:hint="default"/>
      </w:rPr>
    </w:lvl>
    <w:lvl w:ilvl="8" w:tplc="04070005" w:tentative="1">
      <w:start w:val="1"/>
      <w:numFmt w:val="bullet"/>
      <w:lvlText w:val=""/>
      <w:lvlJc w:val="left"/>
      <w:pPr>
        <w:ind w:left="7980" w:hanging="360"/>
      </w:pPr>
      <w:rPr>
        <w:rFonts w:ascii="Wingdings" w:hAnsi="Wingdings" w:hint="default"/>
      </w:rPr>
    </w:lvl>
  </w:abstractNum>
  <w:abstractNum w:abstractNumId="25">
    <w:nsid w:val="3136228E"/>
    <w:multiLevelType w:val="multilevel"/>
    <w:tmpl w:val="A8C89ADC"/>
    <w:styleLink w:val="WWNum33"/>
    <w:lvl w:ilvl="0">
      <w:start w:val="3"/>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6">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64E077D"/>
    <w:multiLevelType w:val="hybridMultilevel"/>
    <w:tmpl w:val="87B4A976"/>
    <w:lvl w:ilvl="0" w:tplc="C3AAD726">
      <w:start w:val="1"/>
      <w:numFmt w:val="decimal"/>
      <w:lvlText w:val="%1."/>
      <w:lvlJc w:val="left"/>
      <w:pPr>
        <w:ind w:left="1689" w:hanging="555"/>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8">
    <w:nsid w:val="3BAD178B"/>
    <w:multiLevelType w:val="hybridMultilevel"/>
    <w:tmpl w:val="EAEC28AE"/>
    <w:lvl w:ilvl="0" w:tplc="0407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nsid w:val="3C792C04"/>
    <w:multiLevelType w:val="hybridMultilevel"/>
    <w:tmpl w:val="F8AC8536"/>
    <w:lvl w:ilvl="0" w:tplc="BE58C102">
      <w:start w:val="2"/>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nsid w:val="45D23ED5"/>
    <w:multiLevelType w:val="hybridMultilevel"/>
    <w:tmpl w:val="3728893A"/>
    <w:lvl w:ilvl="0" w:tplc="F8C2E920">
      <w:start w:val="6"/>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1">
    <w:nsid w:val="46950D66"/>
    <w:multiLevelType w:val="hybridMultilevel"/>
    <w:tmpl w:val="DAAE06CA"/>
    <w:lvl w:ilvl="0" w:tplc="9168B7A6">
      <w:start w:val="1"/>
      <w:numFmt w:val="lowerRoman"/>
      <w:lvlText w:val="%1."/>
      <w:lvlJc w:val="left"/>
      <w:pPr>
        <w:ind w:left="2574" w:hanging="72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2">
    <w:nsid w:val="49D07149"/>
    <w:multiLevelType w:val="hybridMultilevel"/>
    <w:tmpl w:val="2BDE4FEE"/>
    <w:lvl w:ilvl="0" w:tplc="72720BCE">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3">
    <w:nsid w:val="4F5127C7"/>
    <w:multiLevelType w:val="hybridMultilevel"/>
    <w:tmpl w:val="F9303952"/>
    <w:lvl w:ilvl="0" w:tplc="041D000F">
      <w:start w:val="1"/>
      <w:numFmt w:val="decimal"/>
      <w:lvlText w:val="%1."/>
      <w:lvlJc w:val="left"/>
      <w:pPr>
        <w:ind w:left="720" w:hanging="360"/>
      </w:pPr>
      <w:rPr>
        <w:rFonts w:hint="default"/>
      </w:rPr>
    </w:lvl>
    <w:lvl w:ilvl="1" w:tplc="E2708F08">
      <w:start w:val="1"/>
      <w:numFmt w:val="lowerLetter"/>
      <w:lvlText w:val="(%2)"/>
      <w:lvlJc w:val="left"/>
      <w:pPr>
        <w:ind w:left="1440" w:hanging="360"/>
      </w:pPr>
      <w:rPr>
        <w:rFonts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nsid w:val="57760DB2"/>
    <w:multiLevelType w:val="hybridMultilevel"/>
    <w:tmpl w:val="BA5E469C"/>
    <w:lvl w:ilvl="0" w:tplc="08090017">
      <w:start w:val="2"/>
      <w:numFmt w:val="lowerLetter"/>
      <w:lvlText w:val="%1)"/>
      <w:lvlJc w:val="left"/>
      <w:pPr>
        <w:ind w:left="516" w:hanging="360"/>
      </w:pPr>
      <w:rPr>
        <w:rFonts w:hint="default"/>
      </w:rPr>
    </w:lvl>
    <w:lvl w:ilvl="1" w:tplc="08090019" w:tentative="1">
      <w:start w:val="1"/>
      <w:numFmt w:val="lowerLetter"/>
      <w:lvlText w:val="%2."/>
      <w:lvlJc w:val="left"/>
      <w:pPr>
        <w:ind w:left="1236" w:hanging="360"/>
      </w:pPr>
    </w:lvl>
    <w:lvl w:ilvl="2" w:tplc="0809001B" w:tentative="1">
      <w:start w:val="1"/>
      <w:numFmt w:val="lowerRoman"/>
      <w:lvlText w:val="%3."/>
      <w:lvlJc w:val="right"/>
      <w:pPr>
        <w:ind w:left="1956" w:hanging="180"/>
      </w:pPr>
    </w:lvl>
    <w:lvl w:ilvl="3" w:tplc="0809000F" w:tentative="1">
      <w:start w:val="1"/>
      <w:numFmt w:val="decimal"/>
      <w:lvlText w:val="%4."/>
      <w:lvlJc w:val="left"/>
      <w:pPr>
        <w:ind w:left="2676" w:hanging="360"/>
      </w:pPr>
    </w:lvl>
    <w:lvl w:ilvl="4" w:tplc="08090019" w:tentative="1">
      <w:start w:val="1"/>
      <w:numFmt w:val="lowerLetter"/>
      <w:lvlText w:val="%5."/>
      <w:lvlJc w:val="left"/>
      <w:pPr>
        <w:ind w:left="3396" w:hanging="360"/>
      </w:pPr>
    </w:lvl>
    <w:lvl w:ilvl="5" w:tplc="0809001B" w:tentative="1">
      <w:start w:val="1"/>
      <w:numFmt w:val="lowerRoman"/>
      <w:lvlText w:val="%6."/>
      <w:lvlJc w:val="right"/>
      <w:pPr>
        <w:ind w:left="4116" w:hanging="180"/>
      </w:pPr>
    </w:lvl>
    <w:lvl w:ilvl="6" w:tplc="0809000F" w:tentative="1">
      <w:start w:val="1"/>
      <w:numFmt w:val="decimal"/>
      <w:lvlText w:val="%7."/>
      <w:lvlJc w:val="left"/>
      <w:pPr>
        <w:ind w:left="4836" w:hanging="360"/>
      </w:pPr>
    </w:lvl>
    <w:lvl w:ilvl="7" w:tplc="08090019" w:tentative="1">
      <w:start w:val="1"/>
      <w:numFmt w:val="lowerLetter"/>
      <w:lvlText w:val="%8."/>
      <w:lvlJc w:val="left"/>
      <w:pPr>
        <w:ind w:left="5556" w:hanging="360"/>
      </w:pPr>
    </w:lvl>
    <w:lvl w:ilvl="8" w:tplc="0809001B" w:tentative="1">
      <w:start w:val="1"/>
      <w:numFmt w:val="lowerRoman"/>
      <w:lvlText w:val="%9."/>
      <w:lvlJc w:val="right"/>
      <w:pPr>
        <w:ind w:left="6276" w:hanging="180"/>
      </w:pPr>
    </w:lvl>
  </w:abstractNum>
  <w:abstractNum w:abstractNumId="3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nsid w:val="606A1E1D"/>
    <w:multiLevelType w:val="hybridMultilevel"/>
    <w:tmpl w:val="5098487A"/>
    <w:lvl w:ilvl="0" w:tplc="6AE06FD2">
      <w:start w:val="1"/>
      <w:numFmt w:val="decimal"/>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37">
    <w:nsid w:val="7377697B"/>
    <w:multiLevelType w:val="hybridMultilevel"/>
    <w:tmpl w:val="2EE681CA"/>
    <w:lvl w:ilvl="0" w:tplc="0A92C090">
      <w:start w:val="1"/>
      <w:numFmt w:val="decimal"/>
      <w:lvlText w:val="%1."/>
      <w:lvlJc w:val="left"/>
      <w:pPr>
        <w:ind w:left="1494" w:hanging="360"/>
      </w:pPr>
      <w:rPr>
        <w:rFonts w:hint="default"/>
        <w:b w:val="0"/>
        <w:bCs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8">
    <w:nsid w:val="758D78F2"/>
    <w:multiLevelType w:val="hybridMultilevel"/>
    <w:tmpl w:val="0FCEB126"/>
    <w:lvl w:ilvl="0" w:tplc="816210BC">
      <w:start w:val="1"/>
      <w:numFmt w:val="decimal"/>
      <w:lvlText w:val="%1."/>
      <w:lvlJc w:val="left"/>
      <w:pPr>
        <w:ind w:left="0" w:hanging="360"/>
      </w:pPr>
      <w:rPr>
        <w:b w:val="0"/>
        <w:sz w:val="20"/>
        <w:szCs w:val="20"/>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9">
    <w:nsid w:val="7D2A1773"/>
    <w:multiLevelType w:val="hybridMultilevel"/>
    <w:tmpl w:val="A518F4BE"/>
    <w:lvl w:ilvl="0" w:tplc="DDAA6D46">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0">
    <w:nsid w:val="7E846338"/>
    <w:multiLevelType w:val="hybridMultilevel"/>
    <w:tmpl w:val="33DAABE2"/>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6"/>
  </w:num>
  <w:num w:numId="12">
    <w:abstractNumId w:val="20"/>
  </w:num>
  <w:num w:numId="13">
    <w:abstractNumId w:val="10"/>
  </w:num>
  <w:num w:numId="14">
    <w:abstractNumId w:val="35"/>
  </w:num>
  <w:num w:numId="15">
    <w:abstractNumId w:val="16"/>
  </w:num>
  <w:num w:numId="16">
    <w:abstractNumId w:val="12"/>
  </w:num>
  <w:num w:numId="17">
    <w:abstractNumId w:val="37"/>
  </w:num>
  <w:num w:numId="18">
    <w:abstractNumId w:val="28"/>
  </w:num>
  <w:num w:numId="19">
    <w:abstractNumId w:val="14"/>
  </w:num>
  <w:num w:numId="20">
    <w:abstractNumId w:val="31"/>
  </w:num>
  <w:num w:numId="21">
    <w:abstractNumId w:val="18"/>
  </w:num>
  <w:num w:numId="22">
    <w:abstractNumId w:val="15"/>
  </w:num>
  <w:num w:numId="23">
    <w:abstractNumId w:val="17"/>
  </w:num>
  <w:num w:numId="24">
    <w:abstractNumId w:val="30"/>
  </w:num>
  <w:num w:numId="25">
    <w:abstractNumId w:val="32"/>
  </w:num>
  <w:num w:numId="26">
    <w:abstractNumId w:val="34"/>
  </w:num>
  <w:num w:numId="27">
    <w:abstractNumId w:val="39"/>
  </w:num>
  <w:num w:numId="28">
    <w:abstractNumId w:val="29"/>
  </w:num>
  <w:num w:numId="29">
    <w:abstractNumId w:val="22"/>
  </w:num>
  <w:num w:numId="30">
    <w:abstractNumId w:val="38"/>
  </w:num>
  <w:num w:numId="31">
    <w:abstractNumId w:val="19"/>
  </w:num>
  <w:num w:numId="32">
    <w:abstractNumId w:val="36"/>
  </w:num>
  <w:num w:numId="33">
    <w:abstractNumId w:val="23"/>
  </w:num>
  <w:num w:numId="34">
    <w:abstractNumId w:val="13"/>
  </w:num>
  <w:num w:numId="35">
    <w:abstractNumId w:val="40"/>
  </w:num>
  <w:num w:numId="36">
    <w:abstractNumId w:val="24"/>
  </w:num>
  <w:num w:numId="37">
    <w:abstractNumId w:val="25"/>
  </w:num>
  <w:num w:numId="38">
    <w:abstractNumId w:val="25"/>
    <w:lvlOverride w:ilvl="0">
      <w:startOverride w:val="3"/>
    </w:lvlOverride>
  </w:num>
  <w:num w:numId="39">
    <w:abstractNumId w:val="27"/>
  </w:num>
  <w:num w:numId="40">
    <w:abstractNumId w:val="33"/>
  </w:num>
  <w:num w:numId="41">
    <w:abstractNumId w:val="21"/>
  </w:num>
  <w:num w:numId="4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n-CA" w:vendorID="64" w:dllVersion="131078" w:nlCheck="1" w:checkStyle="1"/>
  <w:activeWritingStyle w:appName="MSWord" w:lang="fr-CH"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B74"/>
    <w:rsid w:val="000012C8"/>
    <w:rsid w:val="000175FF"/>
    <w:rsid w:val="0014130F"/>
    <w:rsid w:val="00141599"/>
    <w:rsid w:val="00206982"/>
    <w:rsid w:val="002825FB"/>
    <w:rsid w:val="002D3AC9"/>
    <w:rsid w:val="00543A76"/>
    <w:rsid w:val="005811E5"/>
    <w:rsid w:val="005F3F5F"/>
    <w:rsid w:val="005F404E"/>
    <w:rsid w:val="00973812"/>
    <w:rsid w:val="009C19F3"/>
    <w:rsid w:val="00A90B74"/>
    <w:rsid w:val="00AF1E72"/>
    <w:rsid w:val="00B76981"/>
    <w:rsid w:val="00D34C4C"/>
    <w:rsid w:val="00E1742E"/>
    <w:rsid w:val="00F878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240" w:lineRule="atLeast"/>
    </w:pPr>
    <w:rPr>
      <w:lang w:eastAsia="en-US"/>
    </w:rPr>
  </w:style>
  <w:style w:type="paragraph" w:styleId="Heading1">
    <w:name w:val="heading 1"/>
    <w:aliases w:val="Table_G"/>
    <w:basedOn w:val="SingleTxtG"/>
    <w:next w:val="SingleTxtG"/>
    <w:link w:val="Heading1Char"/>
    <w:qFormat/>
    <w:pPr>
      <w:spacing w:after="0" w:line="240" w:lineRule="auto"/>
      <w:ind w:right="0"/>
      <w:jc w:val="left"/>
      <w:outlineLvl w:val="0"/>
    </w:pPr>
  </w:style>
  <w:style w:type="paragraph" w:styleId="Heading2">
    <w:name w:val="heading 2"/>
    <w:basedOn w:val="Normal"/>
    <w:next w:val="Normal"/>
    <w:qFormat/>
    <w:pPr>
      <w:spacing w:line="240" w:lineRule="auto"/>
      <w:outlineLvl w:val="1"/>
    </w:pPr>
  </w:style>
  <w:style w:type="paragraph" w:styleId="Heading3">
    <w:name w:val="heading 3"/>
    <w:basedOn w:val="Normal"/>
    <w:next w:val="Normal"/>
    <w:qFormat/>
    <w:pPr>
      <w:spacing w:line="240" w:lineRule="auto"/>
      <w:outlineLvl w:val="2"/>
    </w:pPr>
  </w:style>
  <w:style w:type="paragraph" w:styleId="Heading4">
    <w:name w:val="heading 4"/>
    <w:basedOn w:val="Normal"/>
    <w:next w:val="Normal"/>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pPr>
      <w:numPr>
        <w:numId w:val="13"/>
      </w:numPr>
      <w:tabs>
        <w:tab w:val="clear" w:pos="1494"/>
      </w:tabs>
    </w:pPr>
  </w:style>
  <w:style w:type="paragraph" w:customStyle="1" w:styleId="SingleTxtG">
    <w:name w:val="_ Single Txt_G"/>
    <w:basedOn w:val="Normal"/>
    <w:link w:val="SingleTxtGChar"/>
    <w:qFormat/>
    <w:pPr>
      <w:spacing w:after="120"/>
      <w:ind w:left="1134" w:right="1134"/>
      <w:jc w:val="both"/>
    </w:pPr>
  </w:style>
  <w:style w:type="character" w:styleId="PageNumber">
    <w:name w:val="page number"/>
    <w:aliases w:val="7_G"/>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character" w:styleId="EndnoteReference">
    <w:name w:val="endnote reference"/>
    <w:aliases w:val="1_G"/>
    <w:rPr>
      <w:rFonts w:ascii="Times New Roman" w:hAnsi="Times New Roman"/>
      <w:sz w:val="18"/>
      <w:vertAlign w:val="superscript"/>
    </w:rPr>
  </w:style>
  <w:style w:type="character" w:styleId="FootnoteReference">
    <w:name w:val="footnote reference"/>
    <w:aliases w:val="4_G,Footnote Reference/"/>
    <w:uiPriority w:val="99"/>
    <w:rPr>
      <w:rFonts w:ascii="Times New Roman" w:hAnsi="Times New Roman"/>
      <w:sz w:val="18"/>
      <w:vertAlign w:val="superscript"/>
    </w:rPr>
  </w:style>
  <w:style w:type="paragraph" w:styleId="FootnoteText">
    <w:name w:val="footnote text"/>
    <w:aliases w:val="5_G"/>
    <w:basedOn w:val="Normal"/>
    <w:link w:val="FootnoteTextChar"/>
    <w:uiPriority w:val="99"/>
    <w:pPr>
      <w:tabs>
        <w:tab w:val="right" w:pos="1021"/>
      </w:tabs>
      <w:spacing w:line="220" w:lineRule="exact"/>
      <w:ind w:left="1134" w:right="1134" w:hanging="283"/>
    </w:pPr>
    <w:rPr>
      <w:sz w:val="18"/>
      <w:lang w:val="en-AU"/>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pPr>
      <w:numPr>
        <w:numId w:val="11"/>
      </w:numPr>
      <w:spacing w:after="120"/>
      <w:ind w:right="1134"/>
      <w:jc w:val="both"/>
    </w:pPr>
  </w:style>
  <w:style w:type="paragraph" w:styleId="EndnoteText">
    <w:name w:val="endnote text"/>
    <w:aliases w:val="2_G"/>
    <w:basedOn w:val="FootnoteText"/>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pPr>
      <w:numPr>
        <w:numId w:val="12"/>
      </w:numPr>
      <w:spacing w:after="120"/>
      <w:ind w:right="1134"/>
      <w:jc w:val="both"/>
    </w:pPr>
  </w:style>
  <w:style w:type="paragraph" w:customStyle="1" w:styleId="H1G">
    <w:name w:val="_ H_1_G"/>
    <w:basedOn w:val="Normal"/>
    <w:next w:val="Normal"/>
    <w:link w:val="H1GChar"/>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numbering" w:styleId="111111">
    <w:name w:val="Outline List 2"/>
    <w:basedOn w:val="NoList"/>
    <w:semiHidden/>
    <w:pPr>
      <w:numPr>
        <w:numId w:val="14"/>
      </w:numPr>
    </w:pPr>
  </w:style>
  <w:style w:type="numbering" w:styleId="1ai">
    <w:name w:val="Outline List 1"/>
    <w:basedOn w:val="NoList"/>
    <w:semiHidden/>
    <w:pPr>
      <w:numPr>
        <w:numId w:val="15"/>
      </w:numPr>
    </w:pPr>
  </w:style>
  <w:style w:type="numbering" w:styleId="ArticleSection">
    <w:name w:val="Outline List 3"/>
    <w:basedOn w:val="NoList"/>
    <w:semiHidden/>
    <w:pPr>
      <w:numPr>
        <w:numId w:val="16"/>
      </w:numPr>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Return">
    <w:name w:val="envelope return"/>
    <w:basedOn w:val="Normal"/>
    <w:semiHidden/>
    <w:rPr>
      <w:rFonts w:ascii="Arial" w:hAnsi="Arial" w:cs="Arial"/>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6"/>
      </w:numPr>
    </w:pPr>
  </w:style>
  <w:style w:type="paragraph" w:styleId="ListBullet2">
    <w:name w:val="List Bullet 2"/>
    <w:basedOn w:val="Normal"/>
    <w:semiHidden/>
    <w:pPr>
      <w:numPr>
        <w:numId w:val="7"/>
      </w:numPr>
    </w:pPr>
  </w:style>
  <w:style w:type="paragraph" w:styleId="ListBullet3">
    <w:name w:val="List Bullet 3"/>
    <w:basedOn w:val="Normal"/>
    <w:semiHidden/>
    <w:pPr>
      <w:numPr>
        <w:numId w:val="8"/>
      </w:numPr>
    </w:pPr>
  </w:style>
  <w:style w:type="paragraph" w:styleId="ListBullet4">
    <w:name w:val="List Bullet 4"/>
    <w:basedOn w:val="Normal"/>
    <w:semiHidden/>
    <w:pPr>
      <w:numPr>
        <w:numId w:val="9"/>
      </w:numPr>
    </w:pPr>
  </w:style>
  <w:style w:type="paragraph" w:styleId="ListBullet5">
    <w:name w:val="List Bullet 5"/>
    <w:basedOn w:val="Normal"/>
    <w:semiHidden/>
    <w:pPr>
      <w:numPr>
        <w:numId w:val="1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5"/>
      </w:numPr>
    </w:pPr>
  </w:style>
  <w:style w:type="paragraph" w:styleId="ListNumber2">
    <w:name w:val="List Number 2"/>
    <w:basedOn w:val="Normal"/>
    <w:semiHidden/>
    <w:pPr>
      <w:numPr>
        <w:numId w:val="4"/>
      </w:numPr>
    </w:pPr>
  </w:style>
  <w:style w:type="paragraph" w:styleId="ListNumber3">
    <w:name w:val="List Number 3"/>
    <w:basedOn w:val="Normal"/>
    <w:semiHidden/>
    <w:pPr>
      <w:numPr>
        <w:numId w:val="3"/>
      </w:numPr>
    </w:pPr>
  </w:style>
  <w:style w:type="paragraph" w:styleId="ListNumber4">
    <w:name w:val="List Number 4"/>
    <w:basedOn w:val="Normal"/>
    <w:semiHidden/>
    <w:pPr>
      <w:numPr>
        <w:numId w:val="1"/>
      </w:numPr>
    </w:pPr>
  </w:style>
  <w:style w:type="paragraph" w:styleId="ListNumber5">
    <w:name w:val="List Number 5"/>
    <w:basedOn w:val="Normal"/>
    <w:semiHidden/>
    <w:pPr>
      <w:numPr>
        <w:numId w:val="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semiHidden/>
    <w:pPr>
      <w:ind w:left="567"/>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pPr>
      <w:spacing w:line="240" w:lineRule="auto"/>
    </w:pPr>
    <w:rPr>
      <w:sz w:val="16"/>
    </w:rPr>
  </w:style>
  <w:style w:type="paragraph" w:styleId="Header">
    <w:name w:val="header"/>
    <w:aliases w:val="6_G"/>
    <w:basedOn w:val="Normal"/>
    <w:pPr>
      <w:pBdr>
        <w:bottom w:val="single" w:sz="4" w:space="4" w:color="auto"/>
      </w:pBdr>
      <w:spacing w:line="240" w:lineRule="auto"/>
    </w:pPr>
    <w:rPr>
      <w:b/>
      <w:sz w:val="18"/>
    </w:rPr>
  </w:style>
  <w:style w:type="paragraph" w:styleId="BalloonText">
    <w:name w:val="Balloon Text"/>
    <w:basedOn w:val="Normal"/>
    <w:link w:val="BalloonTextChar"/>
    <w:uiPriority w:val="99"/>
    <w:pPr>
      <w:spacing w:line="240" w:lineRule="auto"/>
    </w:pPr>
    <w:rPr>
      <w:rFonts w:ascii="Tahoma" w:hAnsi="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customStyle="1" w:styleId="H1GChar">
    <w:name w:val="_ H_1_G Char"/>
    <w:link w:val="H1G"/>
    <w:rPr>
      <w:b/>
      <w:sz w:val="24"/>
      <w:lang w:eastAsia="en-US"/>
    </w:rPr>
  </w:style>
  <w:style w:type="character" w:customStyle="1" w:styleId="SingleTxtGChar">
    <w:name w:val="_ Single Txt_G Char"/>
    <w:link w:val="SingleTxtG"/>
    <w:rPr>
      <w:lang w:eastAsia="en-US"/>
    </w:rPr>
  </w:style>
  <w:style w:type="character" w:customStyle="1" w:styleId="FootnoteTextChar">
    <w:name w:val="Footnote Text Char"/>
    <w:aliases w:val="5_G Char"/>
    <w:link w:val="FootnoteText"/>
    <w:uiPriority w:val="99"/>
    <w:rPr>
      <w:sz w:val="18"/>
      <w:lang w:eastAsia="en-US"/>
    </w:rPr>
  </w:style>
  <w:style w:type="character" w:customStyle="1" w:styleId="FooterChar">
    <w:name w:val="Footer Char"/>
    <w:aliases w:val="3_G Char"/>
    <w:link w:val="Footer"/>
    <w:uiPriority w:val="99"/>
    <w:rPr>
      <w:sz w:val="16"/>
      <w:lang w:val="en-GB" w:eastAsia="en-US"/>
    </w:rPr>
  </w:style>
  <w:style w:type="character" w:customStyle="1" w:styleId="HChGChar">
    <w:name w:val="_ H _Ch_G Char"/>
    <w:link w:val="HChG"/>
    <w:locked/>
    <w:rPr>
      <w:b/>
      <w:sz w:val="28"/>
      <w:lang w:val="en-GB" w:eastAsia="en-US" w:bidi="ar-SA"/>
    </w:rPr>
  </w:style>
  <w:style w:type="paragraph" w:styleId="CommentSubject">
    <w:name w:val="annotation subject"/>
    <w:basedOn w:val="CommentText"/>
    <w:next w:val="CommentText"/>
    <w:semiHidden/>
    <w:rPr>
      <w:b/>
      <w:bCs/>
    </w:rPr>
  </w:style>
  <w:style w:type="paragraph" w:customStyle="1" w:styleId="ManualHeading5">
    <w:name w:val="Manual Heading 5"/>
    <w:basedOn w:val="Normal"/>
    <w:next w:val="Normal"/>
    <w:pPr>
      <w:keepNext/>
      <w:keepLines/>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Figure">
    <w:name w:val="Figure"/>
    <w:basedOn w:val="SingleTxtG"/>
    <w:qFormat/>
    <w:pPr>
      <w:ind w:left="0" w:right="0"/>
      <w:jc w:val="center"/>
    </w:pPr>
  </w:style>
  <w:style w:type="character" w:customStyle="1" w:styleId="Heading1Char">
    <w:name w:val="Heading 1 Char"/>
    <w:aliases w:val="Table_G Char"/>
    <w:link w:val="Heading1"/>
    <w:rPr>
      <w:lang w:eastAsia="en-US"/>
    </w:rPr>
  </w:style>
  <w:style w:type="character" w:customStyle="1" w:styleId="CommentTextChar">
    <w:name w:val="Comment Text Char"/>
    <w:link w:val="CommentText"/>
    <w:semiHidden/>
    <w:rPr>
      <w:lang w:eastAsia="en-US"/>
    </w:rPr>
  </w:style>
  <w:style w:type="character" w:customStyle="1" w:styleId="SingleTxtGCar">
    <w:name w:val="_ Single Txt_G Car"/>
    <w:rPr>
      <w:lang w:val="en-GB" w:eastAsia="en-US"/>
    </w:rPr>
  </w:style>
  <w:style w:type="paragraph" w:styleId="ListParagraph">
    <w:name w:val="List Paragraph"/>
    <w:basedOn w:val="Normal"/>
    <w:uiPriority w:val="34"/>
    <w:qFormat/>
    <w:pPr>
      <w:ind w:left="720"/>
      <w:contextualSpacing/>
    </w:pPr>
  </w:style>
  <w:style w:type="character" w:customStyle="1" w:styleId="hps">
    <w:name w:val="hps"/>
    <w:basedOn w:val="DefaultParagraphFont"/>
  </w:style>
  <w:style w:type="numbering" w:customStyle="1" w:styleId="WWNum33">
    <w:name w:val="WWNum33"/>
    <w:basedOn w:val="NoList"/>
    <w:pPr>
      <w:numPr>
        <w:numId w:val="37"/>
      </w:numPr>
    </w:pPr>
  </w:style>
  <w:style w:type="paragraph" w:customStyle="1" w:styleId="UNPara">
    <w:name w:val="UN Para"/>
    <w:basedOn w:val="Normal"/>
    <w:link w:val="UNParaChar"/>
    <w:qFormat/>
    <w:rsid w:val="00141599"/>
    <w:pPr>
      <w:numPr>
        <w:numId w:val="42"/>
      </w:numPr>
      <w:tabs>
        <w:tab w:val="left" w:pos="1792"/>
      </w:tabs>
      <w:spacing w:after="120"/>
      <w:ind w:left="1134" w:right="45" w:firstLine="0"/>
      <w:jc w:val="both"/>
    </w:pPr>
    <w:rPr>
      <w:color w:val="000000"/>
      <w:sz w:val="22"/>
      <w:szCs w:val="22"/>
      <w:lang w:val="en-CA"/>
    </w:rPr>
  </w:style>
  <w:style w:type="character" w:customStyle="1" w:styleId="UNParaChar">
    <w:name w:val="UN Para Char"/>
    <w:link w:val="UNPara"/>
    <w:rsid w:val="00141599"/>
    <w:rPr>
      <w:color w:val="000000"/>
      <w:sz w:val="22"/>
      <w:szCs w:val="22"/>
      <w:lang w:val="en-CA" w:eastAsia="en-US"/>
    </w:rPr>
  </w:style>
  <w:style w:type="paragraph" w:styleId="Caption">
    <w:name w:val="caption"/>
    <w:basedOn w:val="Normal"/>
    <w:next w:val="Normal"/>
    <w:uiPriority w:val="35"/>
    <w:unhideWhenUsed/>
    <w:qFormat/>
    <w:rsid w:val="002825FB"/>
    <w:rPr>
      <w:b/>
      <w:bCs/>
      <w:lang w:val="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240" w:lineRule="atLeast"/>
    </w:pPr>
    <w:rPr>
      <w:lang w:eastAsia="en-US"/>
    </w:rPr>
  </w:style>
  <w:style w:type="paragraph" w:styleId="Heading1">
    <w:name w:val="heading 1"/>
    <w:aliases w:val="Table_G"/>
    <w:basedOn w:val="SingleTxtG"/>
    <w:next w:val="SingleTxtG"/>
    <w:link w:val="Heading1Char"/>
    <w:qFormat/>
    <w:pPr>
      <w:spacing w:after="0" w:line="240" w:lineRule="auto"/>
      <w:ind w:right="0"/>
      <w:jc w:val="left"/>
      <w:outlineLvl w:val="0"/>
    </w:pPr>
  </w:style>
  <w:style w:type="paragraph" w:styleId="Heading2">
    <w:name w:val="heading 2"/>
    <w:basedOn w:val="Normal"/>
    <w:next w:val="Normal"/>
    <w:qFormat/>
    <w:pPr>
      <w:spacing w:line="240" w:lineRule="auto"/>
      <w:outlineLvl w:val="1"/>
    </w:pPr>
  </w:style>
  <w:style w:type="paragraph" w:styleId="Heading3">
    <w:name w:val="heading 3"/>
    <w:basedOn w:val="Normal"/>
    <w:next w:val="Normal"/>
    <w:qFormat/>
    <w:pPr>
      <w:spacing w:line="240" w:lineRule="auto"/>
      <w:outlineLvl w:val="2"/>
    </w:pPr>
  </w:style>
  <w:style w:type="paragraph" w:styleId="Heading4">
    <w:name w:val="heading 4"/>
    <w:basedOn w:val="Normal"/>
    <w:next w:val="Normal"/>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pPr>
      <w:numPr>
        <w:numId w:val="13"/>
      </w:numPr>
      <w:tabs>
        <w:tab w:val="clear" w:pos="1494"/>
      </w:tabs>
    </w:pPr>
  </w:style>
  <w:style w:type="paragraph" w:customStyle="1" w:styleId="SingleTxtG">
    <w:name w:val="_ Single Txt_G"/>
    <w:basedOn w:val="Normal"/>
    <w:link w:val="SingleTxtGChar"/>
    <w:qFormat/>
    <w:pPr>
      <w:spacing w:after="120"/>
      <w:ind w:left="1134" w:right="1134"/>
      <w:jc w:val="both"/>
    </w:pPr>
  </w:style>
  <w:style w:type="character" w:styleId="PageNumber">
    <w:name w:val="page number"/>
    <w:aliases w:val="7_G"/>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character" w:styleId="EndnoteReference">
    <w:name w:val="endnote reference"/>
    <w:aliases w:val="1_G"/>
    <w:rPr>
      <w:rFonts w:ascii="Times New Roman" w:hAnsi="Times New Roman"/>
      <w:sz w:val="18"/>
      <w:vertAlign w:val="superscript"/>
    </w:rPr>
  </w:style>
  <w:style w:type="character" w:styleId="FootnoteReference">
    <w:name w:val="footnote reference"/>
    <w:aliases w:val="4_G,Footnote Reference/"/>
    <w:uiPriority w:val="99"/>
    <w:rPr>
      <w:rFonts w:ascii="Times New Roman" w:hAnsi="Times New Roman"/>
      <w:sz w:val="18"/>
      <w:vertAlign w:val="superscript"/>
    </w:rPr>
  </w:style>
  <w:style w:type="paragraph" w:styleId="FootnoteText">
    <w:name w:val="footnote text"/>
    <w:aliases w:val="5_G"/>
    <w:basedOn w:val="Normal"/>
    <w:link w:val="FootnoteTextChar"/>
    <w:uiPriority w:val="99"/>
    <w:pPr>
      <w:tabs>
        <w:tab w:val="right" w:pos="1021"/>
      </w:tabs>
      <w:spacing w:line="220" w:lineRule="exact"/>
      <w:ind w:left="1134" w:right="1134" w:hanging="283"/>
    </w:pPr>
    <w:rPr>
      <w:sz w:val="18"/>
      <w:lang w:val="en-AU"/>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pPr>
      <w:numPr>
        <w:numId w:val="11"/>
      </w:numPr>
      <w:spacing w:after="120"/>
      <w:ind w:right="1134"/>
      <w:jc w:val="both"/>
    </w:pPr>
  </w:style>
  <w:style w:type="paragraph" w:styleId="EndnoteText">
    <w:name w:val="endnote text"/>
    <w:aliases w:val="2_G"/>
    <w:basedOn w:val="FootnoteText"/>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pPr>
      <w:numPr>
        <w:numId w:val="12"/>
      </w:numPr>
      <w:spacing w:after="120"/>
      <w:ind w:right="1134"/>
      <w:jc w:val="both"/>
    </w:pPr>
  </w:style>
  <w:style w:type="paragraph" w:customStyle="1" w:styleId="H1G">
    <w:name w:val="_ H_1_G"/>
    <w:basedOn w:val="Normal"/>
    <w:next w:val="Normal"/>
    <w:link w:val="H1GChar"/>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numbering" w:styleId="111111">
    <w:name w:val="Outline List 2"/>
    <w:basedOn w:val="NoList"/>
    <w:semiHidden/>
    <w:pPr>
      <w:numPr>
        <w:numId w:val="14"/>
      </w:numPr>
    </w:pPr>
  </w:style>
  <w:style w:type="numbering" w:styleId="1ai">
    <w:name w:val="Outline List 1"/>
    <w:basedOn w:val="NoList"/>
    <w:semiHidden/>
    <w:pPr>
      <w:numPr>
        <w:numId w:val="15"/>
      </w:numPr>
    </w:pPr>
  </w:style>
  <w:style w:type="numbering" w:styleId="ArticleSection">
    <w:name w:val="Outline List 3"/>
    <w:basedOn w:val="NoList"/>
    <w:semiHidden/>
    <w:pPr>
      <w:numPr>
        <w:numId w:val="16"/>
      </w:numPr>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Return">
    <w:name w:val="envelope return"/>
    <w:basedOn w:val="Normal"/>
    <w:semiHidden/>
    <w:rPr>
      <w:rFonts w:ascii="Arial" w:hAnsi="Arial" w:cs="Arial"/>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6"/>
      </w:numPr>
    </w:pPr>
  </w:style>
  <w:style w:type="paragraph" w:styleId="ListBullet2">
    <w:name w:val="List Bullet 2"/>
    <w:basedOn w:val="Normal"/>
    <w:semiHidden/>
    <w:pPr>
      <w:numPr>
        <w:numId w:val="7"/>
      </w:numPr>
    </w:pPr>
  </w:style>
  <w:style w:type="paragraph" w:styleId="ListBullet3">
    <w:name w:val="List Bullet 3"/>
    <w:basedOn w:val="Normal"/>
    <w:semiHidden/>
    <w:pPr>
      <w:numPr>
        <w:numId w:val="8"/>
      </w:numPr>
    </w:pPr>
  </w:style>
  <w:style w:type="paragraph" w:styleId="ListBullet4">
    <w:name w:val="List Bullet 4"/>
    <w:basedOn w:val="Normal"/>
    <w:semiHidden/>
    <w:pPr>
      <w:numPr>
        <w:numId w:val="9"/>
      </w:numPr>
    </w:pPr>
  </w:style>
  <w:style w:type="paragraph" w:styleId="ListBullet5">
    <w:name w:val="List Bullet 5"/>
    <w:basedOn w:val="Normal"/>
    <w:semiHidden/>
    <w:pPr>
      <w:numPr>
        <w:numId w:val="1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5"/>
      </w:numPr>
    </w:pPr>
  </w:style>
  <w:style w:type="paragraph" w:styleId="ListNumber2">
    <w:name w:val="List Number 2"/>
    <w:basedOn w:val="Normal"/>
    <w:semiHidden/>
    <w:pPr>
      <w:numPr>
        <w:numId w:val="4"/>
      </w:numPr>
    </w:pPr>
  </w:style>
  <w:style w:type="paragraph" w:styleId="ListNumber3">
    <w:name w:val="List Number 3"/>
    <w:basedOn w:val="Normal"/>
    <w:semiHidden/>
    <w:pPr>
      <w:numPr>
        <w:numId w:val="3"/>
      </w:numPr>
    </w:pPr>
  </w:style>
  <w:style w:type="paragraph" w:styleId="ListNumber4">
    <w:name w:val="List Number 4"/>
    <w:basedOn w:val="Normal"/>
    <w:semiHidden/>
    <w:pPr>
      <w:numPr>
        <w:numId w:val="1"/>
      </w:numPr>
    </w:pPr>
  </w:style>
  <w:style w:type="paragraph" w:styleId="ListNumber5">
    <w:name w:val="List Number 5"/>
    <w:basedOn w:val="Normal"/>
    <w:semiHidden/>
    <w:pPr>
      <w:numPr>
        <w:numId w:val="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semiHidden/>
    <w:pPr>
      <w:ind w:left="567"/>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pPr>
      <w:spacing w:line="240" w:lineRule="auto"/>
    </w:pPr>
    <w:rPr>
      <w:sz w:val="16"/>
    </w:rPr>
  </w:style>
  <w:style w:type="paragraph" w:styleId="Header">
    <w:name w:val="header"/>
    <w:aliases w:val="6_G"/>
    <w:basedOn w:val="Normal"/>
    <w:pPr>
      <w:pBdr>
        <w:bottom w:val="single" w:sz="4" w:space="4" w:color="auto"/>
      </w:pBdr>
      <w:spacing w:line="240" w:lineRule="auto"/>
    </w:pPr>
    <w:rPr>
      <w:b/>
      <w:sz w:val="18"/>
    </w:rPr>
  </w:style>
  <w:style w:type="paragraph" w:styleId="BalloonText">
    <w:name w:val="Balloon Text"/>
    <w:basedOn w:val="Normal"/>
    <w:link w:val="BalloonTextChar"/>
    <w:uiPriority w:val="99"/>
    <w:pPr>
      <w:spacing w:line="240" w:lineRule="auto"/>
    </w:pPr>
    <w:rPr>
      <w:rFonts w:ascii="Tahoma" w:hAnsi="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customStyle="1" w:styleId="H1GChar">
    <w:name w:val="_ H_1_G Char"/>
    <w:link w:val="H1G"/>
    <w:rPr>
      <w:b/>
      <w:sz w:val="24"/>
      <w:lang w:eastAsia="en-US"/>
    </w:rPr>
  </w:style>
  <w:style w:type="character" w:customStyle="1" w:styleId="SingleTxtGChar">
    <w:name w:val="_ Single Txt_G Char"/>
    <w:link w:val="SingleTxtG"/>
    <w:rPr>
      <w:lang w:eastAsia="en-US"/>
    </w:rPr>
  </w:style>
  <w:style w:type="character" w:customStyle="1" w:styleId="FootnoteTextChar">
    <w:name w:val="Footnote Text Char"/>
    <w:aliases w:val="5_G Char"/>
    <w:link w:val="FootnoteText"/>
    <w:uiPriority w:val="99"/>
    <w:rPr>
      <w:sz w:val="18"/>
      <w:lang w:eastAsia="en-US"/>
    </w:rPr>
  </w:style>
  <w:style w:type="character" w:customStyle="1" w:styleId="FooterChar">
    <w:name w:val="Footer Char"/>
    <w:aliases w:val="3_G Char"/>
    <w:link w:val="Footer"/>
    <w:uiPriority w:val="99"/>
    <w:rPr>
      <w:sz w:val="16"/>
      <w:lang w:val="en-GB" w:eastAsia="en-US"/>
    </w:rPr>
  </w:style>
  <w:style w:type="character" w:customStyle="1" w:styleId="HChGChar">
    <w:name w:val="_ H _Ch_G Char"/>
    <w:link w:val="HChG"/>
    <w:locked/>
    <w:rPr>
      <w:b/>
      <w:sz w:val="28"/>
      <w:lang w:val="en-GB" w:eastAsia="en-US" w:bidi="ar-SA"/>
    </w:rPr>
  </w:style>
  <w:style w:type="paragraph" w:styleId="CommentSubject">
    <w:name w:val="annotation subject"/>
    <w:basedOn w:val="CommentText"/>
    <w:next w:val="CommentText"/>
    <w:semiHidden/>
    <w:rPr>
      <w:b/>
      <w:bCs/>
    </w:rPr>
  </w:style>
  <w:style w:type="paragraph" w:customStyle="1" w:styleId="ManualHeading5">
    <w:name w:val="Manual Heading 5"/>
    <w:basedOn w:val="Normal"/>
    <w:next w:val="Normal"/>
    <w:pPr>
      <w:keepNext/>
      <w:keepLines/>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Figure">
    <w:name w:val="Figure"/>
    <w:basedOn w:val="SingleTxtG"/>
    <w:qFormat/>
    <w:pPr>
      <w:ind w:left="0" w:right="0"/>
      <w:jc w:val="center"/>
    </w:pPr>
  </w:style>
  <w:style w:type="character" w:customStyle="1" w:styleId="Heading1Char">
    <w:name w:val="Heading 1 Char"/>
    <w:aliases w:val="Table_G Char"/>
    <w:link w:val="Heading1"/>
    <w:rPr>
      <w:lang w:eastAsia="en-US"/>
    </w:rPr>
  </w:style>
  <w:style w:type="character" w:customStyle="1" w:styleId="CommentTextChar">
    <w:name w:val="Comment Text Char"/>
    <w:link w:val="CommentText"/>
    <w:semiHidden/>
    <w:rPr>
      <w:lang w:eastAsia="en-US"/>
    </w:rPr>
  </w:style>
  <w:style w:type="character" w:customStyle="1" w:styleId="SingleTxtGCar">
    <w:name w:val="_ Single Txt_G Car"/>
    <w:rPr>
      <w:lang w:val="en-GB" w:eastAsia="en-US"/>
    </w:rPr>
  </w:style>
  <w:style w:type="paragraph" w:styleId="ListParagraph">
    <w:name w:val="List Paragraph"/>
    <w:basedOn w:val="Normal"/>
    <w:uiPriority w:val="34"/>
    <w:qFormat/>
    <w:pPr>
      <w:ind w:left="720"/>
      <w:contextualSpacing/>
    </w:pPr>
  </w:style>
  <w:style w:type="character" w:customStyle="1" w:styleId="hps">
    <w:name w:val="hps"/>
    <w:basedOn w:val="DefaultParagraphFont"/>
  </w:style>
  <w:style w:type="numbering" w:customStyle="1" w:styleId="WWNum33">
    <w:name w:val="WWNum33"/>
    <w:basedOn w:val="NoList"/>
    <w:pPr>
      <w:numPr>
        <w:numId w:val="37"/>
      </w:numPr>
    </w:pPr>
  </w:style>
  <w:style w:type="paragraph" w:customStyle="1" w:styleId="UNPara">
    <w:name w:val="UN Para"/>
    <w:basedOn w:val="Normal"/>
    <w:link w:val="UNParaChar"/>
    <w:qFormat/>
    <w:rsid w:val="00141599"/>
    <w:pPr>
      <w:numPr>
        <w:numId w:val="42"/>
      </w:numPr>
      <w:tabs>
        <w:tab w:val="left" w:pos="1792"/>
      </w:tabs>
      <w:spacing w:after="120"/>
      <w:ind w:left="1134" w:right="45" w:firstLine="0"/>
      <w:jc w:val="both"/>
    </w:pPr>
    <w:rPr>
      <w:color w:val="000000"/>
      <w:sz w:val="22"/>
      <w:szCs w:val="22"/>
      <w:lang w:val="en-CA"/>
    </w:rPr>
  </w:style>
  <w:style w:type="character" w:customStyle="1" w:styleId="UNParaChar">
    <w:name w:val="UN Para Char"/>
    <w:link w:val="UNPara"/>
    <w:rsid w:val="00141599"/>
    <w:rPr>
      <w:color w:val="000000"/>
      <w:sz w:val="22"/>
      <w:szCs w:val="22"/>
      <w:lang w:val="en-CA" w:eastAsia="en-US"/>
    </w:rPr>
  </w:style>
  <w:style w:type="paragraph" w:styleId="Caption">
    <w:name w:val="caption"/>
    <w:basedOn w:val="Normal"/>
    <w:next w:val="Normal"/>
    <w:uiPriority w:val="35"/>
    <w:unhideWhenUsed/>
    <w:qFormat/>
    <w:rsid w:val="002825FB"/>
    <w:rPr>
      <w:b/>
      <w:bCs/>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009533">
      <w:bodyDiv w:val="1"/>
      <w:marLeft w:val="0"/>
      <w:marRight w:val="0"/>
      <w:marTop w:val="0"/>
      <w:marBottom w:val="0"/>
      <w:divBdr>
        <w:top w:val="none" w:sz="0" w:space="0" w:color="auto"/>
        <w:left w:val="none" w:sz="0" w:space="0" w:color="auto"/>
        <w:bottom w:val="none" w:sz="0" w:space="0" w:color="auto"/>
        <w:right w:val="none" w:sz="0" w:space="0" w:color="auto"/>
      </w:divBdr>
    </w:div>
    <w:div w:id="1356467396">
      <w:bodyDiv w:val="1"/>
      <w:marLeft w:val="0"/>
      <w:marRight w:val="0"/>
      <w:marTop w:val="0"/>
      <w:marBottom w:val="0"/>
      <w:divBdr>
        <w:top w:val="none" w:sz="0" w:space="0" w:color="auto"/>
        <w:left w:val="none" w:sz="0" w:space="0" w:color="auto"/>
        <w:bottom w:val="none" w:sz="0" w:space="0" w:color="auto"/>
        <w:right w:val="none" w:sz="0" w:space="0" w:color="auto"/>
      </w:divBdr>
    </w:div>
    <w:div w:id="1734307777">
      <w:bodyDiv w:val="1"/>
      <w:marLeft w:val="0"/>
      <w:marRight w:val="0"/>
      <w:marTop w:val="0"/>
      <w:marBottom w:val="0"/>
      <w:divBdr>
        <w:top w:val="none" w:sz="0" w:space="0" w:color="auto"/>
        <w:left w:val="none" w:sz="0" w:space="0" w:color="auto"/>
        <w:bottom w:val="none" w:sz="0" w:space="0" w:color="auto"/>
        <w:right w:val="none" w:sz="0" w:space="0" w:color="auto"/>
      </w:divBdr>
    </w:div>
    <w:div w:id="1772625191">
      <w:bodyDiv w:val="1"/>
      <w:marLeft w:val="0"/>
      <w:marRight w:val="0"/>
      <w:marTop w:val="0"/>
      <w:marBottom w:val="0"/>
      <w:divBdr>
        <w:top w:val="none" w:sz="0" w:space="0" w:color="auto"/>
        <w:left w:val="none" w:sz="0" w:space="0" w:color="auto"/>
        <w:bottom w:val="none" w:sz="0" w:space="0" w:color="auto"/>
        <w:right w:val="none" w:sz="0" w:space="0" w:color="auto"/>
      </w:divBdr>
    </w:div>
    <w:div w:id="182277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1C4C3E-64A3-4CFC-AF4E-93472814F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1348</Words>
  <Characters>7689</Characters>
  <Application>Microsoft Office Word</Application>
  <DocSecurity>0</DocSecurity>
  <Lines>64</Lines>
  <Paragraphs>18</Paragraphs>
  <ScaleCrop>false</ScaleCrop>
  <HeadingPairs>
    <vt:vector size="8" baseType="variant">
      <vt:variant>
        <vt:lpstr>Title</vt:lpstr>
      </vt:variant>
      <vt:variant>
        <vt:i4>1</vt:i4>
      </vt:variant>
      <vt:variant>
        <vt:lpstr>Titre</vt:lpstr>
      </vt:variant>
      <vt:variant>
        <vt:i4>1</vt:i4>
      </vt:variant>
      <vt:variant>
        <vt:lpstr>Título</vt:lpstr>
      </vt:variant>
      <vt:variant>
        <vt:i4>1</vt:i4>
      </vt:variant>
      <vt:variant>
        <vt:lpstr>Titel</vt:lpstr>
      </vt:variant>
      <vt:variant>
        <vt:i4>1</vt:i4>
      </vt:variant>
    </vt:vector>
  </HeadingPairs>
  <TitlesOfParts>
    <vt:vector size="4" baseType="lpstr">
      <vt:lpstr>1321580</vt:lpstr>
      <vt:lpstr>1321580</vt:lpstr>
      <vt:lpstr>1321580</vt:lpstr>
      <vt:lpstr>1321580</vt:lpstr>
    </vt:vector>
  </TitlesOfParts>
  <Company>CSD</Company>
  <LinksUpToDate>false</LinksUpToDate>
  <CharactersWithSpaces>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1321580</dc:title>
  <dc:subject>ST/SG/AC.10/C.3/2013/36</dc:subject>
  <dc:creator>cg</dc:creator>
  <dc:description>Final</dc:description>
  <cp:lastModifiedBy>Laurence Berthet</cp:lastModifiedBy>
  <cp:revision>8</cp:revision>
  <cp:lastPrinted>2016-06-14T13:48:00Z</cp:lastPrinted>
  <dcterms:created xsi:type="dcterms:W3CDTF">2016-06-14T08:49:00Z</dcterms:created>
  <dcterms:modified xsi:type="dcterms:W3CDTF">2016-06-14T13:48:00Z</dcterms:modified>
</cp:coreProperties>
</file>