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6220BD" w14:paraId="6EA4C12E" w14:textId="77777777" w:rsidTr="00CF376E">
        <w:trPr>
          <w:cantSplit/>
          <w:trHeight w:hRule="exact" w:val="851"/>
        </w:trPr>
        <w:tc>
          <w:tcPr>
            <w:tcW w:w="9639" w:type="dxa"/>
            <w:tcBorders>
              <w:bottom w:val="single" w:sz="4" w:space="0" w:color="auto"/>
            </w:tcBorders>
            <w:vAlign w:val="bottom"/>
          </w:tcPr>
          <w:p w14:paraId="56D96FD9" w14:textId="7A8364FD" w:rsidR="00ED4C0B" w:rsidRPr="006220BD" w:rsidRDefault="00ED4C0B" w:rsidP="002E035F">
            <w:pPr>
              <w:jc w:val="right"/>
              <w:rPr>
                <w:b/>
                <w:sz w:val="40"/>
                <w:szCs w:val="40"/>
              </w:rPr>
            </w:pPr>
            <w:r w:rsidRPr="006220BD">
              <w:rPr>
                <w:b/>
                <w:sz w:val="40"/>
                <w:szCs w:val="40"/>
              </w:rPr>
              <w:t>UN/SCETDG/4</w:t>
            </w:r>
            <w:r w:rsidR="00E9678C" w:rsidRPr="006220BD">
              <w:rPr>
                <w:b/>
                <w:sz w:val="40"/>
                <w:szCs w:val="40"/>
              </w:rPr>
              <w:t>9</w:t>
            </w:r>
            <w:r w:rsidRPr="006220BD">
              <w:rPr>
                <w:b/>
                <w:sz w:val="40"/>
                <w:szCs w:val="40"/>
              </w:rPr>
              <w:t>/INF.</w:t>
            </w:r>
            <w:r w:rsidR="00857F8E">
              <w:rPr>
                <w:b/>
                <w:sz w:val="40"/>
                <w:szCs w:val="40"/>
              </w:rPr>
              <w:t>1</w:t>
            </w:r>
            <w:r w:rsidR="002E035F">
              <w:rPr>
                <w:b/>
                <w:sz w:val="40"/>
                <w:szCs w:val="40"/>
              </w:rPr>
              <w:t>2</w:t>
            </w:r>
          </w:p>
        </w:tc>
      </w:tr>
      <w:tr w:rsidR="00ED4C0B" w:rsidRPr="006220BD" w14:paraId="1C59EA82" w14:textId="77777777" w:rsidTr="00CF376E">
        <w:trPr>
          <w:cantSplit/>
          <w:trHeight w:val="2456"/>
        </w:trPr>
        <w:tc>
          <w:tcPr>
            <w:tcW w:w="9639" w:type="dxa"/>
            <w:tcBorders>
              <w:top w:val="single" w:sz="4" w:space="0" w:color="auto"/>
            </w:tcBorders>
          </w:tcPr>
          <w:p w14:paraId="4193EA63" w14:textId="77777777" w:rsidR="00ED4C0B" w:rsidRPr="006220BD" w:rsidRDefault="00ED4C0B" w:rsidP="00CF376E">
            <w:pPr>
              <w:spacing w:before="120"/>
              <w:rPr>
                <w:b/>
                <w:sz w:val="24"/>
                <w:szCs w:val="24"/>
              </w:rPr>
            </w:pPr>
            <w:r w:rsidRPr="006220BD">
              <w:rPr>
                <w:b/>
                <w:sz w:val="24"/>
                <w:szCs w:val="24"/>
              </w:rPr>
              <w:t>Committee of Experts on the Transport of Dangerous Goods</w:t>
            </w:r>
            <w:r w:rsidRPr="006220BD">
              <w:rPr>
                <w:b/>
                <w:sz w:val="24"/>
                <w:szCs w:val="24"/>
              </w:rPr>
              <w:br/>
              <w:t>and on the Globally Harmonized System of Classification</w:t>
            </w:r>
            <w:r w:rsidRPr="006220BD">
              <w:rPr>
                <w:b/>
                <w:sz w:val="24"/>
                <w:szCs w:val="24"/>
              </w:rPr>
              <w:br/>
              <w:t>and Labelling of Chemicals</w:t>
            </w:r>
          </w:p>
          <w:p w14:paraId="6293A85C" w14:textId="593E30CC" w:rsidR="00ED4C0B" w:rsidRPr="006220BD" w:rsidRDefault="00ED4C0B" w:rsidP="00740FD7">
            <w:pPr>
              <w:tabs>
                <w:tab w:val="left" w:pos="7920"/>
              </w:tabs>
              <w:spacing w:before="120"/>
              <w:rPr>
                <w:b/>
              </w:rPr>
            </w:pPr>
            <w:r w:rsidRPr="006220BD">
              <w:rPr>
                <w:b/>
              </w:rPr>
              <w:t>Sub-Committee of Experts on the Transport of Dangerous Goods</w:t>
            </w:r>
            <w:r w:rsidRPr="006220BD">
              <w:rPr>
                <w:b/>
              </w:rPr>
              <w:tab/>
            </w:r>
            <w:r w:rsidR="002E035F">
              <w:rPr>
                <w:b/>
              </w:rPr>
              <w:t>12</w:t>
            </w:r>
            <w:r w:rsidR="00911775" w:rsidRPr="006220BD">
              <w:rPr>
                <w:b/>
              </w:rPr>
              <w:t xml:space="preserve"> May</w:t>
            </w:r>
            <w:r w:rsidR="00314BF3" w:rsidRPr="006220BD">
              <w:rPr>
                <w:b/>
              </w:rPr>
              <w:t xml:space="preserve"> </w:t>
            </w:r>
            <w:r w:rsidRPr="006220BD">
              <w:rPr>
                <w:b/>
              </w:rPr>
              <w:t>201</w:t>
            </w:r>
            <w:r w:rsidR="00911775" w:rsidRPr="006220BD">
              <w:rPr>
                <w:b/>
              </w:rPr>
              <w:t>6</w:t>
            </w:r>
          </w:p>
          <w:p w14:paraId="55AECDCD" w14:textId="77777777" w:rsidR="00ED4C0B" w:rsidRPr="006220BD" w:rsidRDefault="00BE18CC" w:rsidP="00CF376E">
            <w:pPr>
              <w:spacing w:before="120"/>
              <w:rPr>
                <w:b/>
              </w:rPr>
            </w:pPr>
            <w:r w:rsidRPr="006220BD">
              <w:rPr>
                <w:b/>
              </w:rPr>
              <w:t>Forty-</w:t>
            </w:r>
            <w:r w:rsidR="00E9678C" w:rsidRPr="006220BD">
              <w:rPr>
                <w:b/>
              </w:rPr>
              <w:t>ninth</w:t>
            </w:r>
            <w:r w:rsidRPr="006220BD">
              <w:rPr>
                <w:b/>
              </w:rPr>
              <w:t xml:space="preserve"> session</w:t>
            </w:r>
          </w:p>
          <w:p w14:paraId="2E1A1F65" w14:textId="77777777" w:rsidR="00ED4C0B" w:rsidRPr="006220BD" w:rsidRDefault="00ED4C0B" w:rsidP="00CF376E">
            <w:r w:rsidRPr="006220BD">
              <w:t xml:space="preserve">Geneva, </w:t>
            </w:r>
            <w:r w:rsidR="00E9678C" w:rsidRPr="006220BD">
              <w:t>27 June</w:t>
            </w:r>
            <w:r w:rsidR="00520847" w:rsidRPr="006220BD">
              <w:t xml:space="preserve"> </w:t>
            </w:r>
            <w:r w:rsidRPr="006220BD">
              <w:t>–</w:t>
            </w:r>
            <w:r w:rsidR="00520847" w:rsidRPr="006220BD">
              <w:t xml:space="preserve"> </w:t>
            </w:r>
            <w:r w:rsidR="00E9678C" w:rsidRPr="006220BD">
              <w:t>06</w:t>
            </w:r>
            <w:r w:rsidR="004345E0" w:rsidRPr="006220BD">
              <w:t xml:space="preserve"> </w:t>
            </w:r>
            <w:r w:rsidR="00E9678C" w:rsidRPr="006220BD">
              <w:t xml:space="preserve">July </w:t>
            </w:r>
            <w:r w:rsidRPr="006220BD">
              <w:t>201</w:t>
            </w:r>
          </w:p>
          <w:p w14:paraId="3B332B13" w14:textId="50B29257" w:rsidR="003F4773" w:rsidRPr="006220BD" w:rsidRDefault="00610992" w:rsidP="006861C4">
            <w:pPr>
              <w:pStyle w:val="Default"/>
              <w:rPr>
                <w:sz w:val="20"/>
                <w:szCs w:val="20"/>
              </w:rPr>
            </w:pPr>
            <w:r w:rsidRPr="006220BD">
              <w:rPr>
                <w:sz w:val="20"/>
                <w:szCs w:val="20"/>
              </w:rPr>
              <w:t xml:space="preserve">Item </w:t>
            </w:r>
            <w:r w:rsidR="0078662B">
              <w:rPr>
                <w:sz w:val="20"/>
                <w:szCs w:val="20"/>
              </w:rPr>
              <w:t>4 (c)</w:t>
            </w:r>
            <w:r w:rsidR="006861C4" w:rsidRPr="006220BD">
              <w:rPr>
                <w:sz w:val="20"/>
                <w:szCs w:val="20"/>
              </w:rPr>
              <w:t xml:space="preserve"> </w:t>
            </w:r>
            <w:r w:rsidR="003F4773" w:rsidRPr="006220BD">
              <w:rPr>
                <w:sz w:val="20"/>
                <w:szCs w:val="20"/>
              </w:rPr>
              <w:t>of the provisional agenda</w:t>
            </w:r>
          </w:p>
          <w:p w14:paraId="35085963" w14:textId="1B4CAEA5" w:rsidR="00ED4C0B" w:rsidRPr="0078662B" w:rsidRDefault="0078662B" w:rsidP="00E91C51">
            <w:pPr>
              <w:spacing w:after="120"/>
              <w:rPr>
                <w:b/>
              </w:rPr>
            </w:pPr>
            <w:r w:rsidRPr="0078662B">
              <w:rPr>
                <w:b/>
              </w:rPr>
              <w:t>Electric storage systems</w:t>
            </w:r>
            <w:r w:rsidRPr="0078662B">
              <w:rPr>
                <w:b/>
              </w:rPr>
              <w:t>: m</w:t>
            </w:r>
            <w:r w:rsidRPr="0078662B">
              <w:rPr>
                <w:b/>
              </w:rPr>
              <w:t>iscellaneous</w:t>
            </w:r>
          </w:p>
        </w:tc>
      </w:tr>
    </w:tbl>
    <w:p w14:paraId="51FAF605" w14:textId="13E1FAF6" w:rsidR="00FD20F3" w:rsidRPr="009432DB" w:rsidRDefault="00FD20F3" w:rsidP="00E91C51">
      <w:pPr>
        <w:pStyle w:val="HChG"/>
      </w:pPr>
      <w:r>
        <w:tab/>
      </w:r>
      <w:r>
        <w:tab/>
      </w:r>
      <w:r w:rsidRPr="00CC4C79">
        <w:t xml:space="preserve">Transport of damaged/defective </w:t>
      </w:r>
      <w:r w:rsidR="0078662B">
        <w:rPr>
          <w:lang w:val="fr-CH"/>
        </w:rPr>
        <w:t>l</w:t>
      </w:r>
      <w:proofErr w:type="spellStart"/>
      <w:r w:rsidRPr="00E91C51">
        <w:t>ithium</w:t>
      </w:r>
      <w:proofErr w:type="spellEnd"/>
      <w:r w:rsidRPr="00CC4C79">
        <w:t xml:space="preserve"> </w:t>
      </w:r>
      <w:r w:rsidR="0078662B">
        <w:rPr>
          <w:lang w:val="fr-CH"/>
        </w:rPr>
        <w:t>b</w:t>
      </w:r>
      <w:proofErr w:type="spellStart"/>
      <w:r w:rsidRPr="009432DB">
        <w:t>atteries</w:t>
      </w:r>
      <w:proofErr w:type="spellEnd"/>
      <w:r w:rsidRPr="009432DB">
        <w:t>, Step I</w:t>
      </w:r>
    </w:p>
    <w:p w14:paraId="23BCECDE" w14:textId="4CEC20C1" w:rsidR="00FD20F3" w:rsidRPr="00CC4C79" w:rsidRDefault="00FD20F3" w:rsidP="00E91C51">
      <w:pPr>
        <w:pStyle w:val="H1G"/>
      </w:pPr>
      <w:r w:rsidRPr="00E73F7D">
        <w:rPr>
          <w:szCs w:val="28"/>
        </w:rPr>
        <w:tab/>
      </w:r>
      <w:r w:rsidRPr="00E73F7D">
        <w:rPr>
          <w:szCs w:val="28"/>
        </w:rPr>
        <w:tab/>
      </w:r>
      <w:r w:rsidR="0078662B">
        <w:t xml:space="preserve">Transmitted by </w:t>
      </w:r>
      <w:r w:rsidR="0078662B" w:rsidRPr="0078662B">
        <w:t>European Association for Advanced Rechargeable Batteries (RECHARGE)</w:t>
      </w:r>
      <w:r w:rsidR="0078662B">
        <w:t xml:space="preserve"> and</w:t>
      </w:r>
      <w:r w:rsidR="0078662B" w:rsidRPr="0078662B">
        <w:t xml:space="preserve"> </w:t>
      </w:r>
      <w:r w:rsidR="0078662B">
        <w:t xml:space="preserve">the </w:t>
      </w:r>
      <w:r w:rsidR="0078662B" w:rsidRPr="0078662B">
        <w:t>International Organization of Motor Vehicle Manufacturers (OICA)</w:t>
      </w:r>
    </w:p>
    <w:p w14:paraId="21D7CC54" w14:textId="77777777" w:rsidR="00FD20F3" w:rsidRDefault="00FD20F3" w:rsidP="00E91C51">
      <w:pPr>
        <w:pStyle w:val="HChG"/>
      </w:pPr>
      <w:r w:rsidRPr="00E73F7D">
        <w:tab/>
      </w:r>
      <w:r w:rsidRPr="00E73F7D">
        <w:tab/>
      </w:r>
      <w:r w:rsidRPr="00E91C51">
        <w:t>Introduction</w:t>
      </w:r>
      <w:r>
        <w:t xml:space="preserve"> </w:t>
      </w:r>
    </w:p>
    <w:p w14:paraId="6EC67786" w14:textId="341201D7" w:rsidR="00FD20F3" w:rsidRPr="00E91C51" w:rsidRDefault="00E91C51" w:rsidP="00E91C51">
      <w:pPr>
        <w:pStyle w:val="SingleTxtG"/>
      </w:pPr>
      <w:r>
        <w:rPr>
          <w:lang w:val="fr-CH"/>
        </w:rPr>
        <w:t>1.</w:t>
      </w:r>
      <w:r>
        <w:rPr>
          <w:lang w:val="fr-CH"/>
        </w:rPr>
        <w:tab/>
      </w:r>
      <w:r w:rsidR="00FD20F3" w:rsidRPr="00E91C51">
        <w:t xml:space="preserve">The transport of damaged/defective lithium batteries is currently regulated in SP376. It allows two ways of transport, either A P908/LP904 for the transport of damaged/defective lithium batteries, non-reactive under normal transport conditions or B using a competent authority approval to transport damaged / defective lithium batteries possibly reactive under normal transport conditions. </w:t>
      </w:r>
    </w:p>
    <w:p w14:paraId="4EE434AF" w14:textId="31DD540C" w:rsidR="00FD20F3" w:rsidRPr="00E91C51" w:rsidRDefault="00E91C51" w:rsidP="00E91C51">
      <w:pPr>
        <w:pStyle w:val="SingleTxtG"/>
      </w:pPr>
      <w:r>
        <w:rPr>
          <w:lang w:val="fr-CH"/>
        </w:rPr>
        <w:t>2.</w:t>
      </w:r>
      <w:r>
        <w:rPr>
          <w:lang w:val="fr-CH"/>
        </w:rPr>
        <w:tab/>
      </w:r>
      <w:r w:rsidR="00FD20F3" w:rsidRPr="00E91C51">
        <w:t xml:space="preserve">OICA members have examined several approvals given by competent authorities of different countries which indicate different transport solutions by using different </w:t>
      </w:r>
      <w:proofErr w:type="spellStart"/>
      <w:r w:rsidR="00FD20F3" w:rsidRPr="00E91C51">
        <w:t>packagings</w:t>
      </w:r>
      <w:proofErr w:type="spellEnd"/>
      <w:r w:rsidR="00FD20F3" w:rsidRPr="00E91C51">
        <w:t xml:space="preserve"> based on different testing and calculations methods. They recognised many similarities, summarized and proposed them as working document ST/SG/AC.10/C.3/2015/51 at the last ECOSOC Sub-Committee of Experts on the Transport of Dangerous Goods (TDG) meeting at Geneva in December 2015.  </w:t>
      </w:r>
    </w:p>
    <w:p w14:paraId="23C5F1B9" w14:textId="12EE1A04" w:rsidR="00FD20F3" w:rsidRPr="00E91C51" w:rsidRDefault="00E91C51" w:rsidP="00E91C51">
      <w:pPr>
        <w:pStyle w:val="SingleTxtG"/>
      </w:pPr>
      <w:r>
        <w:rPr>
          <w:lang w:val="fr-CH"/>
        </w:rPr>
        <w:t>3.</w:t>
      </w:r>
      <w:r>
        <w:rPr>
          <w:lang w:val="fr-CH"/>
        </w:rPr>
        <w:tab/>
      </w:r>
      <w:r w:rsidR="00FD20F3" w:rsidRPr="00E91C51">
        <w:t xml:space="preserve">The outcome of the discussion at the Geneva meeting in December 2015 was to discuss this technical issue at the 3rd Informal Working Group Lithium Batteries and Manual of Tests and Criteria Meeting at Bordeaux in March/April 2016 for a technical review by the participating battery experts. The ECOSOC Sub-Committee of Experts on the Transport of Dangerous Goods (TDG) provided mandate to the Group to submit the outcome of this technical discussion at the Geneva meeting in June/July 2016. </w:t>
      </w:r>
    </w:p>
    <w:p w14:paraId="7BD6F901" w14:textId="5368D422" w:rsidR="00FD20F3" w:rsidRDefault="00E91C51" w:rsidP="00E91C51">
      <w:pPr>
        <w:pStyle w:val="SingleTxtG"/>
      </w:pPr>
      <w:r>
        <w:rPr>
          <w:lang w:val="fr-CH"/>
        </w:rPr>
        <w:t>4.</w:t>
      </w:r>
      <w:r>
        <w:rPr>
          <w:lang w:val="fr-CH"/>
        </w:rPr>
        <w:tab/>
      </w:r>
      <w:r w:rsidR="00FD20F3">
        <w:t xml:space="preserve">The outcome of this roundtable discussion was the conformable agreement of the attendant technical </w:t>
      </w:r>
      <w:r w:rsidR="00FD20F3" w:rsidRPr="00E91C51">
        <w:t>experts</w:t>
      </w:r>
      <w:r w:rsidR="00FD20F3">
        <w:t>, that there is an increasing need for a transparent, practical and safe solution without competent authority approvals, but under a high constant safety standard (comparable to transports, approved by the competent authorities) to transport such damaged/defective lithium batteries (B) with the packaging instructions available in the regulation to avoid island solutions (approved packaging solution only usable by one OEM/packaging manufacturer and authority). A performance based packaging for damaged/defective lithium batteries (e.g. currently discussed and developed by SAE Technical Standard G-27 Committee on behalf of ICAO T.I. for the  air transport of safe Lithium Batteries) was discussed as a possible future, innovative, practical and high safety transport solution, maybe for all types of damaged/defective lithium batteries (A and B) also considering the actual damage or/and defect, using mitigation and /or prevention measures as well as finally a packaging of the then needed quality to cover all risks.</w:t>
      </w:r>
    </w:p>
    <w:p w14:paraId="011BA16A" w14:textId="779EFD88" w:rsidR="00FD20F3" w:rsidRDefault="00E91C51" w:rsidP="00E91C51">
      <w:pPr>
        <w:pStyle w:val="SingleTxtG"/>
      </w:pPr>
      <w:r>
        <w:rPr>
          <w:lang w:val="fr-CH"/>
        </w:rPr>
        <w:lastRenderedPageBreak/>
        <w:t>5.</w:t>
      </w:r>
      <w:r>
        <w:rPr>
          <w:lang w:val="fr-CH"/>
        </w:rPr>
        <w:tab/>
      </w:r>
      <w:r w:rsidR="00FD20F3">
        <w:t xml:space="preserve">The </w:t>
      </w:r>
      <w:r w:rsidR="00FD20F3" w:rsidRPr="00E91C51">
        <w:t>development</w:t>
      </w:r>
      <w:r w:rsidR="00FD20F3">
        <w:t xml:space="preserve"> of such a performance based packaging and the integration into the UN Recommendations on the Transport of Dangerous Goods is a good mid-term approach, but it probably needs time to develop and agree on, because of the individual characteristics of the different lithium cells and lithium batteries (e.g. chemistry, size, weight, watt hour rating etc.). The packaging performance and the applicable packaging characteristics (e.g. verification of the packaging criteria, means of identification, gas management etc.) shall be exactly discussed and determined. This might not be a reachable goal in this biennium. A first attempt to show such a solution will be made in a further INF-Paper to be discussed at the Sub-Committee.</w:t>
      </w:r>
    </w:p>
    <w:p w14:paraId="1C0C1156" w14:textId="29713ACD" w:rsidR="00FD20F3" w:rsidRPr="00E91C51" w:rsidRDefault="00E91C51" w:rsidP="00E91C51">
      <w:pPr>
        <w:pStyle w:val="SingleTxtG"/>
      </w:pPr>
      <w:r>
        <w:rPr>
          <w:lang w:val="fr-CH"/>
        </w:rPr>
        <w:t>6.</w:t>
      </w:r>
      <w:r>
        <w:rPr>
          <w:lang w:val="fr-CH"/>
        </w:rPr>
        <w:tab/>
      </w:r>
      <w:r w:rsidR="00FD20F3" w:rsidRPr="00E91C51">
        <w:t>However there is an urgent and increasing need for different branches of industry (packaging industry, cell and battery manufacturer as well as E-bike and car manufacturer, etc.) to have a solution to deal with those batteries on a larger scale. There will be an increasing cell and battery diversity and quantity on the market in many different countries and therefore an increasing number of as damaged/defective diagnosed lithium batteries that have to be dealt with. This should no more happen on a one battery, one engineer, one packaging, one approval and one transport solution, but on the basis e.g. of general written packaging instruction in the regulation.</w:t>
      </w:r>
    </w:p>
    <w:p w14:paraId="1601E211" w14:textId="77E98FA1" w:rsidR="00FD20F3" w:rsidRPr="00E91C51" w:rsidRDefault="00E91C51" w:rsidP="00E91C51">
      <w:pPr>
        <w:pStyle w:val="SingleTxtG"/>
      </w:pPr>
      <w:r>
        <w:rPr>
          <w:lang w:val="fr-CH"/>
        </w:rPr>
        <w:t>7.</w:t>
      </w:r>
      <w:r>
        <w:rPr>
          <w:lang w:val="fr-CH"/>
        </w:rPr>
        <w:tab/>
      </w:r>
      <w:r w:rsidR="00FD20F3" w:rsidRPr="00E91C51">
        <w:t xml:space="preserve">On the basis of several current approvals given by competent authorities, the technical discussion at the 3rd Informal Working Group Lithium Batteries and Manual of Tests and Criteria Meeting at Bordeaux, the comments received by the ECOSOC Sub-Committee of Experts on the Transport of Dangerous Goods (TDG) last December and from authorities, associations and industry as well as to promote the current discussion to achieve a performance based packaging as transport solution within this biennium, Recharge and OICA propose the following “one step” proposal for the transport of such damaged/defective batteries (B) without competent authority approval according to a revised SP376 and the introduction of a new P9XX and LP9XX.   </w:t>
      </w:r>
    </w:p>
    <w:p w14:paraId="614A72A3" w14:textId="5638066D" w:rsidR="00FD20F3" w:rsidRPr="00E91C51" w:rsidRDefault="00E91C51" w:rsidP="00E91C51">
      <w:pPr>
        <w:pStyle w:val="SingleTxtG"/>
      </w:pPr>
      <w:r>
        <w:rPr>
          <w:lang w:val="fr-CH"/>
        </w:rPr>
        <w:t>8.</w:t>
      </w:r>
      <w:r>
        <w:rPr>
          <w:lang w:val="fr-CH"/>
        </w:rPr>
        <w:tab/>
      </w:r>
      <w:r w:rsidR="00FD20F3" w:rsidRPr="00E91C51">
        <w:t xml:space="preserve">Recharge and OICA propose following technical details, </w:t>
      </w:r>
      <w:proofErr w:type="gramStart"/>
      <w:r w:rsidR="00FD20F3" w:rsidRPr="00E91C51">
        <w:t>e.g.:</w:t>
      </w:r>
      <w:proofErr w:type="gramEnd"/>
    </w:p>
    <w:p w14:paraId="001CD237" w14:textId="705445F2" w:rsidR="00FD20F3" w:rsidRPr="00E91C51" w:rsidRDefault="00E91C51" w:rsidP="00E91C51">
      <w:pPr>
        <w:pStyle w:val="SingleTxtG"/>
        <w:ind w:left="1701"/>
      </w:pPr>
      <w:r>
        <w:rPr>
          <w:lang w:val="fr-CH"/>
        </w:rPr>
        <w:t>(a)</w:t>
      </w:r>
      <w:r>
        <w:rPr>
          <w:lang w:val="fr-CH"/>
        </w:rPr>
        <w:tab/>
        <w:t>T</w:t>
      </w:r>
      <w:r w:rsidR="00FD20F3" w:rsidRPr="00E91C51">
        <w:t xml:space="preserve">he use of a PG I performance level packaging because on the basis of most of the current competent authority approvals, </w:t>
      </w:r>
    </w:p>
    <w:p w14:paraId="6CB92E7E" w14:textId="6047279C" w:rsidR="00FD20F3" w:rsidRPr="00E91C51" w:rsidRDefault="00E91C51" w:rsidP="00E91C51">
      <w:pPr>
        <w:pStyle w:val="SingleTxtG"/>
        <w:ind w:left="1701"/>
      </w:pPr>
      <w:r>
        <w:rPr>
          <w:lang w:val="fr-CH"/>
        </w:rPr>
        <w:t>(b)</w:t>
      </w:r>
      <w:r>
        <w:rPr>
          <w:lang w:val="fr-CH"/>
        </w:rPr>
        <w:tab/>
        <w:t>T</w:t>
      </w:r>
      <w:r w:rsidR="00FD20F3" w:rsidRPr="00E91C51">
        <w:t>hat the outside surface temperature of the completed package shall not have a temperature of more than 100°C, as already known from packing instruction P500 (UN3365, Oxygen Generator),</w:t>
      </w:r>
    </w:p>
    <w:p w14:paraId="17397F8E" w14:textId="49F19E1B" w:rsidR="00FD20F3" w:rsidRPr="00E91C51" w:rsidRDefault="00E91C51" w:rsidP="00E91C51">
      <w:pPr>
        <w:pStyle w:val="SingleTxtG"/>
        <w:ind w:left="1701"/>
      </w:pPr>
      <w:r>
        <w:rPr>
          <w:lang w:val="fr-CH"/>
        </w:rPr>
        <w:t>(c)</w:t>
      </w:r>
      <w:r>
        <w:rPr>
          <w:lang w:val="fr-CH"/>
        </w:rPr>
        <w:tab/>
        <w:t>T</w:t>
      </w:r>
      <w:r w:rsidR="00FD20F3" w:rsidRPr="00E91C51">
        <w:t>hat a momentary spike in temperature up to 200°C shall be acceptable, as already known from UN Recommendations on the Transport of Dangerous Goods sub-section 2.1.3.6.4 (a) for Class 1 articles,</w:t>
      </w:r>
    </w:p>
    <w:p w14:paraId="13DF1C1E" w14:textId="42A221EB" w:rsidR="00FD20F3" w:rsidRPr="00E91C51" w:rsidRDefault="00E91C51" w:rsidP="00E91C51">
      <w:pPr>
        <w:pStyle w:val="SingleTxtG"/>
        <w:ind w:left="1701"/>
      </w:pPr>
      <w:r>
        <w:rPr>
          <w:lang w:val="fr-CH"/>
        </w:rPr>
        <w:t>(d)</w:t>
      </w:r>
      <w:r>
        <w:rPr>
          <w:lang w:val="fr-CH"/>
        </w:rPr>
        <w:tab/>
        <w:t>T</w:t>
      </w:r>
      <w:r w:rsidR="00FD20F3" w:rsidRPr="00E91C51">
        <w:t xml:space="preserve">hat the packaging shall meet the criteria “no hazardous flame outside”, “no hazardous ejection fragments” and “no damage of the packaging” based on the current discussions on performance based packaging (e.g. at ICAO T.I./SAE Technical Standard G-27 Committee), since this is seen as a further safe step towards a performance based packaging (bearing in mind that any other innovative solutions and packaging that cannot confirm will still have the option of obtaining a competent authority approval), </w:t>
      </w:r>
    </w:p>
    <w:p w14:paraId="714660D8" w14:textId="61377F76" w:rsidR="00FD20F3" w:rsidRPr="00E91C51" w:rsidRDefault="00E91C51" w:rsidP="00E91C51">
      <w:pPr>
        <w:pStyle w:val="SingleTxtG"/>
        <w:ind w:left="1701"/>
      </w:pPr>
      <w:r>
        <w:rPr>
          <w:lang w:val="fr-CH"/>
        </w:rPr>
        <w:t>(e)</w:t>
      </w:r>
      <w:r>
        <w:rPr>
          <w:lang w:val="fr-CH"/>
        </w:rPr>
        <w:tab/>
        <w:t>T</w:t>
      </w:r>
      <w:r w:rsidR="00FD20F3" w:rsidRPr="00E91C51">
        <w:t>hat some kind of gas management is necessary according to the current competent authority approvals and as specified in section 5.5.2 of the UN Recommendations on the Transport of Dangerous Goods (special provisions applicable to fumigated cargo transport units (UN 3359)),</w:t>
      </w:r>
    </w:p>
    <w:p w14:paraId="47F6F86A" w14:textId="77777777" w:rsidR="0078662B" w:rsidRDefault="0078662B">
      <w:pPr>
        <w:suppressAutoHyphens w:val="0"/>
        <w:spacing w:line="240" w:lineRule="auto"/>
        <w:rPr>
          <w:lang w:val="fr-CH"/>
        </w:rPr>
      </w:pPr>
      <w:r>
        <w:rPr>
          <w:lang w:val="fr-CH"/>
        </w:rPr>
        <w:br w:type="page"/>
      </w:r>
    </w:p>
    <w:p w14:paraId="33FE3648" w14:textId="19B1758A" w:rsidR="00FD20F3" w:rsidRPr="007653EC" w:rsidRDefault="00E91C51" w:rsidP="00E91C51">
      <w:pPr>
        <w:pStyle w:val="SingleTxtG"/>
        <w:ind w:left="1701"/>
      </w:pPr>
      <w:bookmarkStart w:id="0" w:name="_GoBack"/>
      <w:bookmarkEnd w:id="0"/>
      <w:r>
        <w:rPr>
          <w:lang w:val="fr-CH"/>
        </w:rPr>
        <w:lastRenderedPageBreak/>
        <w:t>(f)</w:t>
      </w:r>
      <w:r>
        <w:rPr>
          <w:lang w:val="fr-CH"/>
        </w:rPr>
        <w:tab/>
        <w:t>T</w:t>
      </w:r>
      <w:r w:rsidR="00FD20F3" w:rsidRPr="00E91C51">
        <w:t xml:space="preserve">hat the packaging performance can be verified by a physical test or by a theoretical calculation based on all material properties and the worst failure modes, according to the admission of the </w:t>
      </w:r>
      <w:proofErr w:type="spellStart"/>
      <w:r w:rsidR="00FD20F3" w:rsidRPr="00E91C51">
        <w:t>packagings</w:t>
      </w:r>
      <w:proofErr w:type="spellEnd"/>
      <w:r w:rsidR="00FD20F3" w:rsidRPr="00E91C51">
        <w:t xml:space="preserve"> which are applicable by the current competent</w:t>
      </w:r>
      <w:r w:rsidR="00FD20F3" w:rsidRPr="007653EC">
        <w:t xml:space="preserve"> authority approvals,</w:t>
      </w:r>
    </w:p>
    <w:p w14:paraId="3A752CB7" w14:textId="4EA22ADE" w:rsidR="00FD20F3" w:rsidRPr="00E91C51" w:rsidRDefault="00E91C51" w:rsidP="00E91C51">
      <w:pPr>
        <w:pStyle w:val="SingleTxtG"/>
        <w:ind w:left="1701"/>
      </w:pPr>
      <w:r>
        <w:rPr>
          <w:lang w:val="fr-CH"/>
        </w:rPr>
        <w:t>(g)</w:t>
      </w:r>
      <w:r>
        <w:rPr>
          <w:lang w:val="fr-CH"/>
        </w:rPr>
        <w:tab/>
        <w:t>T</w:t>
      </w:r>
      <w:r w:rsidR="00FD20F3" w:rsidRPr="00E91C51">
        <w:t>hat the transport document shall include a reference to the used packaging instruction, comparable to the revised Special Provision 310 and to several current competent authority approvals, which also include this requirement,</w:t>
      </w:r>
    </w:p>
    <w:p w14:paraId="3C414A0A" w14:textId="1A89A3AD" w:rsidR="00FD20F3" w:rsidRPr="00E91C51" w:rsidRDefault="00E91C51" w:rsidP="00E91C51">
      <w:pPr>
        <w:pStyle w:val="SingleTxtG"/>
        <w:ind w:left="1701"/>
      </w:pPr>
      <w:r>
        <w:rPr>
          <w:lang w:val="fr-CH"/>
        </w:rPr>
        <w:t>(h)</w:t>
      </w:r>
      <w:r>
        <w:rPr>
          <w:lang w:val="fr-CH"/>
        </w:rPr>
        <w:tab/>
        <w:t>T</w:t>
      </w:r>
      <w:r w:rsidR="00FD20F3" w:rsidRPr="00E91C51">
        <w:t>hat in case of dry ice or liquid nitrogen usage as a coolant, the requirements as specified in section 5.5.3 of the UN Recommendations on the Transport of Dangerous Goods shall apply and the inner packaging and outer packaging shall maintain their integrity at the temperature of the refrigerant used as well as the temperatures and the pressures which could result if refrigeration were lost. These requirements are already known from packing instruction P650 (9) for UN3373 (Biological Substance, Category B).</w:t>
      </w:r>
    </w:p>
    <w:p w14:paraId="468AC3FF" w14:textId="77777777" w:rsidR="00FD20F3" w:rsidRDefault="00FD20F3" w:rsidP="00E91C51">
      <w:pPr>
        <w:pStyle w:val="HChG"/>
      </w:pPr>
      <w:r>
        <w:tab/>
      </w:r>
      <w:r>
        <w:tab/>
      </w:r>
      <w:r w:rsidRPr="00E91C51">
        <w:t>Proposal</w:t>
      </w:r>
    </w:p>
    <w:p w14:paraId="548DDC16" w14:textId="7EF21530" w:rsidR="00FD20F3" w:rsidRDefault="006715A1" w:rsidP="006715A1">
      <w:pPr>
        <w:pStyle w:val="SingleTxtG"/>
      </w:pPr>
      <w:r>
        <w:rPr>
          <w:lang w:val="fr-CH"/>
        </w:rPr>
        <w:t>9.</w:t>
      </w:r>
      <w:r>
        <w:rPr>
          <w:lang w:val="fr-CH"/>
        </w:rPr>
        <w:tab/>
      </w:r>
      <w:r w:rsidR="00FD20F3">
        <w:t xml:space="preserve">Recharge and OICA propose the revision of SP376 and the introduction of the new P9XX and LP9XX for the transport of damaged/defective lithium batteries possibly reactive under normal transport conditions </w:t>
      </w:r>
      <w:r w:rsidR="00FD20F3" w:rsidRPr="003825C9">
        <w:t>(B</w:t>
      </w:r>
      <w:r w:rsidR="00FD20F3">
        <w:t>) without a competent authority approval</w:t>
      </w:r>
      <w:r w:rsidR="00FD20F3" w:rsidRPr="00F57F1B">
        <w:t xml:space="preserve"> </w:t>
      </w:r>
      <w:r w:rsidR="00FD20F3">
        <w:t>as follows  (changes underlined):</w:t>
      </w:r>
    </w:p>
    <w:p w14:paraId="6D107F36" w14:textId="1513FB7F" w:rsidR="00FD20F3" w:rsidRPr="0097067A" w:rsidRDefault="00FD20F3" w:rsidP="006715A1">
      <w:pPr>
        <w:pStyle w:val="SingleTxtG"/>
        <w:ind w:left="1701"/>
        <w:rPr>
          <w:i/>
          <w:szCs w:val="22"/>
          <w:lang w:val="en-US" w:eastAsia="en-GB"/>
        </w:rPr>
      </w:pPr>
      <w:r>
        <w:rPr>
          <w:szCs w:val="22"/>
          <w:lang w:eastAsia="en-GB"/>
        </w:rPr>
        <w:t>“</w:t>
      </w:r>
      <w:r w:rsidRPr="0097067A">
        <w:rPr>
          <w:i/>
          <w:szCs w:val="22"/>
          <w:lang w:val="en-US" w:eastAsia="en-GB"/>
        </w:rPr>
        <w:t xml:space="preserve">Lithium ion cells or batteries and lithium metal cells or batteries identified as </w:t>
      </w:r>
      <w:proofErr w:type="spellStart"/>
      <w:r w:rsidRPr="0097067A">
        <w:rPr>
          <w:i/>
          <w:szCs w:val="22"/>
          <w:lang w:val="en-US" w:eastAsia="en-GB"/>
        </w:rPr>
        <w:t>beingdamaged</w:t>
      </w:r>
      <w:proofErr w:type="spellEnd"/>
      <w:r w:rsidRPr="0097067A">
        <w:rPr>
          <w:i/>
          <w:szCs w:val="22"/>
          <w:lang w:val="en-US" w:eastAsia="en-GB"/>
        </w:rPr>
        <w:t xml:space="preserve"> or defective such that they do not conform to the type tested according to the</w:t>
      </w:r>
      <w:r w:rsidR="006715A1">
        <w:rPr>
          <w:i/>
          <w:szCs w:val="22"/>
          <w:lang w:val="en-US" w:eastAsia="en-GB"/>
        </w:rPr>
        <w:t xml:space="preserve"> </w:t>
      </w:r>
      <w:r w:rsidRPr="0097067A">
        <w:rPr>
          <w:i/>
          <w:szCs w:val="22"/>
          <w:lang w:val="en-US" w:eastAsia="en-GB"/>
        </w:rPr>
        <w:t>applicable provisions of the Manual of Tests and Criteria shall comply with the</w:t>
      </w:r>
      <w:r w:rsidR="006715A1">
        <w:rPr>
          <w:i/>
          <w:szCs w:val="22"/>
          <w:lang w:val="en-US" w:eastAsia="en-GB"/>
        </w:rPr>
        <w:t xml:space="preserve"> </w:t>
      </w:r>
      <w:r w:rsidRPr="0097067A">
        <w:rPr>
          <w:i/>
          <w:szCs w:val="22"/>
          <w:lang w:val="en-US" w:eastAsia="en-GB"/>
        </w:rPr>
        <w:t>requirements of this special provision.</w:t>
      </w:r>
    </w:p>
    <w:p w14:paraId="2CED1F2C" w14:textId="77777777" w:rsidR="00FD20F3" w:rsidRPr="0097067A" w:rsidRDefault="00FD20F3" w:rsidP="006715A1">
      <w:pPr>
        <w:pStyle w:val="SingleTxtG"/>
        <w:ind w:left="1701"/>
        <w:rPr>
          <w:i/>
          <w:szCs w:val="22"/>
          <w:lang w:val="en-US" w:eastAsia="en-GB"/>
        </w:rPr>
      </w:pPr>
      <w:r w:rsidRPr="0097067A">
        <w:rPr>
          <w:i/>
          <w:szCs w:val="22"/>
          <w:lang w:val="en-US" w:eastAsia="en-GB"/>
        </w:rPr>
        <w:t>For the purposes of this special provision, these may include, but are not limited to:</w:t>
      </w:r>
    </w:p>
    <w:p w14:paraId="1FD1ABD6" w14:textId="4B4F2981" w:rsidR="00FD20F3" w:rsidRPr="0097067A" w:rsidRDefault="006715A1" w:rsidP="006715A1">
      <w:pPr>
        <w:pStyle w:val="SingleTxtG"/>
        <w:ind w:left="1701"/>
        <w:rPr>
          <w:i/>
          <w:szCs w:val="22"/>
          <w:lang w:val="en-US" w:eastAsia="en-GB"/>
        </w:rPr>
      </w:pPr>
      <w:r>
        <w:rPr>
          <w:i/>
          <w:szCs w:val="22"/>
          <w:lang w:val="en-US" w:eastAsia="en-GB"/>
        </w:rPr>
        <w:t>–</w:t>
      </w:r>
      <w:r>
        <w:rPr>
          <w:i/>
          <w:szCs w:val="22"/>
          <w:lang w:val="en-US" w:eastAsia="en-GB"/>
        </w:rPr>
        <w:tab/>
      </w:r>
      <w:r w:rsidR="00FD20F3" w:rsidRPr="0097067A">
        <w:rPr>
          <w:i/>
          <w:szCs w:val="22"/>
          <w:lang w:val="en-US" w:eastAsia="en-GB"/>
        </w:rPr>
        <w:t>Cells or batteries identified as being defective for safety reasons;</w:t>
      </w:r>
    </w:p>
    <w:p w14:paraId="49B9E3D8" w14:textId="62A52693" w:rsidR="00FD20F3" w:rsidRPr="0097067A" w:rsidRDefault="006715A1" w:rsidP="006715A1">
      <w:pPr>
        <w:pStyle w:val="SingleTxtG"/>
        <w:ind w:left="1701"/>
        <w:rPr>
          <w:i/>
          <w:szCs w:val="22"/>
          <w:lang w:val="en-US" w:eastAsia="en-GB"/>
        </w:rPr>
      </w:pPr>
      <w:r>
        <w:rPr>
          <w:i/>
          <w:szCs w:val="22"/>
          <w:lang w:val="en-US" w:eastAsia="en-GB"/>
        </w:rPr>
        <w:t>–</w:t>
      </w:r>
      <w:r>
        <w:rPr>
          <w:i/>
          <w:szCs w:val="22"/>
          <w:lang w:val="en-US" w:eastAsia="en-GB"/>
        </w:rPr>
        <w:tab/>
      </w:r>
      <w:r w:rsidR="00FD20F3" w:rsidRPr="0097067A">
        <w:rPr>
          <w:i/>
          <w:szCs w:val="22"/>
          <w:lang w:val="en-US" w:eastAsia="en-GB"/>
        </w:rPr>
        <w:t>Cells or batteries that have leaked or vented;</w:t>
      </w:r>
    </w:p>
    <w:p w14:paraId="7B66AAA9" w14:textId="61F16BE3" w:rsidR="00FD20F3" w:rsidRPr="0097067A" w:rsidRDefault="006715A1" w:rsidP="006715A1">
      <w:pPr>
        <w:pStyle w:val="SingleTxtG"/>
        <w:ind w:left="1701"/>
        <w:rPr>
          <w:i/>
          <w:szCs w:val="22"/>
          <w:lang w:val="en-US" w:eastAsia="en-GB"/>
        </w:rPr>
      </w:pPr>
      <w:r>
        <w:rPr>
          <w:i/>
          <w:szCs w:val="22"/>
          <w:lang w:val="en-US" w:eastAsia="en-GB"/>
        </w:rPr>
        <w:t>–</w:t>
      </w:r>
      <w:r>
        <w:rPr>
          <w:i/>
          <w:szCs w:val="22"/>
          <w:lang w:val="en-US" w:eastAsia="en-GB"/>
        </w:rPr>
        <w:tab/>
      </w:r>
      <w:r w:rsidR="00FD20F3" w:rsidRPr="0097067A">
        <w:rPr>
          <w:i/>
          <w:szCs w:val="22"/>
          <w:lang w:val="en-US" w:eastAsia="en-GB"/>
        </w:rPr>
        <w:t>Cells or batteries that cannot be diagnosed prior to transport; or</w:t>
      </w:r>
    </w:p>
    <w:p w14:paraId="2CAE0364" w14:textId="6B707F09" w:rsidR="00FD20F3" w:rsidRPr="0097067A" w:rsidRDefault="006715A1" w:rsidP="006715A1">
      <w:pPr>
        <w:pStyle w:val="SingleTxtG"/>
        <w:ind w:left="1701"/>
        <w:rPr>
          <w:i/>
          <w:szCs w:val="22"/>
          <w:lang w:val="en-US" w:eastAsia="en-GB"/>
        </w:rPr>
      </w:pPr>
      <w:r>
        <w:rPr>
          <w:i/>
          <w:szCs w:val="22"/>
          <w:lang w:val="en-US" w:eastAsia="en-GB"/>
        </w:rPr>
        <w:t>–</w:t>
      </w:r>
      <w:r>
        <w:rPr>
          <w:i/>
          <w:szCs w:val="22"/>
          <w:lang w:val="en-US" w:eastAsia="en-GB"/>
        </w:rPr>
        <w:tab/>
      </w:r>
      <w:r w:rsidR="00FD20F3" w:rsidRPr="0097067A">
        <w:rPr>
          <w:i/>
          <w:szCs w:val="22"/>
          <w:lang w:val="en-US" w:eastAsia="en-GB"/>
        </w:rPr>
        <w:t>Cells or batteries that have sustained physical or mechanical damage.</w:t>
      </w:r>
    </w:p>
    <w:p w14:paraId="5DC5F392" w14:textId="378E6324" w:rsidR="00FD20F3" w:rsidRPr="00EB6EE7" w:rsidRDefault="00FD20F3" w:rsidP="006715A1">
      <w:pPr>
        <w:pStyle w:val="SingleTxtG"/>
        <w:rPr>
          <w:i/>
          <w:iCs/>
          <w:szCs w:val="22"/>
          <w:lang w:val="en-US" w:eastAsia="en-GB"/>
        </w:rPr>
      </w:pPr>
      <w:r w:rsidRPr="00EB6EE7">
        <w:rPr>
          <w:b/>
          <w:bCs/>
          <w:i/>
          <w:lang w:eastAsia="en-GB"/>
        </w:rPr>
        <w:t xml:space="preserve">NOTE: </w:t>
      </w:r>
      <w:r w:rsidRPr="00EB6EE7">
        <w:rPr>
          <w:i/>
          <w:lang w:eastAsia="en-GB"/>
        </w:rPr>
        <w:t>In assessing a battery as damaged or defective, the type of battery and its</w:t>
      </w:r>
      <w:r w:rsidR="006715A1" w:rsidRPr="00EB6EE7">
        <w:rPr>
          <w:i/>
          <w:lang w:val="fr-CH" w:eastAsia="en-GB"/>
        </w:rPr>
        <w:t xml:space="preserve"> </w:t>
      </w:r>
      <w:r w:rsidRPr="00EB6EE7">
        <w:rPr>
          <w:i/>
          <w:iCs/>
          <w:szCs w:val="22"/>
          <w:lang w:val="en-US" w:eastAsia="en-GB"/>
        </w:rPr>
        <w:t>previous use and misuse shall be taken into account.</w:t>
      </w:r>
    </w:p>
    <w:p w14:paraId="0E1E0E52" w14:textId="77777777" w:rsidR="00FD20F3" w:rsidRPr="00EB6EE7" w:rsidRDefault="00FD20F3" w:rsidP="00FD20F3">
      <w:pPr>
        <w:pStyle w:val="ListParagraph"/>
        <w:suppressAutoHyphens w:val="0"/>
        <w:autoSpaceDE w:val="0"/>
        <w:autoSpaceDN w:val="0"/>
        <w:adjustRightInd w:val="0"/>
        <w:spacing w:line="240" w:lineRule="auto"/>
        <w:ind w:left="1689" w:hanging="555"/>
        <w:rPr>
          <w:i/>
          <w:szCs w:val="22"/>
          <w:lang w:val="en-US" w:eastAsia="en-GB"/>
        </w:rPr>
      </w:pPr>
      <w:r w:rsidRPr="00EB6EE7">
        <w:rPr>
          <w:i/>
          <w:szCs w:val="22"/>
          <w:lang w:val="en-US" w:eastAsia="en-GB"/>
        </w:rPr>
        <w:t>Cells and batteries shall be transported according to the provisions applicable to UN</w:t>
      </w:r>
    </w:p>
    <w:p w14:paraId="604ECD62" w14:textId="3E9FC44C" w:rsidR="00FD20F3" w:rsidRPr="00EB6EE7" w:rsidRDefault="00FD20F3" w:rsidP="006715A1">
      <w:pPr>
        <w:pStyle w:val="SingleTxtG"/>
        <w:rPr>
          <w:i/>
          <w:szCs w:val="22"/>
          <w:lang w:val="en-US" w:eastAsia="en-GB"/>
        </w:rPr>
      </w:pPr>
      <w:r w:rsidRPr="00EB6EE7">
        <w:rPr>
          <w:i/>
          <w:lang w:eastAsia="en-GB"/>
        </w:rPr>
        <w:t>3090, UN 3091, UN 3480 and UN 3481, except Special Provision 230 and as otherwise</w:t>
      </w:r>
      <w:r w:rsidR="006715A1" w:rsidRPr="00EB6EE7">
        <w:rPr>
          <w:i/>
          <w:lang w:val="fr-CH" w:eastAsia="en-GB"/>
        </w:rPr>
        <w:t xml:space="preserve"> </w:t>
      </w:r>
      <w:r w:rsidRPr="00EB6EE7">
        <w:rPr>
          <w:i/>
          <w:szCs w:val="22"/>
          <w:lang w:val="en-US" w:eastAsia="en-GB"/>
        </w:rPr>
        <w:t>stated in this special provision.</w:t>
      </w:r>
    </w:p>
    <w:p w14:paraId="4A2A0EA7" w14:textId="77777777" w:rsidR="00FD20F3" w:rsidRPr="00EB6EE7" w:rsidRDefault="00FD20F3" w:rsidP="00EB6EE7">
      <w:pPr>
        <w:pStyle w:val="SingleTxtG"/>
        <w:rPr>
          <w:i/>
        </w:rPr>
      </w:pPr>
      <w:r w:rsidRPr="00EB6EE7">
        <w:rPr>
          <w:i/>
          <w:lang w:eastAsia="en-GB"/>
        </w:rPr>
        <w:t>Cells and batteries</w:t>
      </w:r>
      <w:r w:rsidRPr="00EB6EE7">
        <w:rPr>
          <w:i/>
          <w:u w:val="single"/>
          <w:lang w:eastAsia="en-GB"/>
        </w:rPr>
        <w:t xml:space="preserve"> </w:t>
      </w:r>
      <w:r w:rsidRPr="00EB6EE7">
        <w:rPr>
          <w:i/>
          <w:lang w:eastAsia="en-GB"/>
        </w:rPr>
        <w:t>shall be packed in accordance with packing instructions P908 of 4.1.4.1 or LP904 of 4.1.4.3, as applicable.</w:t>
      </w:r>
      <w:r w:rsidRPr="00EB6EE7">
        <w:rPr>
          <w:i/>
        </w:rPr>
        <w:t xml:space="preserve"> </w:t>
      </w:r>
    </w:p>
    <w:p w14:paraId="4A8105A4" w14:textId="77777777" w:rsidR="00FD20F3" w:rsidRPr="00EB6EE7" w:rsidRDefault="00FD20F3" w:rsidP="00EB6EE7">
      <w:pPr>
        <w:pStyle w:val="SingleTxtG"/>
        <w:rPr>
          <w:i/>
        </w:rPr>
      </w:pPr>
      <w:r w:rsidRPr="00EB6EE7">
        <w:rPr>
          <w:i/>
          <w:szCs w:val="22"/>
          <w:lang w:eastAsia="en-GB"/>
        </w:rPr>
        <w:t xml:space="preserve">Cells </w:t>
      </w:r>
      <w:r w:rsidRPr="00EB6EE7">
        <w:rPr>
          <w:i/>
          <w:lang w:eastAsia="en-GB"/>
        </w:rPr>
        <w:t xml:space="preserve">and batteries liable to rapidly disassemble, dangerously react, produce a flame or a dangerous evolution of heat or a dangerous emission of toxic, corrosive or flammable gases or vapours under normal conditions of transport </w:t>
      </w:r>
      <w:r w:rsidRPr="00EB6EE7">
        <w:rPr>
          <w:i/>
          <w:u w:val="single"/>
          <w:lang w:eastAsia="en-GB"/>
        </w:rPr>
        <w:t xml:space="preserve">shall be transported </w:t>
      </w:r>
      <w:r w:rsidRPr="00EB6EE7">
        <w:rPr>
          <w:i/>
          <w:szCs w:val="22"/>
          <w:u w:val="single"/>
          <w:lang w:eastAsia="en-GB"/>
        </w:rPr>
        <w:t xml:space="preserve">in accordance with packing instructions P9XX of 4.1.4.1 or LP9XX of 4.1.4.3 or </w:t>
      </w:r>
      <w:r w:rsidRPr="00EB6EE7">
        <w:rPr>
          <w:i/>
          <w:u w:val="single"/>
          <w:lang w:eastAsia="en-GB"/>
        </w:rPr>
        <w:t>under conditions specified by the competent authority, as applicable.</w:t>
      </w:r>
      <w:r w:rsidRPr="00EB6EE7">
        <w:rPr>
          <w:i/>
        </w:rPr>
        <w:t xml:space="preserve"> </w:t>
      </w:r>
    </w:p>
    <w:p w14:paraId="03A1A0DD" w14:textId="01CF3997" w:rsidR="00FD20F3" w:rsidRPr="00EB6EE7" w:rsidRDefault="00FD20F3" w:rsidP="00EB6EE7">
      <w:pPr>
        <w:pStyle w:val="SingleTxtG"/>
        <w:rPr>
          <w:i/>
          <w:u w:val="single"/>
          <w:lang w:eastAsia="en-GB"/>
        </w:rPr>
      </w:pPr>
      <w:r w:rsidRPr="00EB6EE7">
        <w:rPr>
          <w:i/>
          <w:u w:val="single"/>
          <w:lang w:eastAsia="en-GB"/>
        </w:rPr>
        <w:t>Packages shall be marked “DAMAGED/DEFECTIVE LITHIUM ION BATTERIES” OR</w:t>
      </w:r>
      <w:r w:rsidR="00EB6EE7" w:rsidRPr="00EB6EE7">
        <w:rPr>
          <w:i/>
          <w:u w:val="single"/>
          <w:lang w:val="fr-CH" w:eastAsia="en-GB"/>
        </w:rPr>
        <w:t xml:space="preserve"> </w:t>
      </w:r>
      <w:r w:rsidRPr="00EB6EE7">
        <w:rPr>
          <w:i/>
          <w:u w:val="single"/>
          <w:lang w:eastAsia="en-GB"/>
        </w:rPr>
        <w:t>“DAMAGED/DEFECTIVE LITHIUM METAL BATTERIES”, as applicable.</w:t>
      </w:r>
    </w:p>
    <w:p w14:paraId="6AA4E519" w14:textId="05E112B3" w:rsidR="00EB6EE7" w:rsidRDefault="00EB6EE7">
      <w:pPr>
        <w:suppressAutoHyphens w:val="0"/>
        <w:spacing w:line="240" w:lineRule="auto"/>
        <w:rPr>
          <w:i/>
        </w:rPr>
      </w:pPr>
      <w:r>
        <w:rPr>
          <w:i/>
        </w:rPr>
        <w:br w:type="page"/>
      </w: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FD20F3" w:rsidRPr="00EB6EE7" w14:paraId="0FF4F68A" w14:textId="77777777" w:rsidTr="00EB6EE7">
        <w:trPr>
          <w:jc w:val="center"/>
        </w:trPr>
        <w:tc>
          <w:tcPr>
            <w:tcW w:w="8789" w:type="dxa"/>
            <w:shd w:val="clear" w:color="auto" w:fill="auto"/>
          </w:tcPr>
          <w:p w14:paraId="029E5A25" w14:textId="77777777" w:rsidR="00FD20F3" w:rsidRPr="00EB6EE7" w:rsidRDefault="00FD20F3" w:rsidP="00EB6EE7">
            <w:pPr>
              <w:autoSpaceDE w:val="0"/>
              <w:autoSpaceDN w:val="0"/>
              <w:adjustRightInd w:val="0"/>
              <w:spacing w:before="120" w:after="120"/>
              <w:rPr>
                <w:rFonts w:eastAsia="MS Mincho"/>
                <w:b/>
                <w:bCs/>
                <w:i/>
                <w:color w:val="000000" w:themeColor="text1"/>
                <w:sz w:val="18"/>
                <w:szCs w:val="18"/>
                <w:u w:val="single"/>
                <w:lang w:val="en-US" w:eastAsia="ja-JP"/>
              </w:rPr>
            </w:pPr>
            <w:r w:rsidRPr="00EB6EE7">
              <w:rPr>
                <w:rFonts w:eastAsia="MS Mincho"/>
                <w:b/>
                <w:bCs/>
                <w:i/>
                <w:color w:val="000000" w:themeColor="text1"/>
                <w:sz w:val="18"/>
                <w:szCs w:val="18"/>
                <w:u w:val="single"/>
                <w:lang w:val="en-US" w:eastAsia="ja-JP"/>
              </w:rPr>
              <w:lastRenderedPageBreak/>
              <w:t>P9XX</w:t>
            </w:r>
            <w:r w:rsidRPr="00EB6EE7">
              <w:rPr>
                <w:rFonts w:eastAsia="MS Mincho"/>
                <w:bCs/>
                <w:color w:val="000000" w:themeColor="text1"/>
                <w:sz w:val="18"/>
                <w:szCs w:val="18"/>
                <w:lang w:val="en-US" w:eastAsia="ja-JP"/>
              </w:rPr>
              <w:t xml:space="preserve">                                                         </w:t>
            </w:r>
            <w:r w:rsidRPr="00EB6EE7">
              <w:rPr>
                <w:rFonts w:eastAsia="MS Mincho"/>
                <w:b/>
                <w:bCs/>
                <w:i/>
                <w:color w:val="000000" w:themeColor="text1"/>
                <w:sz w:val="18"/>
                <w:szCs w:val="18"/>
                <w:u w:val="single"/>
                <w:lang w:val="en-US" w:eastAsia="ja-JP"/>
              </w:rPr>
              <w:t>PACKING INSTRUCTION</w:t>
            </w:r>
            <w:r w:rsidRPr="00EB6EE7">
              <w:rPr>
                <w:rFonts w:eastAsia="MS Mincho"/>
                <w:bCs/>
                <w:color w:val="000000" w:themeColor="text1"/>
                <w:sz w:val="18"/>
                <w:szCs w:val="18"/>
                <w:lang w:val="en-US" w:eastAsia="ja-JP"/>
              </w:rPr>
              <w:t xml:space="preserve">                                                        </w:t>
            </w:r>
            <w:r w:rsidRPr="00EB6EE7">
              <w:rPr>
                <w:rFonts w:eastAsia="MS Mincho"/>
                <w:b/>
                <w:bCs/>
                <w:i/>
                <w:color w:val="000000" w:themeColor="text1"/>
                <w:sz w:val="18"/>
                <w:szCs w:val="18"/>
                <w:u w:val="single"/>
                <w:lang w:val="en-US" w:eastAsia="ja-JP"/>
              </w:rPr>
              <w:t>P9XX</w:t>
            </w:r>
          </w:p>
        </w:tc>
      </w:tr>
      <w:tr w:rsidR="00FD20F3" w:rsidRPr="00EB6EE7" w14:paraId="57F95130" w14:textId="77777777" w:rsidTr="00EB6EE7">
        <w:trPr>
          <w:jc w:val="center"/>
        </w:trPr>
        <w:tc>
          <w:tcPr>
            <w:tcW w:w="8789" w:type="dxa"/>
            <w:shd w:val="clear" w:color="auto" w:fill="auto"/>
          </w:tcPr>
          <w:p w14:paraId="43A2CF59" w14:textId="77777777" w:rsidR="00FD20F3" w:rsidRPr="00EB6EE7" w:rsidRDefault="00FD20F3" w:rsidP="00EB6EE7">
            <w:pPr>
              <w:autoSpaceDE w:val="0"/>
              <w:autoSpaceDN w:val="0"/>
              <w:adjustRightInd w:val="0"/>
              <w:rPr>
                <w:rFonts w:eastAsia="MS Mincho"/>
                <w:i/>
                <w:sz w:val="18"/>
                <w:szCs w:val="18"/>
                <w:u w:val="single"/>
                <w:lang w:eastAsia="ja-JP"/>
              </w:rPr>
            </w:pPr>
            <w:r w:rsidRPr="00EB6EE7">
              <w:rPr>
                <w:i/>
                <w:sz w:val="18"/>
                <w:szCs w:val="18"/>
                <w:u w:val="single"/>
                <w:lang w:val="en-US" w:eastAsia="de-DE"/>
              </w:rPr>
              <w:t>This instruction applies to damaged or defective lithium ion cells and batteries and damaged or defective lithium metal cells and batteries, including those contained in equipment, of UN Nos. 3090, 3091, 3480 and 3481.</w:t>
            </w:r>
          </w:p>
        </w:tc>
      </w:tr>
      <w:tr w:rsidR="00FD20F3" w:rsidRPr="00EB6EE7" w14:paraId="44D7DA8F" w14:textId="77777777" w:rsidTr="00EB6EE7">
        <w:trPr>
          <w:jc w:val="center"/>
        </w:trPr>
        <w:tc>
          <w:tcPr>
            <w:tcW w:w="8789" w:type="dxa"/>
            <w:shd w:val="clear" w:color="auto" w:fill="auto"/>
          </w:tcPr>
          <w:p w14:paraId="12AC7FB3" w14:textId="77777777" w:rsidR="00FD20F3" w:rsidRPr="00EB6EE7" w:rsidRDefault="00FD20F3" w:rsidP="00FD20F3">
            <w:pPr>
              <w:pStyle w:val="ListParagraph"/>
              <w:numPr>
                <w:ilvl w:val="0"/>
                <w:numId w:val="34"/>
              </w:numPr>
              <w:tabs>
                <w:tab w:val="left" w:pos="8590"/>
              </w:tabs>
              <w:autoSpaceDE w:val="0"/>
              <w:autoSpaceDN w:val="0"/>
              <w:adjustRightInd w:val="0"/>
              <w:spacing w:after="120"/>
              <w:ind w:left="369" w:right="114" w:hanging="369"/>
              <w:contextualSpacing w:val="0"/>
              <w:rPr>
                <w:i/>
                <w:sz w:val="18"/>
                <w:szCs w:val="18"/>
                <w:u w:val="single"/>
                <w:lang w:val="en-US"/>
              </w:rPr>
            </w:pPr>
            <w:r w:rsidRPr="00EB6EE7">
              <w:rPr>
                <w:bCs/>
                <w:i/>
                <w:sz w:val="18"/>
                <w:szCs w:val="18"/>
                <w:u w:val="single"/>
                <w:lang w:val="en-US"/>
              </w:rPr>
              <w:t>The packaging shall conform to the packaging group I performance level and</w:t>
            </w:r>
            <w:r w:rsidRPr="00EB6EE7">
              <w:rPr>
                <w:i/>
                <w:sz w:val="18"/>
                <w:szCs w:val="18"/>
                <w:u w:val="single"/>
                <w:lang w:val="en-US"/>
              </w:rPr>
              <w:t xml:space="preserve"> meet the following criteria:  </w:t>
            </w:r>
          </w:p>
          <w:p w14:paraId="7EABA0A8" w14:textId="77777777" w:rsidR="00FD20F3" w:rsidRPr="00EB6EE7" w:rsidRDefault="00FD20F3" w:rsidP="00FD20F3">
            <w:pPr>
              <w:pStyle w:val="ListParagraph"/>
              <w:numPr>
                <w:ilvl w:val="0"/>
                <w:numId w:val="36"/>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 xml:space="preserve">The outside surface temperature of the completed package shall not have a temperature of more than 100°C. A momentary spike in temperature up to 200°C is acceptable, </w:t>
            </w:r>
          </w:p>
          <w:p w14:paraId="193F5ACC" w14:textId="77777777" w:rsidR="00FD20F3" w:rsidRPr="00EB6EE7" w:rsidRDefault="00FD20F3" w:rsidP="00FD20F3">
            <w:pPr>
              <w:pStyle w:val="ListParagraph"/>
              <w:numPr>
                <w:ilvl w:val="0"/>
                <w:numId w:val="36"/>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No hazardous flame outside,</w:t>
            </w:r>
          </w:p>
          <w:p w14:paraId="2E8B1110" w14:textId="77777777" w:rsidR="00FD20F3" w:rsidRPr="00EB6EE7" w:rsidRDefault="00FD20F3" w:rsidP="00FD20F3">
            <w:pPr>
              <w:pStyle w:val="ListParagraph"/>
              <w:numPr>
                <w:ilvl w:val="0"/>
                <w:numId w:val="36"/>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No hazardous ejection fragments,</w:t>
            </w:r>
          </w:p>
          <w:p w14:paraId="281A5B32" w14:textId="77777777" w:rsidR="00FD20F3" w:rsidRPr="00EB6EE7" w:rsidRDefault="00FD20F3" w:rsidP="00FD20F3">
            <w:pPr>
              <w:pStyle w:val="ListParagraph"/>
              <w:numPr>
                <w:ilvl w:val="0"/>
                <w:numId w:val="36"/>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No damage of the packaging,</w:t>
            </w:r>
          </w:p>
          <w:p w14:paraId="1629527A" w14:textId="77777777" w:rsidR="00FD20F3" w:rsidRPr="00EB6EE7" w:rsidRDefault="00FD20F3" w:rsidP="00FD20F3">
            <w:pPr>
              <w:pStyle w:val="ListParagraph"/>
              <w:numPr>
                <w:ilvl w:val="0"/>
                <w:numId w:val="36"/>
              </w:numPr>
              <w:tabs>
                <w:tab w:val="left" w:pos="8590"/>
              </w:tabs>
              <w:autoSpaceDE w:val="0"/>
              <w:autoSpaceDN w:val="0"/>
              <w:adjustRightInd w:val="0"/>
              <w:spacing w:after="240"/>
              <w:ind w:left="653" w:right="114" w:hanging="284"/>
              <w:contextualSpacing w:val="0"/>
              <w:rPr>
                <w:i/>
                <w:sz w:val="18"/>
                <w:szCs w:val="18"/>
                <w:u w:val="single"/>
                <w:lang w:val="en-US"/>
              </w:rPr>
            </w:pPr>
            <w:r w:rsidRPr="00EB6EE7">
              <w:rPr>
                <w:i/>
                <w:sz w:val="18"/>
                <w:szCs w:val="18"/>
                <w:u w:val="single"/>
                <w:lang w:val="en-US"/>
              </w:rPr>
              <w:t>Gas management (e.g. filter system, air circulation, containment for gas  etc.), and</w:t>
            </w:r>
          </w:p>
          <w:p w14:paraId="4A4DC678" w14:textId="77777777" w:rsidR="00FD20F3" w:rsidRPr="00EB6EE7" w:rsidRDefault="00FD20F3" w:rsidP="00FD20F3">
            <w:pPr>
              <w:pStyle w:val="ListParagraph"/>
              <w:numPr>
                <w:ilvl w:val="0"/>
                <w:numId w:val="34"/>
              </w:numPr>
              <w:tabs>
                <w:tab w:val="left" w:pos="8590"/>
              </w:tabs>
              <w:autoSpaceDE w:val="0"/>
              <w:autoSpaceDN w:val="0"/>
              <w:adjustRightInd w:val="0"/>
              <w:spacing w:after="120" w:line="240" w:lineRule="auto"/>
              <w:ind w:left="369" w:right="114" w:hanging="369"/>
              <w:contextualSpacing w:val="0"/>
              <w:rPr>
                <w:i/>
                <w:sz w:val="18"/>
                <w:szCs w:val="18"/>
                <w:u w:val="single"/>
                <w:lang w:val="en-US"/>
              </w:rPr>
            </w:pPr>
            <w:r w:rsidRPr="00EB6EE7">
              <w:rPr>
                <w:i/>
                <w:sz w:val="18"/>
                <w:szCs w:val="18"/>
                <w:u w:val="single"/>
                <w:lang w:val="en-US"/>
              </w:rPr>
              <w:t>The quality of the packaging is verified by one of the following methods:</w:t>
            </w:r>
          </w:p>
          <w:p w14:paraId="24C3D39F" w14:textId="77777777" w:rsidR="00FD20F3" w:rsidRPr="00EB6EE7" w:rsidRDefault="00FD20F3" w:rsidP="00FD20F3">
            <w:pPr>
              <w:pStyle w:val="ListParagraph"/>
              <w:numPr>
                <w:ilvl w:val="0"/>
                <w:numId w:val="35"/>
              </w:numPr>
              <w:tabs>
                <w:tab w:val="left" w:pos="8590"/>
              </w:tabs>
              <w:autoSpaceDE w:val="0"/>
              <w:autoSpaceDN w:val="0"/>
              <w:adjustRightInd w:val="0"/>
              <w:spacing w:after="240"/>
              <w:ind w:left="652" w:right="114" w:hanging="283"/>
              <w:rPr>
                <w:i/>
                <w:sz w:val="18"/>
                <w:szCs w:val="18"/>
                <w:u w:val="single"/>
                <w:lang w:val="en-US"/>
              </w:rPr>
            </w:pPr>
            <w:r w:rsidRPr="00EB6EE7">
              <w:rPr>
                <w:bCs/>
                <w:i/>
                <w:sz w:val="18"/>
                <w:szCs w:val="18"/>
                <w:u w:val="single"/>
                <w:lang w:val="en-US"/>
              </w:rPr>
              <w:t>The packaging performance shall be demonstrated</w:t>
            </w:r>
            <w:r w:rsidRPr="00EB6EE7">
              <w:rPr>
                <w:b/>
                <w:bCs/>
                <w:i/>
                <w:sz w:val="18"/>
                <w:szCs w:val="18"/>
                <w:u w:val="single"/>
                <w:lang w:val="en-US"/>
              </w:rPr>
              <w:t xml:space="preserve"> </w:t>
            </w:r>
            <w:r w:rsidRPr="00EB6EE7">
              <w:rPr>
                <w:i/>
                <w:sz w:val="18"/>
                <w:szCs w:val="18"/>
                <w:u w:val="single"/>
                <w:lang w:val="en-US"/>
              </w:rPr>
              <w:t xml:space="preserve">by a test or by a calculation corresponding to the </w:t>
            </w:r>
            <w:r w:rsidRPr="00EB6EE7">
              <w:rPr>
                <w:bCs/>
                <w:i/>
                <w:sz w:val="18"/>
                <w:szCs w:val="18"/>
                <w:u w:val="single"/>
                <w:lang w:val="en-US"/>
              </w:rPr>
              <w:t xml:space="preserve">maximum mass and energy of the </w:t>
            </w:r>
            <w:r w:rsidRPr="00EB6EE7">
              <w:rPr>
                <w:i/>
                <w:sz w:val="18"/>
                <w:szCs w:val="18"/>
                <w:u w:val="single"/>
                <w:lang w:val="en-US"/>
              </w:rPr>
              <w:t xml:space="preserve">cell/battery type as defined in the UN Manual of Tests and Criteria paragraph 38.3.2.2 </w:t>
            </w:r>
            <w:r w:rsidRPr="00EB6EE7">
              <w:rPr>
                <w:bCs/>
                <w:i/>
                <w:sz w:val="18"/>
                <w:szCs w:val="18"/>
                <w:u w:val="single"/>
                <w:lang w:val="en-US"/>
              </w:rPr>
              <w:t>in the condition of transport</w:t>
            </w:r>
            <w:r w:rsidRPr="00EB6EE7">
              <w:rPr>
                <w:i/>
                <w:sz w:val="18"/>
                <w:szCs w:val="18"/>
                <w:u w:val="single"/>
                <w:lang w:val="en-US"/>
              </w:rPr>
              <w:t>,</w:t>
            </w:r>
          </w:p>
          <w:p w14:paraId="079A2F11" w14:textId="77777777" w:rsidR="00FD20F3" w:rsidRPr="00EB6EE7" w:rsidRDefault="00FD20F3" w:rsidP="00FD20F3">
            <w:pPr>
              <w:pStyle w:val="ListParagraph"/>
              <w:numPr>
                <w:ilvl w:val="0"/>
                <w:numId w:val="35"/>
              </w:numPr>
              <w:tabs>
                <w:tab w:val="left" w:pos="8590"/>
              </w:tabs>
              <w:autoSpaceDE w:val="0"/>
              <w:autoSpaceDN w:val="0"/>
              <w:adjustRightInd w:val="0"/>
              <w:spacing w:after="240"/>
              <w:ind w:left="653" w:right="114" w:hanging="284"/>
              <w:contextualSpacing w:val="0"/>
              <w:rPr>
                <w:i/>
                <w:sz w:val="18"/>
                <w:szCs w:val="18"/>
                <w:u w:val="single"/>
                <w:lang w:val="en-US"/>
              </w:rPr>
            </w:pPr>
            <w:r w:rsidRPr="00EB6EE7">
              <w:rPr>
                <w:i/>
                <w:sz w:val="18"/>
                <w:szCs w:val="18"/>
                <w:u w:val="single"/>
                <w:lang w:val="en-US"/>
              </w:rPr>
              <w:t xml:space="preserve">The calculation has to run on a </w:t>
            </w:r>
            <w:r w:rsidRPr="00EB6EE7">
              <w:rPr>
                <w:bCs/>
                <w:i/>
                <w:sz w:val="18"/>
                <w:szCs w:val="18"/>
                <w:u w:val="single"/>
                <w:lang w:val="en-US"/>
              </w:rPr>
              <w:t>verified model</w:t>
            </w:r>
            <w:r w:rsidRPr="00EB6EE7">
              <w:rPr>
                <w:i/>
                <w:sz w:val="18"/>
                <w:szCs w:val="18"/>
                <w:u w:val="single"/>
                <w:lang w:val="en-US"/>
              </w:rPr>
              <w:t>. The test and calculation should be done under a quality management system (as described e.g.in section 2.9.4 (e)).</w:t>
            </w:r>
          </w:p>
          <w:p w14:paraId="410C4A69" w14:textId="77777777" w:rsidR="00FD20F3" w:rsidRPr="00EB6EE7" w:rsidRDefault="00FD20F3" w:rsidP="00FD20F3">
            <w:pPr>
              <w:pStyle w:val="ListParagraph"/>
              <w:numPr>
                <w:ilvl w:val="0"/>
                <w:numId w:val="34"/>
              </w:numPr>
              <w:tabs>
                <w:tab w:val="left" w:pos="8590"/>
              </w:tabs>
              <w:autoSpaceDE w:val="0"/>
              <w:autoSpaceDN w:val="0"/>
              <w:adjustRightInd w:val="0"/>
              <w:spacing w:after="120"/>
              <w:ind w:left="369" w:right="114" w:hanging="369"/>
              <w:contextualSpacing w:val="0"/>
              <w:rPr>
                <w:i/>
                <w:sz w:val="18"/>
                <w:szCs w:val="18"/>
                <w:u w:val="single"/>
                <w:lang w:val="en-US"/>
              </w:rPr>
            </w:pPr>
            <w:r w:rsidRPr="00EB6EE7">
              <w:rPr>
                <w:i/>
                <w:sz w:val="18"/>
                <w:szCs w:val="18"/>
                <w:u w:val="single"/>
                <w:lang w:val="en-US"/>
              </w:rPr>
              <w:t xml:space="preserve">The test/verification report/result shall be available on request. As a minimum requirement, the cell and battery name, the cell and battery number, the weight, type, energy content of the cells and batteries and the packaging identification shall be listed, </w:t>
            </w:r>
          </w:p>
          <w:p w14:paraId="0F8F7092" w14:textId="77777777" w:rsidR="00FD20F3" w:rsidRPr="00EB6EE7" w:rsidRDefault="00FD20F3" w:rsidP="00FD20F3">
            <w:pPr>
              <w:pStyle w:val="ListParagraph"/>
              <w:numPr>
                <w:ilvl w:val="0"/>
                <w:numId w:val="34"/>
              </w:numPr>
              <w:tabs>
                <w:tab w:val="left" w:pos="8590"/>
              </w:tabs>
              <w:suppressAutoHyphens w:val="0"/>
              <w:autoSpaceDE w:val="0"/>
              <w:autoSpaceDN w:val="0"/>
              <w:adjustRightInd w:val="0"/>
              <w:spacing w:after="120" w:line="240" w:lineRule="auto"/>
              <w:ind w:left="369" w:right="114" w:hanging="369"/>
              <w:contextualSpacing w:val="0"/>
              <w:rPr>
                <w:i/>
                <w:sz w:val="18"/>
                <w:szCs w:val="18"/>
                <w:u w:val="single"/>
                <w:lang w:val="en-US"/>
              </w:rPr>
            </w:pPr>
            <w:r w:rsidRPr="00EB6EE7">
              <w:rPr>
                <w:i/>
                <w:iCs/>
                <w:color w:val="141A18"/>
                <w:sz w:val="18"/>
                <w:szCs w:val="18"/>
                <w:u w:val="single"/>
                <w:lang w:val="en-US" w:eastAsia="en-GB"/>
              </w:rPr>
              <w:t>The transport document according to chapter 5. 4 shall include the following statement: “Transport in accordance with P9XX”.</w:t>
            </w:r>
            <w:r w:rsidRPr="00EB6EE7">
              <w:rPr>
                <w:i/>
                <w:sz w:val="18"/>
                <w:szCs w:val="18"/>
                <w:u w:val="single"/>
                <w:lang w:val="en-US"/>
              </w:rPr>
              <w:t xml:space="preserve"> </w:t>
            </w:r>
          </w:p>
          <w:p w14:paraId="0CDE3D07" w14:textId="77777777" w:rsidR="00FD20F3" w:rsidRPr="00EB6EE7" w:rsidRDefault="00FD20F3" w:rsidP="00FD20F3">
            <w:pPr>
              <w:pStyle w:val="ListParagraph"/>
              <w:numPr>
                <w:ilvl w:val="0"/>
                <w:numId w:val="34"/>
              </w:numPr>
              <w:tabs>
                <w:tab w:val="left" w:pos="8590"/>
              </w:tabs>
              <w:suppressAutoHyphens w:val="0"/>
              <w:autoSpaceDE w:val="0"/>
              <w:autoSpaceDN w:val="0"/>
              <w:adjustRightInd w:val="0"/>
              <w:spacing w:line="240" w:lineRule="auto"/>
              <w:ind w:left="369" w:right="113" w:hanging="369"/>
              <w:contextualSpacing w:val="0"/>
              <w:rPr>
                <w:i/>
                <w:sz w:val="18"/>
                <w:szCs w:val="18"/>
                <w:u w:val="single"/>
                <w:lang w:val="en-US"/>
              </w:rPr>
            </w:pPr>
            <w:r w:rsidRPr="00EB6EE7">
              <w:rPr>
                <w:i/>
                <w:sz w:val="18"/>
                <w:szCs w:val="18"/>
                <w:u w:val="single"/>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EB6EE7">
              <w:rPr>
                <w:i/>
                <w:iCs/>
                <w:color w:val="141A18"/>
                <w:sz w:val="18"/>
                <w:szCs w:val="18"/>
                <w:u w:val="single"/>
                <w:lang w:val="en-US" w:eastAsia="en-GB"/>
              </w:rPr>
              <w:t>.</w:t>
            </w:r>
          </w:p>
        </w:tc>
      </w:tr>
      <w:tr w:rsidR="00FD20F3" w:rsidRPr="00EB6EE7" w14:paraId="6BA382B3" w14:textId="77777777" w:rsidTr="00EB6EE7">
        <w:trPr>
          <w:jc w:val="center"/>
        </w:trPr>
        <w:tc>
          <w:tcPr>
            <w:tcW w:w="8789" w:type="dxa"/>
            <w:shd w:val="clear" w:color="auto" w:fill="auto"/>
          </w:tcPr>
          <w:p w14:paraId="27E86F73" w14:textId="77777777" w:rsidR="00FD20F3" w:rsidRPr="00EB6EE7" w:rsidRDefault="00FD20F3" w:rsidP="00494AA8">
            <w:pPr>
              <w:autoSpaceDE w:val="0"/>
              <w:autoSpaceDN w:val="0"/>
              <w:adjustRightInd w:val="0"/>
              <w:rPr>
                <w:rFonts w:eastAsia="MS Mincho"/>
                <w:b/>
                <w:bCs/>
                <w:i/>
                <w:sz w:val="18"/>
                <w:szCs w:val="18"/>
                <w:u w:val="single"/>
                <w:lang w:eastAsia="ja-JP"/>
              </w:rPr>
            </w:pPr>
            <w:r w:rsidRPr="00EB6EE7">
              <w:rPr>
                <w:rFonts w:eastAsia="MS Mincho"/>
                <w:b/>
                <w:bCs/>
                <w:i/>
                <w:sz w:val="18"/>
                <w:szCs w:val="18"/>
                <w:u w:val="single"/>
                <w:lang w:eastAsia="ja-JP"/>
              </w:rPr>
              <w:t>Additional requirements:</w:t>
            </w:r>
          </w:p>
          <w:p w14:paraId="1B085DE7" w14:textId="77777777" w:rsidR="00FD20F3" w:rsidRPr="00EB6EE7" w:rsidRDefault="00FD20F3" w:rsidP="00494AA8">
            <w:pPr>
              <w:autoSpaceDE w:val="0"/>
              <w:autoSpaceDN w:val="0"/>
              <w:adjustRightInd w:val="0"/>
              <w:rPr>
                <w:rFonts w:eastAsia="MS Mincho"/>
                <w:i/>
                <w:sz w:val="18"/>
                <w:szCs w:val="18"/>
                <w:u w:val="single"/>
                <w:lang w:eastAsia="ja-JP"/>
              </w:rPr>
            </w:pPr>
            <w:r w:rsidRPr="00EB6EE7">
              <w:rPr>
                <w:rFonts w:eastAsia="MS Mincho"/>
                <w:i/>
                <w:sz w:val="18"/>
                <w:szCs w:val="18"/>
                <w:u w:val="single"/>
                <w:lang w:eastAsia="ja-JP"/>
              </w:rPr>
              <w:t>Batteries shall be protected against short circuit.</w:t>
            </w:r>
          </w:p>
          <w:p w14:paraId="2B073991" w14:textId="77777777" w:rsidR="00FD20F3" w:rsidRPr="00EB6EE7" w:rsidRDefault="00FD20F3" w:rsidP="00494AA8">
            <w:pPr>
              <w:autoSpaceDE w:val="0"/>
              <w:autoSpaceDN w:val="0"/>
              <w:adjustRightInd w:val="0"/>
              <w:rPr>
                <w:rFonts w:eastAsia="MS Mincho"/>
                <w:sz w:val="18"/>
                <w:szCs w:val="18"/>
                <w:lang w:val="en-US" w:eastAsia="ja-JP"/>
              </w:rPr>
            </w:pPr>
          </w:p>
          <w:p w14:paraId="4F383090" w14:textId="77777777" w:rsidR="00FD20F3" w:rsidRPr="00EB6EE7" w:rsidRDefault="00FD20F3" w:rsidP="00494AA8">
            <w:pPr>
              <w:autoSpaceDE w:val="0"/>
              <w:autoSpaceDN w:val="0"/>
              <w:adjustRightInd w:val="0"/>
              <w:rPr>
                <w:i/>
                <w:sz w:val="18"/>
                <w:szCs w:val="18"/>
                <w:u w:val="single"/>
                <w:lang w:val="en-US" w:eastAsia="de-DE"/>
              </w:rPr>
            </w:pPr>
            <w:r w:rsidRPr="00EB6EE7">
              <w:rPr>
                <w:i/>
                <w:sz w:val="18"/>
                <w:szCs w:val="18"/>
                <w:u w:val="single"/>
                <w:lang w:val="en-US" w:eastAsia="de-DE"/>
              </w:rPr>
              <w:t>Protection against short circuits includes, but is not limited to:</w:t>
            </w:r>
          </w:p>
          <w:p w14:paraId="39ABE9B1"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individual protection of the battery terminals,</w:t>
            </w:r>
          </w:p>
          <w:p w14:paraId="1330FBED"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inner packaging to prevent contact between cells and batteries,</w:t>
            </w:r>
          </w:p>
          <w:p w14:paraId="593D77A8"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batteries with recessed terminals designed to protect against short circuits, or</w:t>
            </w:r>
          </w:p>
          <w:p w14:paraId="26244997"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the use of a non-conductive and non-combustible cushioning material to fill empty space between the</w:t>
            </w:r>
          </w:p>
          <w:p w14:paraId="5927EC5D" w14:textId="77777777" w:rsidR="00FD20F3" w:rsidRPr="00EB6EE7" w:rsidRDefault="00FD20F3" w:rsidP="00494AA8">
            <w:pPr>
              <w:pStyle w:val="ListParagraph"/>
              <w:autoSpaceDE w:val="0"/>
              <w:autoSpaceDN w:val="0"/>
              <w:adjustRightInd w:val="0"/>
              <w:ind w:left="227"/>
              <w:rPr>
                <w:sz w:val="18"/>
                <w:szCs w:val="18"/>
                <w:lang w:val="en-US"/>
              </w:rPr>
            </w:pPr>
            <w:proofErr w:type="gramStart"/>
            <w:r w:rsidRPr="00EB6EE7">
              <w:rPr>
                <w:i/>
                <w:sz w:val="18"/>
                <w:szCs w:val="18"/>
                <w:u w:val="single"/>
                <w:lang w:val="en-US" w:eastAsia="de-DE"/>
              </w:rPr>
              <w:t>cells</w:t>
            </w:r>
            <w:proofErr w:type="gramEnd"/>
            <w:r w:rsidRPr="00EB6EE7">
              <w:rPr>
                <w:i/>
                <w:sz w:val="18"/>
                <w:szCs w:val="18"/>
                <w:u w:val="single"/>
                <w:lang w:val="en-US" w:eastAsia="de-DE"/>
              </w:rPr>
              <w:t xml:space="preserve"> or batteries in the packaging.</w:t>
            </w:r>
          </w:p>
        </w:tc>
      </w:tr>
    </w:tbl>
    <w:p w14:paraId="7ADA01D6" w14:textId="77777777" w:rsidR="00FD20F3" w:rsidRDefault="00FD20F3" w:rsidP="00FD20F3">
      <w:pPr>
        <w:suppressAutoHyphens w:val="0"/>
        <w:spacing w:after="240" w:line="276" w:lineRule="auto"/>
        <w:rPr>
          <w:b/>
          <w:sz w:val="28"/>
          <w:lang w:val="en-US"/>
        </w:rPr>
      </w:pPr>
    </w:p>
    <w:p w14:paraId="188575D7" w14:textId="77777777" w:rsidR="00FD20F3" w:rsidRDefault="00FD20F3" w:rsidP="00FD20F3">
      <w:pPr>
        <w:suppressAutoHyphens w:val="0"/>
        <w:spacing w:after="240" w:line="276" w:lineRule="auto"/>
        <w:rPr>
          <w:b/>
          <w:sz w:val="28"/>
          <w:lang w:val="en-US"/>
        </w:rPr>
      </w:pPr>
    </w:p>
    <w:p w14:paraId="53067FC3" w14:textId="32D1682A" w:rsidR="00EB6EE7" w:rsidRDefault="00EB6EE7">
      <w:pPr>
        <w:suppressAutoHyphens w:val="0"/>
        <w:spacing w:line="240" w:lineRule="auto"/>
        <w:rPr>
          <w:b/>
          <w:sz w:val="28"/>
          <w:lang w:val="en-US"/>
        </w:rPr>
      </w:pPr>
      <w:r>
        <w:rPr>
          <w:b/>
          <w:sz w:val="28"/>
          <w:lang w:val="en-US"/>
        </w:rPr>
        <w:br w:type="page"/>
      </w: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FD20F3" w:rsidRPr="00EB6EE7" w14:paraId="769EB2DE" w14:textId="77777777" w:rsidTr="00EB6EE7">
        <w:trPr>
          <w:jc w:val="center"/>
        </w:trPr>
        <w:tc>
          <w:tcPr>
            <w:tcW w:w="8789" w:type="dxa"/>
            <w:shd w:val="clear" w:color="auto" w:fill="auto"/>
          </w:tcPr>
          <w:p w14:paraId="3B6040B2" w14:textId="77777777" w:rsidR="00FD20F3" w:rsidRPr="00EB6EE7" w:rsidRDefault="00FD20F3" w:rsidP="00EB6EE7">
            <w:pPr>
              <w:autoSpaceDE w:val="0"/>
              <w:autoSpaceDN w:val="0"/>
              <w:adjustRightInd w:val="0"/>
              <w:spacing w:before="120" w:after="120"/>
              <w:rPr>
                <w:rFonts w:eastAsia="MS Mincho"/>
                <w:b/>
                <w:bCs/>
                <w:i/>
                <w:color w:val="000000" w:themeColor="text1"/>
                <w:sz w:val="18"/>
                <w:szCs w:val="18"/>
                <w:u w:val="single"/>
                <w:lang w:val="en-US" w:eastAsia="ja-JP"/>
              </w:rPr>
            </w:pPr>
            <w:r w:rsidRPr="00EB6EE7">
              <w:rPr>
                <w:rFonts w:eastAsia="MS Mincho"/>
                <w:b/>
                <w:bCs/>
                <w:i/>
                <w:color w:val="000000" w:themeColor="text1"/>
                <w:sz w:val="18"/>
                <w:szCs w:val="18"/>
                <w:u w:val="single"/>
                <w:lang w:val="en-US" w:eastAsia="ja-JP"/>
              </w:rPr>
              <w:lastRenderedPageBreak/>
              <w:t>LP9XX</w:t>
            </w:r>
            <w:r w:rsidRPr="00EB6EE7">
              <w:rPr>
                <w:rFonts w:eastAsia="MS Mincho"/>
                <w:bCs/>
                <w:color w:val="000000" w:themeColor="text1"/>
                <w:sz w:val="18"/>
                <w:szCs w:val="18"/>
                <w:lang w:val="en-US" w:eastAsia="ja-JP"/>
              </w:rPr>
              <w:t xml:space="preserve">                                                         </w:t>
            </w:r>
            <w:r w:rsidRPr="00EB6EE7">
              <w:rPr>
                <w:rFonts w:eastAsia="MS Mincho"/>
                <w:b/>
                <w:bCs/>
                <w:i/>
                <w:color w:val="000000" w:themeColor="text1"/>
                <w:sz w:val="18"/>
                <w:szCs w:val="18"/>
                <w:u w:val="single"/>
                <w:lang w:val="en-US" w:eastAsia="ja-JP"/>
              </w:rPr>
              <w:t>PACKING INSTRUCTION</w:t>
            </w:r>
            <w:r w:rsidRPr="00EB6EE7">
              <w:rPr>
                <w:rFonts w:eastAsia="MS Mincho"/>
                <w:bCs/>
                <w:color w:val="000000" w:themeColor="text1"/>
                <w:sz w:val="18"/>
                <w:szCs w:val="18"/>
                <w:lang w:val="en-US" w:eastAsia="ja-JP"/>
              </w:rPr>
              <w:t xml:space="preserve">                                                      </w:t>
            </w:r>
            <w:r w:rsidRPr="00EB6EE7">
              <w:rPr>
                <w:rFonts w:eastAsia="MS Mincho"/>
                <w:b/>
                <w:bCs/>
                <w:i/>
                <w:color w:val="000000" w:themeColor="text1"/>
                <w:sz w:val="18"/>
                <w:szCs w:val="18"/>
                <w:u w:val="single"/>
                <w:lang w:val="en-US" w:eastAsia="ja-JP"/>
              </w:rPr>
              <w:t>LP9XX</w:t>
            </w:r>
          </w:p>
        </w:tc>
      </w:tr>
      <w:tr w:rsidR="00FD20F3" w:rsidRPr="00EB6EE7" w14:paraId="743A45CD" w14:textId="77777777" w:rsidTr="00EB6EE7">
        <w:trPr>
          <w:jc w:val="center"/>
        </w:trPr>
        <w:tc>
          <w:tcPr>
            <w:tcW w:w="8789" w:type="dxa"/>
            <w:shd w:val="clear" w:color="auto" w:fill="auto"/>
          </w:tcPr>
          <w:p w14:paraId="4140F66B" w14:textId="77777777" w:rsidR="00FD20F3" w:rsidRPr="00EB6EE7" w:rsidRDefault="00FD20F3" w:rsidP="00494AA8">
            <w:pPr>
              <w:autoSpaceDE w:val="0"/>
              <w:autoSpaceDN w:val="0"/>
              <w:adjustRightInd w:val="0"/>
              <w:rPr>
                <w:rFonts w:eastAsia="MS Mincho"/>
                <w:i/>
                <w:sz w:val="18"/>
                <w:szCs w:val="18"/>
                <w:u w:val="single"/>
                <w:lang w:eastAsia="ja-JP"/>
              </w:rPr>
            </w:pPr>
            <w:r w:rsidRPr="00EB6EE7">
              <w:rPr>
                <w:i/>
                <w:sz w:val="18"/>
                <w:szCs w:val="18"/>
                <w:u w:val="single"/>
                <w:lang w:val="en-US" w:eastAsia="de-DE"/>
              </w:rPr>
              <w:t>This instruction applies to damaged or defective lithium ion cells and batteries and damaged or defective lithium metal cells and batteries, including those contained in equipment, of UN Nos. 3090, 3091, 3480 and 3481.</w:t>
            </w:r>
          </w:p>
        </w:tc>
      </w:tr>
      <w:tr w:rsidR="00FD20F3" w:rsidRPr="00EB6EE7" w14:paraId="4837D152" w14:textId="77777777" w:rsidTr="00EB6EE7">
        <w:trPr>
          <w:jc w:val="center"/>
        </w:trPr>
        <w:tc>
          <w:tcPr>
            <w:tcW w:w="8789" w:type="dxa"/>
            <w:shd w:val="clear" w:color="auto" w:fill="auto"/>
          </w:tcPr>
          <w:p w14:paraId="7A94CEFE" w14:textId="77777777" w:rsidR="00FD20F3" w:rsidRPr="00EB6EE7" w:rsidRDefault="00FD20F3" w:rsidP="00FD20F3">
            <w:pPr>
              <w:pStyle w:val="ListParagraph"/>
              <w:numPr>
                <w:ilvl w:val="0"/>
                <w:numId w:val="39"/>
              </w:numPr>
              <w:tabs>
                <w:tab w:val="left" w:pos="8590"/>
              </w:tabs>
              <w:autoSpaceDE w:val="0"/>
              <w:autoSpaceDN w:val="0"/>
              <w:adjustRightInd w:val="0"/>
              <w:spacing w:after="120"/>
              <w:ind w:left="369" w:right="114" w:hanging="369"/>
              <w:contextualSpacing w:val="0"/>
              <w:rPr>
                <w:i/>
                <w:sz w:val="18"/>
                <w:szCs w:val="18"/>
                <w:u w:val="single"/>
                <w:lang w:val="en-US"/>
              </w:rPr>
            </w:pPr>
            <w:r w:rsidRPr="00EB6EE7">
              <w:rPr>
                <w:bCs/>
                <w:i/>
                <w:sz w:val="18"/>
                <w:szCs w:val="18"/>
                <w:u w:val="single"/>
                <w:lang w:val="en-US"/>
              </w:rPr>
              <w:t>The packaging shall conform to the packaging group I  performance level and</w:t>
            </w:r>
            <w:r w:rsidRPr="00EB6EE7">
              <w:rPr>
                <w:i/>
                <w:sz w:val="18"/>
                <w:szCs w:val="18"/>
                <w:u w:val="single"/>
                <w:lang w:val="en-US"/>
              </w:rPr>
              <w:t xml:space="preserve"> meet the following criteria:  </w:t>
            </w:r>
          </w:p>
          <w:p w14:paraId="39D5DA7D" w14:textId="77777777" w:rsidR="00FD20F3" w:rsidRPr="00EB6EE7" w:rsidRDefault="00FD20F3" w:rsidP="00FD20F3">
            <w:pPr>
              <w:pStyle w:val="ListParagraph"/>
              <w:numPr>
                <w:ilvl w:val="0"/>
                <w:numId w:val="40"/>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 xml:space="preserve">The outside surface temperature of the completed package shall not have a temperature of more than 100°C. A momentary spike in temperature up to 200°C is acceptable, </w:t>
            </w:r>
          </w:p>
          <w:p w14:paraId="5C2BBCC2" w14:textId="77777777" w:rsidR="00FD20F3" w:rsidRPr="00EB6EE7" w:rsidRDefault="00FD20F3" w:rsidP="00FD20F3">
            <w:pPr>
              <w:pStyle w:val="ListParagraph"/>
              <w:numPr>
                <w:ilvl w:val="0"/>
                <w:numId w:val="40"/>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No hazardous flame outside,</w:t>
            </w:r>
          </w:p>
          <w:p w14:paraId="14F54608" w14:textId="77777777" w:rsidR="00FD20F3" w:rsidRPr="00EB6EE7" w:rsidRDefault="00FD20F3" w:rsidP="00FD20F3">
            <w:pPr>
              <w:pStyle w:val="ListParagraph"/>
              <w:numPr>
                <w:ilvl w:val="0"/>
                <w:numId w:val="40"/>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No hazardous ejection fragments,</w:t>
            </w:r>
          </w:p>
          <w:p w14:paraId="208C556F" w14:textId="77777777" w:rsidR="00FD20F3" w:rsidRPr="00EB6EE7" w:rsidRDefault="00FD20F3" w:rsidP="00FD20F3">
            <w:pPr>
              <w:pStyle w:val="ListParagraph"/>
              <w:numPr>
                <w:ilvl w:val="0"/>
                <w:numId w:val="40"/>
              </w:numPr>
              <w:tabs>
                <w:tab w:val="left" w:pos="8590"/>
              </w:tabs>
              <w:autoSpaceDE w:val="0"/>
              <w:autoSpaceDN w:val="0"/>
              <w:adjustRightInd w:val="0"/>
              <w:ind w:left="652" w:right="114" w:hanging="283"/>
              <w:rPr>
                <w:i/>
                <w:sz w:val="18"/>
                <w:szCs w:val="18"/>
                <w:u w:val="single"/>
                <w:lang w:val="en-US"/>
              </w:rPr>
            </w:pPr>
            <w:r w:rsidRPr="00EB6EE7">
              <w:rPr>
                <w:i/>
                <w:sz w:val="18"/>
                <w:szCs w:val="18"/>
                <w:u w:val="single"/>
                <w:lang w:val="en-US"/>
              </w:rPr>
              <w:t>No damage of the packaging,</w:t>
            </w:r>
          </w:p>
          <w:p w14:paraId="42B64377" w14:textId="77777777" w:rsidR="00FD20F3" w:rsidRPr="00EB6EE7" w:rsidRDefault="00FD20F3" w:rsidP="00FD20F3">
            <w:pPr>
              <w:pStyle w:val="ListParagraph"/>
              <w:numPr>
                <w:ilvl w:val="0"/>
                <w:numId w:val="40"/>
              </w:numPr>
              <w:tabs>
                <w:tab w:val="left" w:pos="8590"/>
              </w:tabs>
              <w:autoSpaceDE w:val="0"/>
              <w:autoSpaceDN w:val="0"/>
              <w:adjustRightInd w:val="0"/>
              <w:spacing w:after="240"/>
              <w:ind w:left="653" w:right="114" w:hanging="284"/>
              <w:contextualSpacing w:val="0"/>
              <w:rPr>
                <w:i/>
                <w:sz w:val="18"/>
                <w:szCs w:val="18"/>
                <w:u w:val="single"/>
                <w:lang w:val="en-US"/>
              </w:rPr>
            </w:pPr>
            <w:r w:rsidRPr="00EB6EE7">
              <w:rPr>
                <w:i/>
                <w:sz w:val="18"/>
                <w:szCs w:val="18"/>
                <w:u w:val="single"/>
                <w:lang w:val="en-US"/>
              </w:rPr>
              <w:t>Gas management (e.g. filter system, air circulation, containment for gas  etc.),  and</w:t>
            </w:r>
          </w:p>
          <w:p w14:paraId="6546F249" w14:textId="77777777" w:rsidR="00FD20F3" w:rsidRPr="00EB6EE7" w:rsidRDefault="00FD20F3" w:rsidP="00FD20F3">
            <w:pPr>
              <w:pStyle w:val="ListParagraph"/>
              <w:numPr>
                <w:ilvl w:val="0"/>
                <w:numId w:val="39"/>
              </w:numPr>
              <w:tabs>
                <w:tab w:val="left" w:pos="8590"/>
              </w:tabs>
              <w:autoSpaceDE w:val="0"/>
              <w:autoSpaceDN w:val="0"/>
              <w:adjustRightInd w:val="0"/>
              <w:spacing w:after="120" w:line="240" w:lineRule="auto"/>
              <w:ind w:left="369" w:right="114" w:hanging="369"/>
              <w:contextualSpacing w:val="0"/>
              <w:rPr>
                <w:i/>
                <w:sz w:val="18"/>
                <w:szCs w:val="18"/>
                <w:u w:val="single"/>
                <w:lang w:val="en-US"/>
              </w:rPr>
            </w:pPr>
            <w:r w:rsidRPr="00EB6EE7">
              <w:rPr>
                <w:i/>
                <w:sz w:val="18"/>
                <w:szCs w:val="18"/>
                <w:u w:val="single"/>
                <w:lang w:val="en-US"/>
              </w:rPr>
              <w:t>The quality of the packaging is verified by one of the following methods:</w:t>
            </w:r>
          </w:p>
          <w:p w14:paraId="6DC9D45A" w14:textId="77777777" w:rsidR="00FD20F3" w:rsidRPr="00EB6EE7" w:rsidRDefault="00FD20F3" w:rsidP="00FD20F3">
            <w:pPr>
              <w:pStyle w:val="ListParagraph"/>
              <w:numPr>
                <w:ilvl w:val="0"/>
                <w:numId w:val="41"/>
              </w:numPr>
              <w:tabs>
                <w:tab w:val="left" w:pos="8590"/>
              </w:tabs>
              <w:autoSpaceDE w:val="0"/>
              <w:autoSpaceDN w:val="0"/>
              <w:adjustRightInd w:val="0"/>
              <w:spacing w:after="240"/>
              <w:ind w:right="114"/>
              <w:rPr>
                <w:i/>
                <w:sz w:val="18"/>
                <w:szCs w:val="18"/>
                <w:u w:val="single"/>
                <w:lang w:val="en-US"/>
              </w:rPr>
            </w:pPr>
            <w:r w:rsidRPr="00EB6EE7">
              <w:rPr>
                <w:bCs/>
                <w:i/>
                <w:sz w:val="18"/>
                <w:szCs w:val="18"/>
                <w:u w:val="single"/>
                <w:lang w:val="en-US"/>
              </w:rPr>
              <w:t>The packaging performance shall be demonstrated</w:t>
            </w:r>
            <w:r w:rsidRPr="00EB6EE7">
              <w:rPr>
                <w:b/>
                <w:bCs/>
                <w:i/>
                <w:sz w:val="18"/>
                <w:szCs w:val="18"/>
                <w:u w:val="single"/>
                <w:lang w:val="en-US"/>
              </w:rPr>
              <w:t xml:space="preserve"> </w:t>
            </w:r>
            <w:r w:rsidRPr="00EB6EE7">
              <w:rPr>
                <w:i/>
                <w:sz w:val="18"/>
                <w:szCs w:val="18"/>
                <w:u w:val="single"/>
                <w:lang w:val="en-US"/>
              </w:rPr>
              <w:t>by a test or by a calculation corresponding to the maximum mass and energy of the cell/battery type as defined in the UN Manual of Tests and Criteria paragraph 38.3.2.2 in the condition of transport,</w:t>
            </w:r>
          </w:p>
          <w:p w14:paraId="72E467DE" w14:textId="77777777" w:rsidR="00FD20F3" w:rsidRPr="00EB6EE7" w:rsidRDefault="00FD20F3" w:rsidP="00FD20F3">
            <w:pPr>
              <w:pStyle w:val="ListParagraph"/>
              <w:numPr>
                <w:ilvl w:val="0"/>
                <w:numId w:val="41"/>
              </w:numPr>
              <w:tabs>
                <w:tab w:val="left" w:pos="8590"/>
              </w:tabs>
              <w:autoSpaceDE w:val="0"/>
              <w:autoSpaceDN w:val="0"/>
              <w:adjustRightInd w:val="0"/>
              <w:spacing w:after="240"/>
              <w:ind w:left="653" w:right="114" w:hanging="284"/>
              <w:contextualSpacing w:val="0"/>
              <w:rPr>
                <w:i/>
                <w:sz w:val="18"/>
                <w:szCs w:val="18"/>
                <w:u w:val="single"/>
                <w:lang w:val="en-US"/>
              </w:rPr>
            </w:pPr>
            <w:r w:rsidRPr="00EB6EE7">
              <w:rPr>
                <w:i/>
                <w:sz w:val="18"/>
                <w:szCs w:val="18"/>
                <w:u w:val="single"/>
                <w:lang w:val="en-US"/>
              </w:rPr>
              <w:t xml:space="preserve">The calculation has to run on a </w:t>
            </w:r>
            <w:r w:rsidRPr="00EB6EE7">
              <w:rPr>
                <w:bCs/>
                <w:i/>
                <w:sz w:val="18"/>
                <w:szCs w:val="18"/>
                <w:u w:val="single"/>
                <w:lang w:val="en-US"/>
              </w:rPr>
              <w:t>verified model</w:t>
            </w:r>
            <w:r w:rsidRPr="00EB6EE7">
              <w:rPr>
                <w:i/>
                <w:sz w:val="18"/>
                <w:szCs w:val="18"/>
                <w:u w:val="single"/>
                <w:lang w:val="en-US"/>
              </w:rPr>
              <w:t>. The test and calculation should be done under a quality management system (as described e.g.in section 2.9.4 (e)).</w:t>
            </w:r>
          </w:p>
          <w:p w14:paraId="3F71B47F" w14:textId="77777777" w:rsidR="00FD20F3" w:rsidRPr="00EB6EE7" w:rsidRDefault="00FD20F3" w:rsidP="00FD20F3">
            <w:pPr>
              <w:pStyle w:val="ListParagraph"/>
              <w:numPr>
                <w:ilvl w:val="0"/>
                <w:numId w:val="39"/>
              </w:numPr>
              <w:tabs>
                <w:tab w:val="left" w:pos="8590"/>
              </w:tabs>
              <w:autoSpaceDE w:val="0"/>
              <w:autoSpaceDN w:val="0"/>
              <w:adjustRightInd w:val="0"/>
              <w:spacing w:after="120"/>
              <w:ind w:left="369" w:right="114" w:hanging="369"/>
              <w:contextualSpacing w:val="0"/>
              <w:rPr>
                <w:i/>
                <w:sz w:val="18"/>
                <w:szCs w:val="18"/>
                <w:u w:val="single"/>
                <w:lang w:val="en-US"/>
              </w:rPr>
            </w:pPr>
            <w:r w:rsidRPr="00EB6EE7">
              <w:rPr>
                <w:i/>
                <w:sz w:val="18"/>
                <w:szCs w:val="18"/>
                <w:u w:val="single"/>
                <w:lang w:val="en-US"/>
              </w:rPr>
              <w:t>The test/verification report/result shall be available on request. As a minimum requirement, the cell and battery name, the cell and battery number, the weight, type, energy content of the cells and batteries and the packaging identification shall be listed,</w:t>
            </w:r>
          </w:p>
          <w:p w14:paraId="082647ED" w14:textId="77777777" w:rsidR="00FD20F3" w:rsidRPr="00EB6EE7" w:rsidRDefault="00FD20F3" w:rsidP="00FD20F3">
            <w:pPr>
              <w:pStyle w:val="ListParagraph"/>
              <w:numPr>
                <w:ilvl w:val="0"/>
                <w:numId w:val="39"/>
              </w:numPr>
              <w:tabs>
                <w:tab w:val="left" w:pos="8590"/>
              </w:tabs>
              <w:suppressAutoHyphens w:val="0"/>
              <w:autoSpaceDE w:val="0"/>
              <w:autoSpaceDN w:val="0"/>
              <w:adjustRightInd w:val="0"/>
              <w:spacing w:after="120" w:line="240" w:lineRule="auto"/>
              <w:ind w:left="369" w:right="114" w:hanging="369"/>
              <w:contextualSpacing w:val="0"/>
              <w:rPr>
                <w:i/>
                <w:sz w:val="18"/>
                <w:szCs w:val="18"/>
                <w:u w:val="single"/>
                <w:lang w:val="en-US"/>
              </w:rPr>
            </w:pPr>
            <w:r w:rsidRPr="00EB6EE7">
              <w:rPr>
                <w:i/>
                <w:iCs/>
                <w:color w:val="141A18"/>
                <w:sz w:val="18"/>
                <w:szCs w:val="18"/>
                <w:u w:val="single"/>
                <w:lang w:val="en-US" w:eastAsia="en-GB"/>
              </w:rPr>
              <w:t>The transport document according to chapter 5. 4 shall include the following statement: “Transport in accordance with LP9XX”.</w:t>
            </w:r>
            <w:r w:rsidRPr="00EB6EE7">
              <w:rPr>
                <w:i/>
                <w:sz w:val="18"/>
                <w:szCs w:val="18"/>
                <w:u w:val="single"/>
                <w:lang w:val="en-US"/>
              </w:rPr>
              <w:t xml:space="preserve"> </w:t>
            </w:r>
          </w:p>
          <w:p w14:paraId="3FA21621" w14:textId="77777777" w:rsidR="00FD20F3" w:rsidRPr="00EB6EE7" w:rsidRDefault="00FD20F3" w:rsidP="00FD20F3">
            <w:pPr>
              <w:pStyle w:val="ListParagraph"/>
              <w:numPr>
                <w:ilvl w:val="0"/>
                <w:numId w:val="39"/>
              </w:numPr>
              <w:tabs>
                <w:tab w:val="left" w:pos="8590"/>
              </w:tabs>
              <w:suppressAutoHyphens w:val="0"/>
              <w:autoSpaceDE w:val="0"/>
              <w:autoSpaceDN w:val="0"/>
              <w:adjustRightInd w:val="0"/>
              <w:spacing w:line="240" w:lineRule="auto"/>
              <w:ind w:left="369" w:right="113" w:hanging="369"/>
              <w:contextualSpacing w:val="0"/>
              <w:rPr>
                <w:i/>
                <w:sz w:val="18"/>
                <w:szCs w:val="18"/>
                <w:u w:val="single"/>
                <w:lang w:val="en-US"/>
              </w:rPr>
            </w:pPr>
            <w:r w:rsidRPr="00EB6EE7">
              <w:rPr>
                <w:i/>
                <w:sz w:val="18"/>
                <w:szCs w:val="18"/>
                <w:u w:val="single"/>
                <w:lang w:val="en-US"/>
              </w:rPr>
              <w:t>When dry ice or liquid nitrogen is used as a coolant, the requirements of section</w:t>
            </w:r>
            <w:r w:rsidRPr="00EB6EE7">
              <w:rPr>
                <w:i/>
                <w:color w:val="C00000"/>
                <w:sz w:val="18"/>
                <w:szCs w:val="18"/>
                <w:u w:val="single"/>
                <w:lang w:val="en-US"/>
              </w:rPr>
              <w:t xml:space="preserve"> </w:t>
            </w:r>
            <w:r w:rsidRPr="00EB6EE7">
              <w:rPr>
                <w:i/>
                <w:sz w:val="18"/>
                <w:szCs w:val="18"/>
                <w:u w:val="single"/>
                <w:lang w:val="en-US"/>
              </w:rPr>
              <w:t>5.5.3 shall apply. The inner packaging and outer packaging shall maintain their integrity at the temperature of the refrigerant used as well as the temperatures and the pressures which could result if refrigeration were lost.</w:t>
            </w:r>
          </w:p>
        </w:tc>
      </w:tr>
      <w:tr w:rsidR="00FD20F3" w:rsidRPr="00EB6EE7" w14:paraId="139ACD80" w14:textId="77777777" w:rsidTr="00EB6EE7">
        <w:trPr>
          <w:jc w:val="center"/>
        </w:trPr>
        <w:tc>
          <w:tcPr>
            <w:tcW w:w="8789" w:type="dxa"/>
            <w:shd w:val="clear" w:color="auto" w:fill="auto"/>
          </w:tcPr>
          <w:p w14:paraId="20660EC2" w14:textId="77777777" w:rsidR="00FD20F3" w:rsidRPr="00EB6EE7" w:rsidRDefault="00FD20F3" w:rsidP="00494AA8">
            <w:pPr>
              <w:autoSpaceDE w:val="0"/>
              <w:autoSpaceDN w:val="0"/>
              <w:adjustRightInd w:val="0"/>
              <w:rPr>
                <w:rFonts w:eastAsia="MS Mincho"/>
                <w:b/>
                <w:bCs/>
                <w:i/>
                <w:sz w:val="18"/>
                <w:szCs w:val="18"/>
                <w:u w:val="single"/>
                <w:lang w:eastAsia="ja-JP"/>
              </w:rPr>
            </w:pPr>
            <w:r w:rsidRPr="00EB6EE7">
              <w:rPr>
                <w:rFonts w:eastAsia="MS Mincho"/>
                <w:b/>
                <w:bCs/>
                <w:i/>
                <w:sz w:val="18"/>
                <w:szCs w:val="18"/>
                <w:u w:val="single"/>
                <w:lang w:eastAsia="ja-JP"/>
              </w:rPr>
              <w:t>Additional requirements:</w:t>
            </w:r>
          </w:p>
          <w:p w14:paraId="0650E566" w14:textId="77777777" w:rsidR="00FD20F3" w:rsidRPr="00EB6EE7" w:rsidRDefault="00FD20F3" w:rsidP="00494AA8">
            <w:pPr>
              <w:autoSpaceDE w:val="0"/>
              <w:autoSpaceDN w:val="0"/>
              <w:adjustRightInd w:val="0"/>
              <w:rPr>
                <w:rFonts w:eastAsia="MS Mincho"/>
                <w:i/>
                <w:sz w:val="18"/>
                <w:szCs w:val="18"/>
                <w:u w:val="single"/>
                <w:lang w:eastAsia="ja-JP"/>
              </w:rPr>
            </w:pPr>
            <w:r w:rsidRPr="00EB6EE7">
              <w:rPr>
                <w:rFonts w:eastAsia="MS Mincho"/>
                <w:i/>
                <w:sz w:val="18"/>
                <w:szCs w:val="18"/>
                <w:u w:val="single"/>
                <w:lang w:eastAsia="ja-JP"/>
              </w:rPr>
              <w:t>Batteries shall be protected against short circuit.</w:t>
            </w:r>
          </w:p>
          <w:p w14:paraId="687D2104" w14:textId="77777777" w:rsidR="00FD20F3" w:rsidRPr="00EB6EE7" w:rsidRDefault="00FD20F3" w:rsidP="00494AA8">
            <w:pPr>
              <w:autoSpaceDE w:val="0"/>
              <w:autoSpaceDN w:val="0"/>
              <w:adjustRightInd w:val="0"/>
              <w:rPr>
                <w:rFonts w:eastAsia="MS Mincho"/>
                <w:sz w:val="18"/>
                <w:szCs w:val="18"/>
                <w:lang w:val="en-US" w:eastAsia="ja-JP"/>
              </w:rPr>
            </w:pPr>
          </w:p>
          <w:p w14:paraId="236881AD" w14:textId="77777777" w:rsidR="00FD20F3" w:rsidRPr="00EB6EE7" w:rsidRDefault="00FD20F3" w:rsidP="00494AA8">
            <w:pPr>
              <w:autoSpaceDE w:val="0"/>
              <w:autoSpaceDN w:val="0"/>
              <w:adjustRightInd w:val="0"/>
              <w:rPr>
                <w:i/>
                <w:sz w:val="18"/>
                <w:szCs w:val="18"/>
                <w:u w:val="single"/>
                <w:lang w:val="en-US" w:eastAsia="de-DE"/>
              </w:rPr>
            </w:pPr>
            <w:r w:rsidRPr="00EB6EE7">
              <w:rPr>
                <w:i/>
                <w:sz w:val="18"/>
                <w:szCs w:val="18"/>
                <w:u w:val="single"/>
                <w:lang w:val="en-US" w:eastAsia="de-DE"/>
              </w:rPr>
              <w:t>Protection against short circuits includes, but is not limited to:</w:t>
            </w:r>
          </w:p>
          <w:p w14:paraId="7B43A0E9"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individual protection of the battery terminals,</w:t>
            </w:r>
          </w:p>
          <w:p w14:paraId="6C810D64"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inner packaging to prevent contact between cells and batteries,</w:t>
            </w:r>
          </w:p>
          <w:p w14:paraId="2DEBB42F"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batteries with recessed terminals designed to protect against short circuits, or</w:t>
            </w:r>
          </w:p>
          <w:p w14:paraId="466C367B" w14:textId="77777777" w:rsidR="00FD20F3" w:rsidRPr="00EB6EE7" w:rsidRDefault="00FD20F3" w:rsidP="00FD20F3">
            <w:pPr>
              <w:pStyle w:val="ListParagraph"/>
              <w:numPr>
                <w:ilvl w:val="0"/>
                <w:numId w:val="37"/>
              </w:numPr>
              <w:suppressAutoHyphens w:val="0"/>
              <w:autoSpaceDE w:val="0"/>
              <w:autoSpaceDN w:val="0"/>
              <w:adjustRightInd w:val="0"/>
              <w:spacing w:line="240" w:lineRule="auto"/>
              <w:ind w:left="227" w:hanging="227"/>
              <w:rPr>
                <w:i/>
                <w:sz w:val="18"/>
                <w:szCs w:val="18"/>
                <w:u w:val="single"/>
                <w:lang w:val="en-US" w:eastAsia="de-DE"/>
              </w:rPr>
            </w:pPr>
            <w:r w:rsidRPr="00EB6EE7">
              <w:rPr>
                <w:i/>
                <w:sz w:val="18"/>
                <w:szCs w:val="18"/>
                <w:u w:val="single"/>
                <w:lang w:val="en-US" w:eastAsia="de-DE"/>
              </w:rPr>
              <w:t>the use of a non-conductive and non-combustible cushioning material to fill empty space between the</w:t>
            </w:r>
          </w:p>
          <w:p w14:paraId="4072EA7E" w14:textId="77777777" w:rsidR="00FD20F3" w:rsidRPr="00EB6EE7" w:rsidRDefault="00FD20F3" w:rsidP="00494AA8">
            <w:pPr>
              <w:pStyle w:val="ListParagraph"/>
              <w:autoSpaceDE w:val="0"/>
              <w:autoSpaceDN w:val="0"/>
              <w:adjustRightInd w:val="0"/>
              <w:ind w:left="227"/>
              <w:rPr>
                <w:sz w:val="18"/>
                <w:szCs w:val="18"/>
                <w:lang w:val="en-US"/>
              </w:rPr>
            </w:pPr>
            <w:proofErr w:type="gramStart"/>
            <w:r w:rsidRPr="00EB6EE7">
              <w:rPr>
                <w:i/>
                <w:sz w:val="18"/>
                <w:szCs w:val="18"/>
                <w:u w:val="single"/>
                <w:lang w:val="en-US" w:eastAsia="de-DE"/>
              </w:rPr>
              <w:t>cells</w:t>
            </w:r>
            <w:proofErr w:type="gramEnd"/>
            <w:r w:rsidRPr="00EB6EE7">
              <w:rPr>
                <w:i/>
                <w:sz w:val="18"/>
                <w:szCs w:val="18"/>
                <w:u w:val="single"/>
                <w:lang w:val="en-US" w:eastAsia="de-DE"/>
              </w:rPr>
              <w:t xml:space="preserve"> or batteries in the packaging.</w:t>
            </w:r>
          </w:p>
        </w:tc>
      </w:tr>
    </w:tbl>
    <w:p w14:paraId="53C306F7" w14:textId="0165F155" w:rsidR="00FD20F3" w:rsidRDefault="00EB6EE7" w:rsidP="00EB6EE7">
      <w:pPr>
        <w:pStyle w:val="HChG"/>
      </w:pPr>
      <w:r>
        <w:rPr>
          <w:lang w:val="fr-CH"/>
        </w:rPr>
        <w:tab/>
      </w:r>
      <w:r>
        <w:rPr>
          <w:lang w:val="fr-CH"/>
        </w:rPr>
        <w:tab/>
      </w:r>
      <w:r w:rsidR="00FD20F3" w:rsidRPr="00804B55">
        <w:t>Conclusion</w:t>
      </w:r>
    </w:p>
    <w:p w14:paraId="7BEF02A6" w14:textId="77777777" w:rsidR="00FD20F3" w:rsidRPr="0097067A" w:rsidRDefault="00FD20F3" w:rsidP="00EB6EE7">
      <w:pPr>
        <w:pStyle w:val="SingleTxtG"/>
      </w:pPr>
      <w:r>
        <w:t xml:space="preserve">Recharge and OICA propose the above changes of SP376 and the introduction of a new P9XX and LP9XX for consideration by the </w:t>
      </w:r>
      <w:r w:rsidRPr="00494B9C">
        <w:rPr>
          <w:color w:val="000000" w:themeColor="text1"/>
        </w:rPr>
        <w:t>ECOSOC Sub-Committee of Experts on the Transport of Dangerous Goods (TDG)</w:t>
      </w:r>
      <w:r>
        <w:rPr>
          <w:color w:val="000000" w:themeColor="text1"/>
        </w:rPr>
        <w:t xml:space="preserve"> </w:t>
      </w:r>
      <w:r>
        <w:t xml:space="preserve">as a practical high safety transport solution and as an intermediate step to define and determine performance based packaging criteria for damaged/defective lithium batteries. </w:t>
      </w:r>
    </w:p>
    <w:p w14:paraId="7A761A0B" w14:textId="53ECCE8D" w:rsidR="0001491B" w:rsidRPr="00012820" w:rsidRDefault="00012820" w:rsidP="00012820">
      <w:pPr>
        <w:pStyle w:val="HChG"/>
        <w:keepNext w:val="0"/>
        <w:keepLines w:val="0"/>
        <w:spacing w:before="240" w:after="0" w:line="240" w:lineRule="atLeast"/>
        <w:ind w:firstLine="0"/>
        <w:jc w:val="center"/>
        <w:rPr>
          <w:u w:val="single"/>
          <w:lang w:val="en-GB"/>
        </w:rPr>
      </w:pPr>
      <w:r>
        <w:rPr>
          <w:u w:val="single"/>
          <w:lang w:val="en-GB"/>
        </w:rPr>
        <w:tab/>
      </w:r>
      <w:r>
        <w:rPr>
          <w:u w:val="single"/>
          <w:lang w:val="en-GB"/>
        </w:rPr>
        <w:tab/>
      </w:r>
      <w:r>
        <w:rPr>
          <w:u w:val="single"/>
          <w:lang w:val="en-GB"/>
        </w:rPr>
        <w:tab/>
      </w:r>
    </w:p>
    <w:sectPr w:rsidR="0001491B" w:rsidRPr="00012820" w:rsidSect="00F3171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86DD" w14:textId="77777777" w:rsidR="002A72B0" w:rsidRDefault="002A72B0"/>
  </w:endnote>
  <w:endnote w:type="continuationSeparator" w:id="0">
    <w:p w14:paraId="011C942B" w14:textId="77777777" w:rsidR="002A72B0" w:rsidRDefault="002A72B0"/>
  </w:endnote>
  <w:endnote w:type="continuationNotice" w:id="1">
    <w:p w14:paraId="2CD57A27" w14:textId="77777777" w:rsidR="002A72B0" w:rsidRDefault="002A7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Corpo 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32EF4" w14:textId="77777777" w:rsidR="002A72B0" w:rsidRPr="00587799" w:rsidRDefault="002A72B0" w:rsidP="0001491B">
    <w:pPr>
      <w:pStyle w:val="Footer"/>
      <w:rPr>
        <w:b/>
      </w:rPr>
    </w:pPr>
    <w:r w:rsidRPr="00587799">
      <w:rPr>
        <w:b/>
      </w:rPr>
      <w:fldChar w:fldCharType="begin"/>
    </w:r>
    <w:r w:rsidRPr="00587799">
      <w:rPr>
        <w:b/>
      </w:rPr>
      <w:instrText xml:space="preserve"> PAGE   \* MERGEFORMAT </w:instrText>
    </w:r>
    <w:r w:rsidRPr="00587799">
      <w:rPr>
        <w:b/>
      </w:rPr>
      <w:fldChar w:fldCharType="separate"/>
    </w:r>
    <w:r w:rsidR="0078662B">
      <w:rPr>
        <w:b/>
        <w:noProof/>
      </w:rPr>
      <w:t>4</w:t>
    </w:r>
    <w:r w:rsidRPr="00587799">
      <w:rPr>
        <w:b/>
        <w:noProof/>
      </w:rPr>
      <w:fldChar w:fldCharType="end"/>
    </w:r>
  </w:p>
  <w:p w14:paraId="4B1D25F3" w14:textId="77777777" w:rsidR="002A72B0" w:rsidRDefault="002A7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0E77" w14:textId="77777777" w:rsidR="002A72B0" w:rsidRDefault="002A72B0">
    <w:pPr>
      <w:pStyle w:val="Footer"/>
      <w:jc w:val="right"/>
    </w:pPr>
    <w:r>
      <w:fldChar w:fldCharType="begin"/>
    </w:r>
    <w:r>
      <w:instrText xml:space="preserve"> PAGE   \* MERGEFORMAT </w:instrText>
    </w:r>
    <w:r>
      <w:fldChar w:fldCharType="separate"/>
    </w:r>
    <w:r w:rsidR="0078662B">
      <w:rPr>
        <w:noProof/>
      </w:rPr>
      <w:t>5</w:t>
    </w:r>
    <w:r>
      <w:rPr>
        <w:noProof/>
      </w:rPr>
      <w:fldChar w:fldCharType="end"/>
    </w:r>
  </w:p>
  <w:p w14:paraId="0942D4CF" w14:textId="77777777" w:rsidR="002A72B0" w:rsidRDefault="002A7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7123C" w14:textId="77777777" w:rsidR="002A72B0" w:rsidRPr="000B175B" w:rsidRDefault="002A72B0" w:rsidP="000B175B">
      <w:pPr>
        <w:tabs>
          <w:tab w:val="right" w:pos="2155"/>
        </w:tabs>
        <w:spacing w:after="80"/>
        <w:ind w:left="680"/>
        <w:rPr>
          <w:u w:val="single"/>
        </w:rPr>
      </w:pPr>
      <w:r>
        <w:rPr>
          <w:u w:val="single"/>
        </w:rPr>
        <w:tab/>
      </w:r>
    </w:p>
  </w:footnote>
  <w:footnote w:type="continuationSeparator" w:id="0">
    <w:p w14:paraId="55BCB0C3" w14:textId="77777777" w:rsidR="002A72B0" w:rsidRPr="00FC68B7" w:rsidRDefault="002A72B0" w:rsidP="00FC68B7">
      <w:pPr>
        <w:tabs>
          <w:tab w:val="left" w:pos="2155"/>
        </w:tabs>
        <w:spacing w:after="80"/>
        <w:ind w:left="680"/>
        <w:rPr>
          <w:u w:val="single"/>
        </w:rPr>
      </w:pPr>
      <w:r>
        <w:rPr>
          <w:u w:val="single"/>
        </w:rPr>
        <w:tab/>
      </w:r>
    </w:p>
  </w:footnote>
  <w:footnote w:type="continuationNotice" w:id="1">
    <w:p w14:paraId="2B816D39" w14:textId="77777777" w:rsidR="002A72B0" w:rsidRDefault="002A7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669" w14:textId="1F5CAF72" w:rsidR="002A72B0" w:rsidRDefault="00012820">
    <w:pPr>
      <w:pStyle w:val="Header"/>
    </w:pPr>
    <w:r>
      <w:rPr>
        <w:lang w:val="es-ES"/>
      </w:rPr>
      <w:t>UN/SCETDG/49/INF.12</w:t>
    </w:r>
  </w:p>
  <w:p w14:paraId="196059D6" w14:textId="77777777" w:rsidR="002A72B0" w:rsidRPr="00D214CA" w:rsidRDefault="002A72B0">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4DE5" w14:textId="7CF107C9" w:rsidR="002A72B0" w:rsidRDefault="00012820" w:rsidP="0062449B">
    <w:pPr>
      <w:pStyle w:val="Header"/>
      <w:jc w:val="right"/>
    </w:pPr>
    <w:r>
      <w:rPr>
        <w:lang w:val="es-ES"/>
      </w:rPr>
      <w:t>UN/SCETDG/49/INF.12</w:t>
    </w:r>
  </w:p>
  <w:p w14:paraId="195708C2" w14:textId="77777777" w:rsidR="002A72B0" w:rsidRPr="00D214CA" w:rsidRDefault="002A72B0"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35541"/>
    <w:multiLevelType w:val="hybridMultilevel"/>
    <w:tmpl w:val="C0B8D074"/>
    <w:lvl w:ilvl="0" w:tplc="0F126C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857E5E"/>
    <w:multiLevelType w:val="hybridMultilevel"/>
    <w:tmpl w:val="9B8EFC34"/>
    <w:lvl w:ilvl="0" w:tplc="DB18D60C">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3704A94"/>
    <w:multiLevelType w:val="hybridMultilevel"/>
    <w:tmpl w:val="9DBCE63A"/>
    <w:lvl w:ilvl="0" w:tplc="53C89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E505D"/>
    <w:multiLevelType w:val="hybridMultilevel"/>
    <w:tmpl w:val="7CCC1916"/>
    <w:lvl w:ilvl="0" w:tplc="EDB4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D91A86"/>
    <w:multiLevelType w:val="hybridMultilevel"/>
    <w:tmpl w:val="390CD608"/>
    <w:lvl w:ilvl="0" w:tplc="04090017">
      <w:start w:val="1"/>
      <w:numFmt w:val="lowerLetter"/>
      <w:lvlText w:val="%1)"/>
      <w:lvlJc w:val="left"/>
      <w:pPr>
        <w:ind w:left="1778" w:hanging="360"/>
      </w:pPr>
      <w:rPr>
        <w:rFont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0">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33A635D1"/>
    <w:multiLevelType w:val="hybridMultilevel"/>
    <w:tmpl w:val="AA449104"/>
    <w:lvl w:ilvl="0" w:tplc="92706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E1089"/>
    <w:multiLevelType w:val="hybridMultilevel"/>
    <w:tmpl w:val="24CE7ED8"/>
    <w:lvl w:ilvl="0" w:tplc="92D6AA78">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4">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5">
    <w:nsid w:val="4B606E74"/>
    <w:multiLevelType w:val="hybridMultilevel"/>
    <w:tmpl w:val="5560D7AC"/>
    <w:lvl w:ilvl="0" w:tplc="04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432293F"/>
    <w:multiLevelType w:val="hybridMultilevel"/>
    <w:tmpl w:val="396654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4875CD7"/>
    <w:multiLevelType w:val="hybridMultilevel"/>
    <w:tmpl w:val="51E66998"/>
    <w:lvl w:ilvl="0" w:tplc="E17AB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3">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6">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7">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9">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2"/>
  </w:num>
  <w:num w:numId="13">
    <w:abstractNumId w:val="11"/>
  </w:num>
  <w:num w:numId="14">
    <w:abstractNumId w:val="31"/>
  </w:num>
  <w:num w:numId="15">
    <w:abstractNumId w:val="34"/>
  </w:num>
  <w:num w:numId="16">
    <w:abstractNumId w:val="20"/>
  </w:num>
  <w:num w:numId="17">
    <w:abstractNumId w:val="32"/>
  </w:num>
  <w:num w:numId="18">
    <w:abstractNumId w:val="40"/>
  </w:num>
  <w:num w:numId="19">
    <w:abstractNumId w:val="26"/>
  </w:num>
  <w:num w:numId="20">
    <w:abstractNumId w:val="27"/>
  </w:num>
  <w:num w:numId="21">
    <w:abstractNumId w:val="38"/>
  </w:num>
  <w:num w:numId="22">
    <w:abstractNumId w:val="23"/>
  </w:num>
  <w:num w:numId="23">
    <w:abstractNumId w:val="35"/>
  </w:num>
  <w:num w:numId="24">
    <w:abstractNumId w:val="14"/>
  </w:num>
  <w:num w:numId="25">
    <w:abstractNumId w:val="37"/>
  </w:num>
  <w:num w:numId="26">
    <w:abstractNumId w:val="36"/>
  </w:num>
  <w:num w:numId="27">
    <w:abstractNumId w:val="39"/>
  </w:num>
  <w:num w:numId="28">
    <w:abstractNumId w:val="33"/>
  </w:num>
  <w:num w:numId="29">
    <w:abstractNumId w:val="24"/>
  </w:num>
  <w:num w:numId="30">
    <w:abstractNumId w:val="19"/>
  </w:num>
  <w:num w:numId="31">
    <w:abstractNumId w:val="29"/>
  </w:num>
  <w:num w:numId="32">
    <w:abstractNumId w:val="25"/>
  </w:num>
  <w:num w:numId="33">
    <w:abstractNumId w:val="10"/>
  </w:num>
  <w:num w:numId="34">
    <w:abstractNumId w:val="21"/>
  </w:num>
  <w:num w:numId="35">
    <w:abstractNumId w:val="30"/>
  </w:num>
  <w:num w:numId="36">
    <w:abstractNumId w:val="18"/>
  </w:num>
  <w:num w:numId="37">
    <w:abstractNumId w:val="13"/>
  </w:num>
  <w:num w:numId="38">
    <w:abstractNumId w:val="15"/>
  </w:num>
  <w:num w:numId="39">
    <w:abstractNumId w:val="17"/>
  </w:num>
  <w:num w:numId="40">
    <w:abstractNumId w:val="22"/>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2CE7"/>
    <w:rsid w:val="000032AD"/>
    <w:rsid w:val="000033C6"/>
    <w:rsid w:val="00007A75"/>
    <w:rsid w:val="000112AD"/>
    <w:rsid w:val="0001180D"/>
    <w:rsid w:val="00012820"/>
    <w:rsid w:val="0001491B"/>
    <w:rsid w:val="0001599D"/>
    <w:rsid w:val="000159EF"/>
    <w:rsid w:val="00020203"/>
    <w:rsid w:val="00025256"/>
    <w:rsid w:val="00027110"/>
    <w:rsid w:val="00027F96"/>
    <w:rsid w:val="00030E15"/>
    <w:rsid w:val="00050F6B"/>
    <w:rsid w:val="000525D6"/>
    <w:rsid w:val="000546D4"/>
    <w:rsid w:val="00064E6C"/>
    <w:rsid w:val="00070795"/>
    <w:rsid w:val="00072C8C"/>
    <w:rsid w:val="000763CA"/>
    <w:rsid w:val="00077F85"/>
    <w:rsid w:val="00091419"/>
    <w:rsid w:val="000931C0"/>
    <w:rsid w:val="000940DC"/>
    <w:rsid w:val="000A363F"/>
    <w:rsid w:val="000B175B"/>
    <w:rsid w:val="000B1C33"/>
    <w:rsid w:val="000B3A0F"/>
    <w:rsid w:val="000B5C94"/>
    <w:rsid w:val="000C35D4"/>
    <w:rsid w:val="000C54C1"/>
    <w:rsid w:val="000C7A13"/>
    <w:rsid w:val="000D698F"/>
    <w:rsid w:val="000E0415"/>
    <w:rsid w:val="000E3E09"/>
    <w:rsid w:val="000E6FC9"/>
    <w:rsid w:val="000F10A3"/>
    <w:rsid w:val="000F5DD8"/>
    <w:rsid w:val="000F641A"/>
    <w:rsid w:val="000F7D68"/>
    <w:rsid w:val="0010483E"/>
    <w:rsid w:val="001053BC"/>
    <w:rsid w:val="00111B27"/>
    <w:rsid w:val="00112884"/>
    <w:rsid w:val="00112F02"/>
    <w:rsid w:val="00116226"/>
    <w:rsid w:val="00117787"/>
    <w:rsid w:val="0012195D"/>
    <w:rsid w:val="001248E7"/>
    <w:rsid w:val="00125A9D"/>
    <w:rsid w:val="00126B5A"/>
    <w:rsid w:val="0012717F"/>
    <w:rsid w:val="00131D42"/>
    <w:rsid w:val="001350DA"/>
    <w:rsid w:val="00136EE5"/>
    <w:rsid w:val="001450B5"/>
    <w:rsid w:val="0015326E"/>
    <w:rsid w:val="001543A5"/>
    <w:rsid w:val="001633FB"/>
    <w:rsid w:val="0016659E"/>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4B04"/>
    <w:rsid w:val="001C0A92"/>
    <w:rsid w:val="001C6663"/>
    <w:rsid w:val="001C7895"/>
    <w:rsid w:val="001D26DF"/>
    <w:rsid w:val="001D2FDC"/>
    <w:rsid w:val="001D324A"/>
    <w:rsid w:val="001D3887"/>
    <w:rsid w:val="001D4B7D"/>
    <w:rsid w:val="001E1608"/>
    <w:rsid w:val="001E3689"/>
    <w:rsid w:val="00211E0B"/>
    <w:rsid w:val="0021549E"/>
    <w:rsid w:val="00221BEE"/>
    <w:rsid w:val="00222A65"/>
    <w:rsid w:val="002309A7"/>
    <w:rsid w:val="00233C96"/>
    <w:rsid w:val="002344CD"/>
    <w:rsid w:val="00235678"/>
    <w:rsid w:val="00237785"/>
    <w:rsid w:val="00240E56"/>
    <w:rsid w:val="00241466"/>
    <w:rsid w:val="002454FD"/>
    <w:rsid w:val="00245DA0"/>
    <w:rsid w:val="00246C32"/>
    <w:rsid w:val="00255447"/>
    <w:rsid w:val="002632FE"/>
    <w:rsid w:val="0026552D"/>
    <w:rsid w:val="00266C3D"/>
    <w:rsid w:val="00267389"/>
    <w:rsid w:val="002725CA"/>
    <w:rsid w:val="00273219"/>
    <w:rsid w:val="00280105"/>
    <w:rsid w:val="00280EB7"/>
    <w:rsid w:val="002A11A8"/>
    <w:rsid w:val="002A2E98"/>
    <w:rsid w:val="002A43E5"/>
    <w:rsid w:val="002A5848"/>
    <w:rsid w:val="002A72B0"/>
    <w:rsid w:val="002B1CDA"/>
    <w:rsid w:val="002B5B24"/>
    <w:rsid w:val="002B6CCD"/>
    <w:rsid w:val="002C1C7E"/>
    <w:rsid w:val="002C31EE"/>
    <w:rsid w:val="002C39FF"/>
    <w:rsid w:val="002C50B6"/>
    <w:rsid w:val="002D31F0"/>
    <w:rsid w:val="002D4D3D"/>
    <w:rsid w:val="002D7E83"/>
    <w:rsid w:val="002E01D0"/>
    <w:rsid w:val="002E035F"/>
    <w:rsid w:val="002E0B1B"/>
    <w:rsid w:val="002E0B84"/>
    <w:rsid w:val="002E49A3"/>
    <w:rsid w:val="002E4C77"/>
    <w:rsid w:val="002F544D"/>
    <w:rsid w:val="002F749B"/>
    <w:rsid w:val="003007E3"/>
    <w:rsid w:val="0030282E"/>
    <w:rsid w:val="00302D74"/>
    <w:rsid w:val="003045C4"/>
    <w:rsid w:val="00304E20"/>
    <w:rsid w:val="003065AA"/>
    <w:rsid w:val="00307115"/>
    <w:rsid w:val="003107FA"/>
    <w:rsid w:val="003113A4"/>
    <w:rsid w:val="0031210B"/>
    <w:rsid w:val="0031261E"/>
    <w:rsid w:val="00313AEE"/>
    <w:rsid w:val="00314BF3"/>
    <w:rsid w:val="003207D1"/>
    <w:rsid w:val="003229D8"/>
    <w:rsid w:val="00324F41"/>
    <w:rsid w:val="00325D96"/>
    <w:rsid w:val="003310A6"/>
    <w:rsid w:val="003327D8"/>
    <w:rsid w:val="00336D59"/>
    <w:rsid w:val="0034100F"/>
    <w:rsid w:val="00343C5F"/>
    <w:rsid w:val="0035093F"/>
    <w:rsid w:val="0035378F"/>
    <w:rsid w:val="0036086B"/>
    <w:rsid w:val="00361486"/>
    <w:rsid w:val="00362A80"/>
    <w:rsid w:val="0036414B"/>
    <w:rsid w:val="00366F3D"/>
    <w:rsid w:val="0036710F"/>
    <w:rsid w:val="00386F32"/>
    <w:rsid w:val="0039277A"/>
    <w:rsid w:val="00392B57"/>
    <w:rsid w:val="003972E0"/>
    <w:rsid w:val="003977C2"/>
    <w:rsid w:val="003B02FF"/>
    <w:rsid w:val="003B109A"/>
    <w:rsid w:val="003B53FF"/>
    <w:rsid w:val="003C21DB"/>
    <w:rsid w:val="003C2CC4"/>
    <w:rsid w:val="003C5566"/>
    <w:rsid w:val="003C6103"/>
    <w:rsid w:val="003D4B23"/>
    <w:rsid w:val="003E004F"/>
    <w:rsid w:val="003E16F3"/>
    <w:rsid w:val="003E7707"/>
    <w:rsid w:val="003F43B1"/>
    <w:rsid w:val="003F4773"/>
    <w:rsid w:val="003F561D"/>
    <w:rsid w:val="003F5B51"/>
    <w:rsid w:val="003F7598"/>
    <w:rsid w:val="00405E3C"/>
    <w:rsid w:val="00406185"/>
    <w:rsid w:val="00411BC4"/>
    <w:rsid w:val="00412F27"/>
    <w:rsid w:val="004137A5"/>
    <w:rsid w:val="00414546"/>
    <w:rsid w:val="0042004A"/>
    <w:rsid w:val="0042123B"/>
    <w:rsid w:val="00423F72"/>
    <w:rsid w:val="00426D4A"/>
    <w:rsid w:val="00432011"/>
    <w:rsid w:val="004325CB"/>
    <w:rsid w:val="004345E0"/>
    <w:rsid w:val="00437F3F"/>
    <w:rsid w:val="004420E4"/>
    <w:rsid w:val="00445D73"/>
    <w:rsid w:val="00446DE4"/>
    <w:rsid w:val="00447967"/>
    <w:rsid w:val="00447B86"/>
    <w:rsid w:val="00452D7D"/>
    <w:rsid w:val="00454036"/>
    <w:rsid w:val="004544A2"/>
    <w:rsid w:val="00455263"/>
    <w:rsid w:val="00460958"/>
    <w:rsid w:val="00461C3B"/>
    <w:rsid w:val="00462B5A"/>
    <w:rsid w:val="004645EA"/>
    <w:rsid w:val="00464BB7"/>
    <w:rsid w:val="0047146E"/>
    <w:rsid w:val="00477677"/>
    <w:rsid w:val="004800E7"/>
    <w:rsid w:val="00480B9E"/>
    <w:rsid w:val="00480F56"/>
    <w:rsid w:val="00492426"/>
    <w:rsid w:val="00492832"/>
    <w:rsid w:val="004962B4"/>
    <w:rsid w:val="00496FCF"/>
    <w:rsid w:val="0049730E"/>
    <w:rsid w:val="004A143F"/>
    <w:rsid w:val="004B01B8"/>
    <w:rsid w:val="004B2C9D"/>
    <w:rsid w:val="004C04BC"/>
    <w:rsid w:val="004C52AC"/>
    <w:rsid w:val="004C74AE"/>
    <w:rsid w:val="004C7C9C"/>
    <w:rsid w:val="004D4897"/>
    <w:rsid w:val="004D574F"/>
    <w:rsid w:val="004D60B4"/>
    <w:rsid w:val="004D631D"/>
    <w:rsid w:val="004E286E"/>
    <w:rsid w:val="004E7252"/>
    <w:rsid w:val="004F44EC"/>
    <w:rsid w:val="004F45B6"/>
    <w:rsid w:val="00504E59"/>
    <w:rsid w:val="005054EE"/>
    <w:rsid w:val="00505F32"/>
    <w:rsid w:val="00511255"/>
    <w:rsid w:val="00517A3F"/>
    <w:rsid w:val="00520033"/>
    <w:rsid w:val="005201AE"/>
    <w:rsid w:val="00520847"/>
    <w:rsid w:val="00523059"/>
    <w:rsid w:val="00523965"/>
    <w:rsid w:val="0052436D"/>
    <w:rsid w:val="00527910"/>
    <w:rsid w:val="005355FB"/>
    <w:rsid w:val="00537105"/>
    <w:rsid w:val="005420F2"/>
    <w:rsid w:val="005436FA"/>
    <w:rsid w:val="0054543E"/>
    <w:rsid w:val="00545561"/>
    <w:rsid w:val="00552424"/>
    <w:rsid w:val="00553A01"/>
    <w:rsid w:val="00557CAC"/>
    <w:rsid w:val="005726B7"/>
    <w:rsid w:val="00575156"/>
    <w:rsid w:val="005761C0"/>
    <w:rsid w:val="00577FFB"/>
    <w:rsid w:val="0058567E"/>
    <w:rsid w:val="00586D1A"/>
    <w:rsid w:val="0058720B"/>
    <w:rsid w:val="00587799"/>
    <w:rsid w:val="00590144"/>
    <w:rsid w:val="00590B7D"/>
    <w:rsid w:val="00592341"/>
    <w:rsid w:val="00597262"/>
    <w:rsid w:val="005A4308"/>
    <w:rsid w:val="005B3DB3"/>
    <w:rsid w:val="005B4DC6"/>
    <w:rsid w:val="005C16E0"/>
    <w:rsid w:val="005C3789"/>
    <w:rsid w:val="005D00D9"/>
    <w:rsid w:val="005D16B7"/>
    <w:rsid w:val="005E4B75"/>
    <w:rsid w:val="005E6081"/>
    <w:rsid w:val="005E64C2"/>
    <w:rsid w:val="005E7E0D"/>
    <w:rsid w:val="005E7EFC"/>
    <w:rsid w:val="005F2A5D"/>
    <w:rsid w:val="00600EA4"/>
    <w:rsid w:val="00602CE8"/>
    <w:rsid w:val="006069EF"/>
    <w:rsid w:val="00610992"/>
    <w:rsid w:val="00610F39"/>
    <w:rsid w:val="00611FC4"/>
    <w:rsid w:val="006120D7"/>
    <w:rsid w:val="006176FB"/>
    <w:rsid w:val="006220BD"/>
    <w:rsid w:val="00623162"/>
    <w:rsid w:val="00623495"/>
    <w:rsid w:val="006234DD"/>
    <w:rsid w:val="0062449B"/>
    <w:rsid w:val="00624DC2"/>
    <w:rsid w:val="006250E3"/>
    <w:rsid w:val="0063419C"/>
    <w:rsid w:val="00640B26"/>
    <w:rsid w:val="00644147"/>
    <w:rsid w:val="00644A62"/>
    <w:rsid w:val="006500BA"/>
    <w:rsid w:val="0065287C"/>
    <w:rsid w:val="00654210"/>
    <w:rsid w:val="006623FD"/>
    <w:rsid w:val="0066601C"/>
    <w:rsid w:val="006700B3"/>
    <w:rsid w:val="006715A1"/>
    <w:rsid w:val="00676D1B"/>
    <w:rsid w:val="006847C1"/>
    <w:rsid w:val="00684E5B"/>
    <w:rsid w:val="006861C4"/>
    <w:rsid w:val="006868CE"/>
    <w:rsid w:val="00687A4F"/>
    <w:rsid w:val="00692A7A"/>
    <w:rsid w:val="00692BBF"/>
    <w:rsid w:val="00693528"/>
    <w:rsid w:val="0069488E"/>
    <w:rsid w:val="00694BDB"/>
    <w:rsid w:val="00694DB9"/>
    <w:rsid w:val="00695339"/>
    <w:rsid w:val="006964E2"/>
    <w:rsid w:val="006A31E7"/>
    <w:rsid w:val="006A4FF4"/>
    <w:rsid w:val="006A7392"/>
    <w:rsid w:val="006B2614"/>
    <w:rsid w:val="006B54B0"/>
    <w:rsid w:val="006B62B2"/>
    <w:rsid w:val="006C0D34"/>
    <w:rsid w:val="006C19F2"/>
    <w:rsid w:val="006C48B4"/>
    <w:rsid w:val="006C7E11"/>
    <w:rsid w:val="006D4BF7"/>
    <w:rsid w:val="006D6AE7"/>
    <w:rsid w:val="006E4568"/>
    <w:rsid w:val="006E564B"/>
    <w:rsid w:val="006F1AFD"/>
    <w:rsid w:val="006F3E5A"/>
    <w:rsid w:val="00703434"/>
    <w:rsid w:val="00703F37"/>
    <w:rsid w:val="00706CF0"/>
    <w:rsid w:val="00713208"/>
    <w:rsid w:val="00714353"/>
    <w:rsid w:val="0071612E"/>
    <w:rsid w:val="007167F8"/>
    <w:rsid w:val="007215CA"/>
    <w:rsid w:val="00723646"/>
    <w:rsid w:val="00723DD2"/>
    <w:rsid w:val="0072632A"/>
    <w:rsid w:val="00731778"/>
    <w:rsid w:val="00734718"/>
    <w:rsid w:val="00740FD7"/>
    <w:rsid w:val="00742F76"/>
    <w:rsid w:val="007523B9"/>
    <w:rsid w:val="007528A8"/>
    <w:rsid w:val="00753E56"/>
    <w:rsid w:val="00754F8F"/>
    <w:rsid w:val="00756568"/>
    <w:rsid w:val="00757D9F"/>
    <w:rsid w:val="00760C7F"/>
    <w:rsid w:val="00762429"/>
    <w:rsid w:val="00766574"/>
    <w:rsid w:val="00766662"/>
    <w:rsid w:val="00767E04"/>
    <w:rsid w:val="007735C6"/>
    <w:rsid w:val="00774A3D"/>
    <w:rsid w:val="007760C6"/>
    <w:rsid w:val="007771E7"/>
    <w:rsid w:val="00781C48"/>
    <w:rsid w:val="00781DBA"/>
    <w:rsid w:val="0078662B"/>
    <w:rsid w:val="00787151"/>
    <w:rsid w:val="00790791"/>
    <w:rsid w:val="007907C5"/>
    <w:rsid w:val="00790B4D"/>
    <w:rsid w:val="007911CC"/>
    <w:rsid w:val="0079308F"/>
    <w:rsid w:val="00796199"/>
    <w:rsid w:val="00796FCA"/>
    <w:rsid w:val="007979F3"/>
    <w:rsid w:val="007A6660"/>
    <w:rsid w:val="007B2AE6"/>
    <w:rsid w:val="007B2B56"/>
    <w:rsid w:val="007B6BA5"/>
    <w:rsid w:val="007B74E5"/>
    <w:rsid w:val="007C3390"/>
    <w:rsid w:val="007C4F4B"/>
    <w:rsid w:val="007C7159"/>
    <w:rsid w:val="007D0EB9"/>
    <w:rsid w:val="007D3710"/>
    <w:rsid w:val="007E2266"/>
    <w:rsid w:val="007E25DE"/>
    <w:rsid w:val="007E650F"/>
    <w:rsid w:val="007E7DDA"/>
    <w:rsid w:val="007E7E3F"/>
    <w:rsid w:val="007F2402"/>
    <w:rsid w:val="007F55FD"/>
    <w:rsid w:val="007F6611"/>
    <w:rsid w:val="00801547"/>
    <w:rsid w:val="00801882"/>
    <w:rsid w:val="008028C7"/>
    <w:rsid w:val="008078B8"/>
    <w:rsid w:val="008175E9"/>
    <w:rsid w:val="00820C9B"/>
    <w:rsid w:val="008229C9"/>
    <w:rsid w:val="00823A99"/>
    <w:rsid w:val="008242D7"/>
    <w:rsid w:val="00827667"/>
    <w:rsid w:val="008309A5"/>
    <w:rsid w:val="00832A9A"/>
    <w:rsid w:val="00832CCE"/>
    <w:rsid w:val="0085128E"/>
    <w:rsid w:val="008555F2"/>
    <w:rsid w:val="00857F8E"/>
    <w:rsid w:val="008644B5"/>
    <w:rsid w:val="00871FD5"/>
    <w:rsid w:val="00873CC0"/>
    <w:rsid w:val="00880BCA"/>
    <w:rsid w:val="00886778"/>
    <w:rsid w:val="0089622B"/>
    <w:rsid w:val="008979B1"/>
    <w:rsid w:val="008A6B25"/>
    <w:rsid w:val="008A6C4F"/>
    <w:rsid w:val="008B42EC"/>
    <w:rsid w:val="008B57C5"/>
    <w:rsid w:val="008B5AD2"/>
    <w:rsid w:val="008B7671"/>
    <w:rsid w:val="008C4BA9"/>
    <w:rsid w:val="008D33EE"/>
    <w:rsid w:val="008D4349"/>
    <w:rsid w:val="008D7089"/>
    <w:rsid w:val="008D7684"/>
    <w:rsid w:val="008E0E46"/>
    <w:rsid w:val="008F16EF"/>
    <w:rsid w:val="008F3A21"/>
    <w:rsid w:val="008F7198"/>
    <w:rsid w:val="009027C8"/>
    <w:rsid w:val="00905C17"/>
    <w:rsid w:val="00911775"/>
    <w:rsid w:val="00915907"/>
    <w:rsid w:val="009203DB"/>
    <w:rsid w:val="00931595"/>
    <w:rsid w:val="009359B7"/>
    <w:rsid w:val="00936083"/>
    <w:rsid w:val="0094224B"/>
    <w:rsid w:val="00943370"/>
    <w:rsid w:val="00944344"/>
    <w:rsid w:val="00945A5D"/>
    <w:rsid w:val="0095044B"/>
    <w:rsid w:val="009504E5"/>
    <w:rsid w:val="00955D36"/>
    <w:rsid w:val="00960293"/>
    <w:rsid w:val="00963CBA"/>
    <w:rsid w:val="009660D3"/>
    <w:rsid w:val="009667C3"/>
    <w:rsid w:val="00972515"/>
    <w:rsid w:val="00980555"/>
    <w:rsid w:val="00980BA4"/>
    <w:rsid w:val="0099124E"/>
    <w:rsid w:val="00991261"/>
    <w:rsid w:val="00992928"/>
    <w:rsid w:val="0099739B"/>
    <w:rsid w:val="009A0CCA"/>
    <w:rsid w:val="009A2A17"/>
    <w:rsid w:val="009B1FCB"/>
    <w:rsid w:val="009B36B1"/>
    <w:rsid w:val="009C3671"/>
    <w:rsid w:val="009C5E41"/>
    <w:rsid w:val="009C6AA8"/>
    <w:rsid w:val="009C6AEC"/>
    <w:rsid w:val="009D47CE"/>
    <w:rsid w:val="009D57DC"/>
    <w:rsid w:val="009D6AAE"/>
    <w:rsid w:val="009D7C04"/>
    <w:rsid w:val="009E07F3"/>
    <w:rsid w:val="009E1FFD"/>
    <w:rsid w:val="009E3D2F"/>
    <w:rsid w:val="009F0508"/>
    <w:rsid w:val="009F0F06"/>
    <w:rsid w:val="009F2D77"/>
    <w:rsid w:val="00A1306F"/>
    <w:rsid w:val="00A1424E"/>
    <w:rsid w:val="00A1427D"/>
    <w:rsid w:val="00A17A84"/>
    <w:rsid w:val="00A209EB"/>
    <w:rsid w:val="00A23AD3"/>
    <w:rsid w:val="00A243A4"/>
    <w:rsid w:val="00A33C0C"/>
    <w:rsid w:val="00A4133A"/>
    <w:rsid w:val="00A4528A"/>
    <w:rsid w:val="00A46900"/>
    <w:rsid w:val="00A47C68"/>
    <w:rsid w:val="00A523CD"/>
    <w:rsid w:val="00A575B7"/>
    <w:rsid w:val="00A650BC"/>
    <w:rsid w:val="00A70FBE"/>
    <w:rsid w:val="00A719BB"/>
    <w:rsid w:val="00A71E9E"/>
    <w:rsid w:val="00A72F22"/>
    <w:rsid w:val="00A746D0"/>
    <w:rsid w:val="00A748A6"/>
    <w:rsid w:val="00A75EC9"/>
    <w:rsid w:val="00A81A51"/>
    <w:rsid w:val="00A83E8F"/>
    <w:rsid w:val="00A85CE2"/>
    <w:rsid w:val="00A86A59"/>
    <w:rsid w:val="00A879A4"/>
    <w:rsid w:val="00A95B60"/>
    <w:rsid w:val="00AA086A"/>
    <w:rsid w:val="00AA255E"/>
    <w:rsid w:val="00AA3259"/>
    <w:rsid w:val="00AB33F7"/>
    <w:rsid w:val="00AB5B75"/>
    <w:rsid w:val="00AB5F1C"/>
    <w:rsid w:val="00AC0B01"/>
    <w:rsid w:val="00AC0F0F"/>
    <w:rsid w:val="00AC1437"/>
    <w:rsid w:val="00AC7BAB"/>
    <w:rsid w:val="00AE14FD"/>
    <w:rsid w:val="00AE15DC"/>
    <w:rsid w:val="00AE1EFD"/>
    <w:rsid w:val="00AE2E7A"/>
    <w:rsid w:val="00AE3276"/>
    <w:rsid w:val="00AE48EB"/>
    <w:rsid w:val="00AE737D"/>
    <w:rsid w:val="00AF36F5"/>
    <w:rsid w:val="00B10932"/>
    <w:rsid w:val="00B15BBF"/>
    <w:rsid w:val="00B1765A"/>
    <w:rsid w:val="00B30179"/>
    <w:rsid w:val="00B326C3"/>
    <w:rsid w:val="00B3317B"/>
    <w:rsid w:val="00B347AE"/>
    <w:rsid w:val="00B45F8C"/>
    <w:rsid w:val="00B509EA"/>
    <w:rsid w:val="00B62775"/>
    <w:rsid w:val="00B808E4"/>
    <w:rsid w:val="00B81E12"/>
    <w:rsid w:val="00B86229"/>
    <w:rsid w:val="00B87CDF"/>
    <w:rsid w:val="00B92AE4"/>
    <w:rsid w:val="00B93068"/>
    <w:rsid w:val="00B93A09"/>
    <w:rsid w:val="00BA0B17"/>
    <w:rsid w:val="00BA1C8B"/>
    <w:rsid w:val="00BA270E"/>
    <w:rsid w:val="00BB08BA"/>
    <w:rsid w:val="00BB1138"/>
    <w:rsid w:val="00BB7BBB"/>
    <w:rsid w:val="00BB7EA7"/>
    <w:rsid w:val="00BC03A3"/>
    <w:rsid w:val="00BC1A2E"/>
    <w:rsid w:val="00BC74E9"/>
    <w:rsid w:val="00BD3815"/>
    <w:rsid w:val="00BD50CF"/>
    <w:rsid w:val="00BD6746"/>
    <w:rsid w:val="00BD790F"/>
    <w:rsid w:val="00BE0E4C"/>
    <w:rsid w:val="00BE18CC"/>
    <w:rsid w:val="00BE409E"/>
    <w:rsid w:val="00BE565D"/>
    <w:rsid w:val="00BE618E"/>
    <w:rsid w:val="00BF0A10"/>
    <w:rsid w:val="00BF252E"/>
    <w:rsid w:val="00BF4D09"/>
    <w:rsid w:val="00BF4E49"/>
    <w:rsid w:val="00C024CA"/>
    <w:rsid w:val="00C11334"/>
    <w:rsid w:val="00C140EE"/>
    <w:rsid w:val="00C155C9"/>
    <w:rsid w:val="00C201A3"/>
    <w:rsid w:val="00C26DFA"/>
    <w:rsid w:val="00C27477"/>
    <w:rsid w:val="00C27632"/>
    <w:rsid w:val="00C306AC"/>
    <w:rsid w:val="00C3356A"/>
    <w:rsid w:val="00C429BE"/>
    <w:rsid w:val="00C463DD"/>
    <w:rsid w:val="00C4749D"/>
    <w:rsid w:val="00C502A4"/>
    <w:rsid w:val="00C52F16"/>
    <w:rsid w:val="00C53972"/>
    <w:rsid w:val="00C627D3"/>
    <w:rsid w:val="00C62F76"/>
    <w:rsid w:val="00C67A5F"/>
    <w:rsid w:val="00C70453"/>
    <w:rsid w:val="00C70FF3"/>
    <w:rsid w:val="00C73CF5"/>
    <w:rsid w:val="00C740E4"/>
    <w:rsid w:val="00C745C3"/>
    <w:rsid w:val="00C74F57"/>
    <w:rsid w:val="00C83FAC"/>
    <w:rsid w:val="00C8442A"/>
    <w:rsid w:val="00C8475A"/>
    <w:rsid w:val="00C93440"/>
    <w:rsid w:val="00C95089"/>
    <w:rsid w:val="00C97FC3"/>
    <w:rsid w:val="00CA698B"/>
    <w:rsid w:val="00CB42D6"/>
    <w:rsid w:val="00CB7A6C"/>
    <w:rsid w:val="00CC503F"/>
    <w:rsid w:val="00CD3225"/>
    <w:rsid w:val="00CD42C6"/>
    <w:rsid w:val="00CD570D"/>
    <w:rsid w:val="00CD59C7"/>
    <w:rsid w:val="00CD6D47"/>
    <w:rsid w:val="00CD6DB5"/>
    <w:rsid w:val="00CE2396"/>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1A19"/>
    <w:rsid w:val="00D43252"/>
    <w:rsid w:val="00D4587D"/>
    <w:rsid w:val="00D46643"/>
    <w:rsid w:val="00D4696D"/>
    <w:rsid w:val="00D53132"/>
    <w:rsid w:val="00D56680"/>
    <w:rsid w:val="00D603A9"/>
    <w:rsid w:val="00D6056C"/>
    <w:rsid w:val="00D610B6"/>
    <w:rsid w:val="00D620B9"/>
    <w:rsid w:val="00D71F9A"/>
    <w:rsid w:val="00D72550"/>
    <w:rsid w:val="00D753D8"/>
    <w:rsid w:val="00D81B39"/>
    <w:rsid w:val="00D87F6D"/>
    <w:rsid w:val="00D9252E"/>
    <w:rsid w:val="00D92AA9"/>
    <w:rsid w:val="00D942C2"/>
    <w:rsid w:val="00D96CC5"/>
    <w:rsid w:val="00D978C6"/>
    <w:rsid w:val="00DA3D54"/>
    <w:rsid w:val="00DA67AD"/>
    <w:rsid w:val="00DA7807"/>
    <w:rsid w:val="00DB2AEF"/>
    <w:rsid w:val="00DB30DC"/>
    <w:rsid w:val="00DB7C45"/>
    <w:rsid w:val="00DC0378"/>
    <w:rsid w:val="00DC3E5A"/>
    <w:rsid w:val="00DC6BF2"/>
    <w:rsid w:val="00DD217B"/>
    <w:rsid w:val="00DD44FB"/>
    <w:rsid w:val="00DD7BE3"/>
    <w:rsid w:val="00DE0FD9"/>
    <w:rsid w:val="00DE38EC"/>
    <w:rsid w:val="00DE5FB9"/>
    <w:rsid w:val="00DE7C71"/>
    <w:rsid w:val="00DE7E86"/>
    <w:rsid w:val="00DF22D5"/>
    <w:rsid w:val="00DF4C3C"/>
    <w:rsid w:val="00DF5494"/>
    <w:rsid w:val="00DF70FB"/>
    <w:rsid w:val="00E0259F"/>
    <w:rsid w:val="00E04B26"/>
    <w:rsid w:val="00E07CE1"/>
    <w:rsid w:val="00E07FDF"/>
    <w:rsid w:val="00E10DB6"/>
    <w:rsid w:val="00E130AB"/>
    <w:rsid w:val="00E161D7"/>
    <w:rsid w:val="00E17189"/>
    <w:rsid w:val="00E22448"/>
    <w:rsid w:val="00E25509"/>
    <w:rsid w:val="00E41514"/>
    <w:rsid w:val="00E42111"/>
    <w:rsid w:val="00E45FAF"/>
    <w:rsid w:val="00E464E9"/>
    <w:rsid w:val="00E46B58"/>
    <w:rsid w:val="00E50122"/>
    <w:rsid w:val="00E51A80"/>
    <w:rsid w:val="00E53D59"/>
    <w:rsid w:val="00E5644E"/>
    <w:rsid w:val="00E60BC4"/>
    <w:rsid w:val="00E611F5"/>
    <w:rsid w:val="00E61BF1"/>
    <w:rsid w:val="00E62E59"/>
    <w:rsid w:val="00E70EBC"/>
    <w:rsid w:val="00E7260F"/>
    <w:rsid w:val="00E746F3"/>
    <w:rsid w:val="00E8449A"/>
    <w:rsid w:val="00E8535A"/>
    <w:rsid w:val="00E8631A"/>
    <w:rsid w:val="00E91C51"/>
    <w:rsid w:val="00E92C7F"/>
    <w:rsid w:val="00E9395E"/>
    <w:rsid w:val="00E96630"/>
    <w:rsid w:val="00E9678C"/>
    <w:rsid w:val="00EA6DDC"/>
    <w:rsid w:val="00EA772F"/>
    <w:rsid w:val="00EB2AE2"/>
    <w:rsid w:val="00EB6832"/>
    <w:rsid w:val="00EB6EE7"/>
    <w:rsid w:val="00EC04D8"/>
    <w:rsid w:val="00ED30E9"/>
    <w:rsid w:val="00ED4C0B"/>
    <w:rsid w:val="00ED6653"/>
    <w:rsid w:val="00ED7A2A"/>
    <w:rsid w:val="00EE257F"/>
    <w:rsid w:val="00EE4966"/>
    <w:rsid w:val="00EF1AF5"/>
    <w:rsid w:val="00EF1D7F"/>
    <w:rsid w:val="00EF22F4"/>
    <w:rsid w:val="00EF2B23"/>
    <w:rsid w:val="00EF582C"/>
    <w:rsid w:val="00EF5A8D"/>
    <w:rsid w:val="00F0002D"/>
    <w:rsid w:val="00F1272B"/>
    <w:rsid w:val="00F1629C"/>
    <w:rsid w:val="00F173DD"/>
    <w:rsid w:val="00F21597"/>
    <w:rsid w:val="00F2784E"/>
    <w:rsid w:val="00F3006C"/>
    <w:rsid w:val="00F3171A"/>
    <w:rsid w:val="00F350A9"/>
    <w:rsid w:val="00F40E75"/>
    <w:rsid w:val="00F42B81"/>
    <w:rsid w:val="00F43364"/>
    <w:rsid w:val="00F438AA"/>
    <w:rsid w:val="00F441D1"/>
    <w:rsid w:val="00F50AA7"/>
    <w:rsid w:val="00F5110C"/>
    <w:rsid w:val="00F51169"/>
    <w:rsid w:val="00F5307C"/>
    <w:rsid w:val="00F54674"/>
    <w:rsid w:val="00F547C2"/>
    <w:rsid w:val="00F63B80"/>
    <w:rsid w:val="00F65530"/>
    <w:rsid w:val="00F6717A"/>
    <w:rsid w:val="00F70F80"/>
    <w:rsid w:val="00F7751B"/>
    <w:rsid w:val="00F80AB9"/>
    <w:rsid w:val="00F83AF1"/>
    <w:rsid w:val="00F92F8C"/>
    <w:rsid w:val="00F9483C"/>
    <w:rsid w:val="00FA5D55"/>
    <w:rsid w:val="00FA6195"/>
    <w:rsid w:val="00FA7DFD"/>
    <w:rsid w:val="00FB51BA"/>
    <w:rsid w:val="00FB5F72"/>
    <w:rsid w:val="00FB61D6"/>
    <w:rsid w:val="00FC318E"/>
    <w:rsid w:val="00FC4EFC"/>
    <w:rsid w:val="00FC5F5D"/>
    <w:rsid w:val="00FC68B7"/>
    <w:rsid w:val="00FD104C"/>
    <w:rsid w:val="00FD1110"/>
    <w:rsid w:val="00FD20F3"/>
    <w:rsid w:val="00FD3402"/>
    <w:rsid w:val="00FD4900"/>
    <w:rsid w:val="00FD50F3"/>
    <w:rsid w:val="00FD5B15"/>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4E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lang w:val="x-none"/>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paragraph" w:styleId="CommentSubject">
    <w:name w:val="annotation subject"/>
    <w:basedOn w:val="CommentText"/>
    <w:next w:val="CommentText"/>
    <w:link w:val="CommentSubjectChar"/>
    <w:rsid w:val="00F70F80"/>
    <w:rPr>
      <w:b/>
      <w:bCs/>
    </w:rPr>
  </w:style>
  <w:style w:type="character" w:customStyle="1" w:styleId="CommentTextChar">
    <w:name w:val="Comment Text Char"/>
    <w:link w:val="CommentText"/>
    <w:semiHidden/>
    <w:rsid w:val="00F70F80"/>
    <w:rPr>
      <w:lang w:val="en-GB" w:eastAsia="en-US"/>
    </w:rPr>
  </w:style>
  <w:style w:type="character" w:customStyle="1" w:styleId="CommentSubjectChar">
    <w:name w:val="Comment Subject Char"/>
    <w:link w:val="CommentSubject"/>
    <w:rsid w:val="00F70F80"/>
    <w:rPr>
      <w:b/>
      <w:bCs/>
      <w:lang w:val="en-GB" w:eastAsia="en-US"/>
    </w:rPr>
  </w:style>
  <w:style w:type="paragraph" w:styleId="ListParagraph">
    <w:name w:val="List Paragraph"/>
    <w:basedOn w:val="Normal"/>
    <w:uiPriority w:val="34"/>
    <w:qFormat/>
    <w:rsid w:val="00FD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2222</Words>
  <Characters>12667</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2016-05-12T12:26:00Z</cp:lastPrinted>
  <dcterms:created xsi:type="dcterms:W3CDTF">2016-05-12T07:04:00Z</dcterms:created>
  <dcterms:modified xsi:type="dcterms:W3CDTF">2016-05-12T12:26:00Z</dcterms:modified>
</cp:coreProperties>
</file>