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9E7B0D" w:rsidTr="008B2E94">
        <w:trPr>
          <w:cantSplit/>
          <w:trHeight w:hRule="exact" w:val="993"/>
        </w:trPr>
        <w:tc>
          <w:tcPr>
            <w:tcW w:w="9639" w:type="dxa"/>
            <w:tcBorders>
              <w:bottom w:val="single" w:sz="4" w:space="0" w:color="auto"/>
            </w:tcBorders>
            <w:shd w:val="clear" w:color="auto" w:fill="FFFFFF"/>
            <w:vAlign w:val="bottom"/>
          </w:tcPr>
          <w:p w:rsidR="00280D2B" w:rsidRPr="00E93F14" w:rsidRDefault="009E7B0D" w:rsidP="00E93F14">
            <w:pPr>
              <w:jc w:val="right"/>
              <w:rPr>
                <w:b/>
                <w:sz w:val="40"/>
                <w:szCs w:val="40"/>
                <w:lang w:val="fr-CA"/>
              </w:rPr>
            </w:pPr>
            <w:r w:rsidRPr="00B7240B">
              <w:rPr>
                <w:b/>
                <w:sz w:val="40"/>
                <w:szCs w:val="40"/>
                <w:lang w:val="fr-CA"/>
              </w:rPr>
              <w:t>UN/SCETDG/49/INF.</w:t>
            </w:r>
            <w:r w:rsidR="00E93F14">
              <w:rPr>
                <w:b/>
                <w:sz w:val="40"/>
                <w:szCs w:val="40"/>
                <w:lang w:val="fr-CA"/>
              </w:rPr>
              <w:t>10</w:t>
            </w:r>
            <w:r w:rsidR="00AD748C">
              <w:rPr>
                <w:b/>
                <w:sz w:val="40"/>
                <w:szCs w:val="40"/>
                <w:lang w:val="fr-CA"/>
              </w:rPr>
              <w:t>(F)</w:t>
            </w:r>
          </w:p>
        </w:tc>
      </w:tr>
    </w:tbl>
    <w:tbl>
      <w:tblPr>
        <w:tblW w:w="9645" w:type="dxa"/>
        <w:tblInd w:w="108" w:type="dxa"/>
        <w:tblLayout w:type="fixed"/>
        <w:tblLook w:val="04A0" w:firstRow="1" w:lastRow="0" w:firstColumn="1" w:lastColumn="0" w:noHBand="0" w:noVBand="1"/>
      </w:tblPr>
      <w:tblGrid>
        <w:gridCol w:w="4536"/>
        <w:gridCol w:w="5109"/>
      </w:tblGrid>
      <w:tr w:rsidR="000A1D9E" w:rsidRPr="009E7B0D" w:rsidTr="008B2E94">
        <w:tc>
          <w:tcPr>
            <w:tcW w:w="9645" w:type="dxa"/>
            <w:gridSpan w:val="2"/>
            <w:tcMar>
              <w:top w:w="142" w:type="dxa"/>
              <w:left w:w="108" w:type="dxa"/>
              <w:bottom w:w="142" w:type="dxa"/>
              <w:right w:w="108" w:type="dxa"/>
            </w:tcMar>
          </w:tcPr>
          <w:p w:rsidR="00D77FB6" w:rsidRPr="000A1D9E" w:rsidRDefault="003460C7" w:rsidP="00E93F14">
            <w:pPr>
              <w:tabs>
                <w:tab w:val="right" w:pos="9214"/>
              </w:tabs>
              <w:rPr>
                <w:b/>
                <w:lang w:val="fr-CA"/>
              </w:rPr>
            </w:pPr>
            <w:r w:rsidRPr="000A1D9E">
              <w:rPr>
                <w:b/>
                <w:sz w:val="24"/>
                <w:szCs w:val="24"/>
                <w:lang w:val="fr-CA"/>
              </w:rPr>
              <w:t xml:space="preserve">Comité d'experts du transport des </w:t>
            </w:r>
            <w:r w:rsidR="00972910" w:rsidRPr="000A1D9E">
              <w:rPr>
                <w:b/>
                <w:sz w:val="24"/>
                <w:szCs w:val="24"/>
                <w:lang w:val="fr-CA"/>
              </w:rPr>
              <w:t xml:space="preserve">marchandises dangereuses </w:t>
            </w:r>
            <w:r w:rsidR="005702E7">
              <w:rPr>
                <w:b/>
                <w:sz w:val="24"/>
                <w:szCs w:val="24"/>
                <w:lang w:val="fr-CA"/>
              </w:rPr>
              <w:br/>
            </w:r>
            <w:r w:rsidR="00972910" w:rsidRPr="000A1D9E">
              <w:rPr>
                <w:b/>
                <w:sz w:val="24"/>
                <w:szCs w:val="24"/>
                <w:lang w:val="fr-CA"/>
              </w:rPr>
              <w:t>et du S</w:t>
            </w:r>
            <w:r w:rsidRPr="000A1D9E">
              <w:rPr>
                <w:b/>
                <w:sz w:val="24"/>
                <w:szCs w:val="24"/>
                <w:lang w:val="fr-CA"/>
              </w:rPr>
              <w:t xml:space="preserve">ystème général harmonisé de classification et </w:t>
            </w:r>
            <w:r w:rsidR="005702E7">
              <w:rPr>
                <w:b/>
                <w:sz w:val="24"/>
                <w:szCs w:val="24"/>
                <w:lang w:val="fr-CA"/>
              </w:rPr>
              <w:br/>
            </w:r>
            <w:r w:rsidRPr="000A1D9E">
              <w:rPr>
                <w:b/>
                <w:sz w:val="24"/>
                <w:szCs w:val="24"/>
                <w:lang w:val="fr-CA"/>
              </w:rPr>
              <w:t>d'étiquetage des produits chimiques</w:t>
            </w:r>
            <w:r w:rsidR="005702E7">
              <w:rPr>
                <w:b/>
                <w:sz w:val="24"/>
                <w:szCs w:val="24"/>
                <w:lang w:val="fr-CA"/>
              </w:rPr>
              <w:tab/>
            </w:r>
            <w:r w:rsidR="00765640">
              <w:rPr>
                <w:b/>
                <w:lang w:val="fr-CA"/>
              </w:rPr>
              <w:t>12</w:t>
            </w:r>
            <w:r w:rsidR="00E93F14">
              <w:rPr>
                <w:b/>
                <w:lang w:val="fr-CA"/>
              </w:rPr>
              <w:t xml:space="preserve"> May</w:t>
            </w:r>
            <w:r w:rsidR="00FF739D" w:rsidRPr="000A1D9E">
              <w:rPr>
                <w:b/>
                <w:lang w:val="fr-CA"/>
              </w:rPr>
              <w:t> </w:t>
            </w:r>
            <w:r w:rsidR="00DF2D86" w:rsidRPr="000A1D9E">
              <w:rPr>
                <w:b/>
                <w:lang w:val="fr-CA"/>
              </w:rPr>
              <w:t>2016</w:t>
            </w:r>
          </w:p>
        </w:tc>
      </w:tr>
      <w:tr w:rsidR="000A1D9E" w:rsidRPr="009E7B0D" w:rsidTr="008B2E94">
        <w:tc>
          <w:tcPr>
            <w:tcW w:w="4536" w:type="dxa"/>
            <w:tcMar>
              <w:top w:w="57" w:type="dxa"/>
              <w:left w:w="108" w:type="dxa"/>
              <w:bottom w:w="0" w:type="dxa"/>
              <w:right w:w="108" w:type="dxa"/>
            </w:tcMar>
          </w:tcPr>
          <w:p w:rsidR="00280D2B" w:rsidRPr="000A1D9E" w:rsidRDefault="003460C7">
            <w:pPr>
              <w:spacing w:before="120"/>
              <w:rPr>
                <w:b/>
                <w:highlight w:val="green"/>
                <w:lang w:val="fr-CA"/>
              </w:rPr>
            </w:pPr>
            <w:r w:rsidRPr="000A1D9E">
              <w:rPr>
                <w:b/>
                <w:lang w:val="fr-CA"/>
              </w:rPr>
              <w:t>Sous-Comité d’experts du transport des marchandises dangereuses</w:t>
            </w:r>
            <w:r w:rsidR="00280D2B" w:rsidRPr="000A1D9E">
              <w:rPr>
                <w:b/>
                <w:highlight w:val="green"/>
                <w:lang w:val="fr-CA"/>
              </w:rPr>
              <w:t xml:space="preserve"> </w:t>
            </w:r>
          </w:p>
        </w:tc>
        <w:tc>
          <w:tcPr>
            <w:tcW w:w="5109" w:type="dxa"/>
            <w:tcMar>
              <w:top w:w="57" w:type="dxa"/>
              <w:left w:w="108" w:type="dxa"/>
              <w:bottom w:w="0" w:type="dxa"/>
              <w:right w:w="108" w:type="dxa"/>
            </w:tcMar>
          </w:tcPr>
          <w:p w:rsidR="00280D2B" w:rsidRPr="000A1D9E" w:rsidRDefault="00280D2B">
            <w:pPr>
              <w:spacing w:before="120"/>
              <w:rPr>
                <w:b/>
                <w:highlight w:val="lightGray"/>
                <w:lang w:val="fr-CA"/>
              </w:rPr>
            </w:pPr>
          </w:p>
        </w:tc>
      </w:tr>
      <w:tr w:rsidR="000A1D9E" w:rsidRPr="000A1D9E" w:rsidTr="008B2E94">
        <w:tc>
          <w:tcPr>
            <w:tcW w:w="4536" w:type="dxa"/>
            <w:tcMar>
              <w:top w:w="57" w:type="dxa"/>
              <w:left w:w="108" w:type="dxa"/>
              <w:bottom w:w="0" w:type="dxa"/>
              <w:right w:w="108" w:type="dxa"/>
            </w:tcMar>
          </w:tcPr>
          <w:p w:rsidR="00280D2B" w:rsidRPr="000A1D9E" w:rsidRDefault="003460C7" w:rsidP="00D77FB6">
            <w:pPr>
              <w:spacing w:before="120"/>
              <w:ind w:left="34" w:hanging="34"/>
              <w:rPr>
                <w:b/>
                <w:lang w:val="fr-CA"/>
              </w:rPr>
            </w:pPr>
            <w:r w:rsidRPr="000A1D9E">
              <w:rPr>
                <w:b/>
                <w:lang w:val="fr-CA"/>
              </w:rPr>
              <w:t>Quarante-neuvième session</w:t>
            </w:r>
          </w:p>
        </w:tc>
        <w:tc>
          <w:tcPr>
            <w:tcW w:w="5109" w:type="dxa"/>
            <w:tcMar>
              <w:top w:w="57" w:type="dxa"/>
              <w:left w:w="108" w:type="dxa"/>
              <w:bottom w:w="0" w:type="dxa"/>
              <w:right w:w="108" w:type="dxa"/>
            </w:tcMar>
          </w:tcPr>
          <w:p w:rsidR="00280D2B" w:rsidRPr="000A1D9E" w:rsidRDefault="00280D2B" w:rsidP="00D77FB6">
            <w:pPr>
              <w:spacing w:before="120"/>
              <w:rPr>
                <w:b/>
                <w:lang w:val="fr-CA"/>
              </w:rPr>
            </w:pPr>
          </w:p>
        </w:tc>
      </w:tr>
      <w:tr w:rsidR="000A1D9E" w:rsidRPr="009E7B0D" w:rsidTr="008B2E94">
        <w:tc>
          <w:tcPr>
            <w:tcW w:w="4536" w:type="dxa"/>
            <w:tcMar>
              <w:top w:w="57" w:type="dxa"/>
              <w:left w:w="108" w:type="dxa"/>
              <w:bottom w:w="0" w:type="dxa"/>
              <w:right w:w="108" w:type="dxa"/>
            </w:tcMar>
          </w:tcPr>
          <w:p w:rsidR="00280D2B" w:rsidRPr="000A1D9E" w:rsidRDefault="003460C7">
            <w:pPr>
              <w:spacing w:before="120"/>
              <w:ind w:left="34" w:hanging="34"/>
              <w:rPr>
                <w:lang w:val="fr-CA"/>
              </w:rPr>
            </w:pPr>
            <w:r w:rsidRPr="000A1D9E">
              <w:rPr>
                <w:lang w:val="fr-CA"/>
              </w:rPr>
              <w:t>Genève</w:t>
            </w:r>
            <w:r w:rsidR="00280D2B" w:rsidRPr="000A1D9E">
              <w:rPr>
                <w:lang w:val="fr-CA"/>
              </w:rPr>
              <w:t xml:space="preserve">, </w:t>
            </w:r>
            <w:r w:rsidR="00FF739D" w:rsidRPr="000A1D9E">
              <w:rPr>
                <w:lang w:val="fr-CA"/>
              </w:rPr>
              <w:t>27 </w:t>
            </w:r>
            <w:r w:rsidRPr="000A1D9E">
              <w:rPr>
                <w:lang w:val="fr-CA"/>
              </w:rPr>
              <w:t xml:space="preserve">juin </w:t>
            </w:r>
            <w:r w:rsidR="005702E7">
              <w:rPr>
                <w:lang w:val="fr-CA"/>
              </w:rPr>
              <w:t>–</w:t>
            </w:r>
            <w:r w:rsidR="00280D2B" w:rsidRPr="000A1D9E">
              <w:rPr>
                <w:lang w:val="fr-CA"/>
              </w:rPr>
              <w:t xml:space="preserve"> </w:t>
            </w:r>
            <w:r w:rsidR="00FF739D" w:rsidRPr="000A1D9E">
              <w:rPr>
                <w:lang w:val="fr-CA"/>
              </w:rPr>
              <w:t>6 </w:t>
            </w:r>
            <w:r w:rsidRPr="000A1D9E">
              <w:rPr>
                <w:lang w:val="fr-CA"/>
              </w:rPr>
              <w:t>juillet</w:t>
            </w:r>
            <w:r w:rsidR="00FF739D" w:rsidRPr="000A1D9E">
              <w:rPr>
                <w:lang w:val="fr-CA"/>
              </w:rPr>
              <w:t> </w:t>
            </w:r>
            <w:r w:rsidR="00D77FB6" w:rsidRPr="000A1D9E">
              <w:rPr>
                <w:lang w:val="fr-CA"/>
              </w:rPr>
              <w:t>2016</w:t>
            </w:r>
          </w:p>
          <w:p w:rsidR="003460C7" w:rsidRPr="000A1D9E" w:rsidRDefault="00972910">
            <w:pPr>
              <w:ind w:left="34" w:hanging="34"/>
              <w:rPr>
                <w:lang w:val="fr-CA"/>
              </w:rPr>
            </w:pPr>
            <w:r w:rsidRPr="000A1D9E">
              <w:rPr>
                <w:lang w:val="fr-CA"/>
              </w:rPr>
              <w:t xml:space="preserve">Point </w:t>
            </w:r>
            <w:r w:rsidR="00E93F14">
              <w:rPr>
                <w:lang w:val="fr-CA"/>
              </w:rPr>
              <w:t>3</w:t>
            </w:r>
            <w:r w:rsidR="00C90686">
              <w:rPr>
                <w:lang w:val="fr-CA"/>
              </w:rPr>
              <w:t xml:space="preserve"> de</w:t>
            </w:r>
            <w:bookmarkStart w:id="0" w:name="_GoBack"/>
            <w:bookmarkEnd w:id="0"/>
            <w:r w:rsidR="003460C7" w:rsidRPr="000A1D9E">
              <w:rPr>
                <w:lang w:val="fr-CA"/>
              </w:rPr>
              <w:t xml:space="preserve"> l’ordre du jour provisoire</w:t>
            </w:r>
          </w:p>
          <w:p w:rsidR="005149A9" w:rsidRPr="00E93F14" w:rsidRDefault="00E93F14" w:rsidP="00BB0C58">
            <w:pPr>
              <w:spacing w:after="120"/>
              <w:ind w:left="-11" w:firstLine="11"/>
              <w:rPr>
                <w:b/>
                <w:highlight w:val="lightGray"/>
                <w:lang w:val="fr-CA"/>
              </w:rPr>
            </w:pPr>
            <w:r w:rsidRPr="00E93F14">
              <w:rPr>
                <w:b/>
                <w:lang w:val="fr-FR"/>
              </w:rPr>
              <w:t>Inscription, classement et emballage</w:t>
            </w:r>
          </w:p>
        </w:tc>
        <w:tc>
          <w:tcPr>
            <w:tcW w:w="5109" w:type="dxa"/>
            <w:tcMar>
              <w:top w:w="57" w:type="dxa"/>
              <w:left w:w="108" w:type="dxa"/>
              <w:bottom w:w="0" w:type="dxa"/>
              <w:right w:w="108" w:type="dxa"/>
            </w:tcMar>
          </w:tcPr>
          <w:p w:rsidR="00280D2B" w:rsidRPr="000A1D9E" w:rsidRDefault="00280D2B" w:rsidP="00EB0D77">
            <w:pPr>
              <w:rPr>
                <w:b/>
                <w:lang w:val="fr-CA"/>
              </w:rPr>
            </w:pPr>
          </w:p>
        </w:tc>
      </w:tr>
    </w:tbl>
    <w:p w:rsidR="00E93F14" w:rsidRPr="006206CD" w:rsidRDefault="00E93F14" w:rsidP="00E93F14">
      <w:pPr>
        <w:pStyle w:val="HChG"/>
      </w:pPr>
      <w:r>
        <w:tab/>
      </w:r>
      <w:r>
        <w:tab/>
        <w:t>Classification</w:t>
      </w:r>
      <w:r w:rsidRPr="006206CD">
        <w:t xml:space="preserve"> </w:t>
      </w:r>
      <w:proofErr w:type="gramStart"/>
      <w:r w:rsidRPr="006206CD">
        <w:t>et</w:t>
      </w:r>
      <w:proofErr w:type="gramEnd"/>
      <w:r w:rsidRPr="006206CD">
        <w:t xml:space="preserve"> </w:t>
      </w:r>
      <w:proofErr w:type="spellStart"/>
      <w:r w:rsidRPr="006206CD">
        <w:t>emballage</w:t>
      </w:r>
      <w:proofErr w:type="spellEnd"/>
      <w:r w:rsidRPr="006206CD">
        <w:t xml:space="preserve"> des </w:t>
      </w:r>
      <w:proofErr w:type="spellStart"/>
      <w:r w:rsidRPr="006206CD">
        <w:t>déchets</w:t>
      </w:r>
      <w:proofErr w:type="spellEnd"/>
      <w:r w:rsidRPr="006206CD">
        <w:t xml:space="preserve"> </w:t>
      </w:r>
      <w:proofErr w:type="spellStart"/>
      <w:r w:rsidRPr="006206CD">
        <w:t>infectieux</w:t>
      </w:r>
      <w:proofErr w:type="spellEnd"/>
      <w:r w:rsidRPr="006206CD">
        <w:t xml:space="preserve"> de </w:t>
      </w:r>
      <w:proofErr w:type="spellStart"/>
      <w:r w:rsidRPr="006206CD">
        <w:t>catégorie</w:t>
      </w:r>
      <w:proofErr w:type="spellEnd"/>
      <w:r w:rsidRPr="006206CD">
        <w:t> A</w:t>
      </w:r>
    </w:p>
    <w:p w:rsidR="00E93F14" w:rsidRPr="006206CD" w:rsidRDefault="00E93F14" w:rsidP="00E93F14">
      <w:pPr>
        <w:pStyle w:val="H1G"/>
      </w:pPr>
      <w:r>
        <w:tab/>
      </w:r>
      <w:r>
        <w:tab/>
      </w:r>
      <w:r w:rsidRPr="006206CD">
        <w:t xml:space="preserve">Communication de </w:t>
      </w:r>
      <w:proofErr w:type="spellStart"/>
      <w:r w:rsidRPr="006206CD">
        <w:t>l’expert</w:t>
      </w:r>
      <w:proofErr w:type="spellEnd"/>
      <w:r w:rsidRPr="006206CD">
        <w:t xml:space="preserve"> du Canada</w:t>
      </w:r>
    </w:p>
    <w:p w:rsidR="00E93F14" w:rsidRPr="006206CD" w:rsidRDefault="00E93F14" w:rsidP="00E93F14">
      <w:pPr>
        <w:pStyle w:val="HChG"/>
      </w:pPr>
      <w:r>
        <w:tab/>
      </w:r>
      <w:r>
        <w:tab/>
      </w:r>
      <w:r w:rsidRPr="006206CD">
        <w:t>Introduction</w:t>
      </w:r>
    </w:p>
    <w:p w:rsidR="00E93F14" w:rsidRPr="006206CD" w:rsidRDefault="00E93F14" w:rsidP="00E93F14">
      <w:pPr>
        <w:pStyle w:val="SingleTxtG"/>
        <w:rPr>
          <w:lang w:val="fr-CA"/>
        </w:rPr>
      </w:pPr>
      <w:r>
        <w:rPr>
          <w:lang w:val="fr-CA"/>
        </w:rPr>
        <w:t>1.</w:t>
      </w:r>
      <w:r>
        <w:rPr>
          <w:lang w:val="fr-CA"/>
        </w:rPr>
        <w:tab/>
      </w:r>
      <w:r w:rsidRPr="006206CD">
        <w:rPr>
          <w:lang w:val="fr-CA"/>
        </w:rPr>
        <w:t>Le Canada accueille favorablement le document de l’Allemagne sur l’emballage des matières infectieuses de catégorie A (ST/SG/AC.10/C.3/2016/9).</w:t>
      </w:r>
    </w:p>
    <w:p w:rsidR="00E93F14" w:rsidRPr="006206CD" w:rsidRDefault="00E93F14" w:rsidP="00E93F14">
      <w:pPr>
        <w:pStyle w:val="SingleTxtG"/>
        <w:rPr>
          <w:lang w:val="fr-CA"/>
        </w:rPr>
      </w:pPr>
      <w:r>
        <w:rPr>
          <w:lang w:val="fr-CA"/>
        </w:rPr>
        <w:t>2.</w:t>
      </w:r>
      <w:r>
        <w:rPr>
          <w:lang w:val="fr-CA"/>
        </w:rPr>
        <w:tab/>
      </w:r>
      <w:r w:rsidRPr="006206CD">
        <w:rPr>
          <w:lang w:val="fr-CA"/>
        </w:rPr>
        <w:t xml:space="preserve">L’expert du Canada soutient le principe d’une révision des dispositions relatives à l’emballage des matières infectieuses pour éliminer les problèmes rencontrés dans la pratique à la suite de la récente éclosion de la maladie à virus </w:t>
      </w:r>
      <w:proofErr w:type="spellStart"/>
      <w:r w:rsidRPr="006206CD">
        <w:rPr>
          <w:lang w:val="fr-CA"/>
        </w:rPr>
        <w:t>Ebola</w:t>
      </w:r>
      <w:proofErr w:type="spellEnd"/>
      <w:r w:rsidRPr="006206CD">
        <w:rPr>
          <w:lang w:val="fr-CA"/>
        </w:rPr>
        <w:t xml:space="preserve">. </w:t>
      </w:r>
    </w:p>
    <w:p w:rsidR="00E93F14" w:rsidRPr="006206CD" w:rsidRDefault="00E93F14" w:rsidP="00E93F14">
      <w:pPr>
        <w:pStyle w:val="SingleTxtG"/>
        <w:rPr>
          <w:lang w:val="fr-CA"/>
        </w:rPr>
      </w:pPr>
      <w:r>
        <w:rPr>
          <w:lang w:val="fr-CA"/>
        </w:rPr>
        <w:t>3.</w:t>
      </w:r>
      <w:r>
        <w:rPr>
          <w:lang w:val="fr-CA"/>
        </w:rPr>
        <w:tab/>
      </w:r>
      <w:r w:rsidRPr="006206CD">
        <w:rPr>
          <w:lang w:val="fr-CA"/>
        </w:rPr>
        <w:t xml:space="preserve">Un des principaux problèmes survenus sur le plan du transport était le fait que les emballages offerts sur le marché ne convenaient pas pour la taille et la quantité de déchets générés par les soins prodigués aux personnes contaminées par le virus </w:t>
      </w:r>
      <w:proofErr w:type="spellStart"/>
      <w:r w:rsidRPr="006206CD">
        <w:rPr>
          <w:lang w:val="fr-CA"/>
        </w:rPr>
        <w:t>Ebola</w:t>
      </w:r>
      <w:proofErr w:type="spellEnd"/>
      <w:r w:rsidRPr="006206CD">
        <w:rPr>
          <w:lang w:val="fr-CA"/>
        </w:rPr>
        <w:t xml:space="preserve"> ou soupçonnées de l’être, ni pour le nettoyage qui a suivi. Tout le matériel utilisé durant l’éclosion de la maladie à virus </w:t>
      </w:r>
      <w:proofErr w:type="spellStart"/>
      <w:r w:rsidRPr="006206CD">
        <w:rPr>
          <w:lang w:val="fr-CA"/>
        </w:rPr>
        <w:t>Ebola</w:t>
      </w:r>
      <w:proofErr w:type="spellEnd"/>
      <w:r w:rsidRPr="006206CD">
        <w:rPr>
          <w:lang w:val="fr-CA"/>
        </w:rPr>
        <w:t xml:space="preserve">, qui englobe l’équipement de protection individuelle, les instruments médicaux, les produits utilisés pour le nettoyage des hôpitaux et les fournitures destinées aux analyses en laboratoire clinique, était considéré comme des matières infectieuses de catégorie A qui devaient être éliminées et transportées dans des emballages satisfaisant aux dispositions de l’instruction d’emballage P620. </w:t>
      </w:r>
    </w:p>
    <w:p w:rsidR="00E93F14" w:rsidRPr="006206CD" w:rsidRDefault="00E93F14" w:rsidP="00E93F14">
      <w:pPr>
        <w:pStyle w:val="SingleTxtG"/>
        <w:rPr>
          <w:lang w:val="fr-CA" w:eastAsia="en-CA"/>
        </w:rPr>
      </w:pPr>
      <w:r>
        <w:rPr>
          <w:lang w:val="fr-CA" w:eastAsia="en-CA"/>
        </w:rPr>
        <w:t>4.</w:t>
      </w:r>
      <w:r>
        <w:rPr>
          <w:lang w:val="fr-CA" w:eastAsia="en-CA"/>
        </w:rPr>
        <w:tab/>
      </w:r>
      <w:r w:rsidRPr="006206CD">
        <w:rPr>
          <w:lang w:val="fr-CA" w:eastAsia="en-CA"/>
        </w:rPr>
        <w:t xml:space="preserve">Les emballages autorisés en vertu de l’instruction d’emballage P620 conviennent pour le transport de petites quantités de matières infectieuses de catégorie A, comme des cultures et des échantillons. Cependant, ils ne conviennent pas pour le transport de grandes quantités de matières infectieuses de catégorie A, comme la taille et la quantité de déchets générés durant l’éclosion de la maladie à virus </w:t>
      </w:r>
      <w:proofErr w:type="spellStart"/>
      <w:r w:rsidRPr="006206CD">
        <w:rPr>
          <w:lang w:val="fr-CA" w:eastAsia="en-CA"/>
        </w:rPr>
        <w:t>Ebola</w:t>
      </w:r>
      <w:proofErr w:type="spellEnd"/>
      <w:r w:rsidRPr="006206CD">
        <w:rPr>
          <w:lang w:val="fr-CA" w:eastAsia="en-CA"/>
        </w:rPr>
        <w:t>.</w:t>
      </w:r>
    </w:p>
    <w:p w:rsidR="00E93F14" w:rsidRPr="006206CD" w:rsidRDefault="00E93F14" w:rsidP="00E93F14">
      <w:pPr>
        <w:pStyle w:val="SingleTxtG"/>
        <w:rPr>
          <w:lang w:val="fr-CA"/>
        </w:rPr>
      </w:pPr>
      <w:r>
        <w:rPr>
          <w:lang w:val="fr-CA"/>
        </w:rPr>
        <w:t>5.</w:t>
      </w:r>
      <w:r>
        <w:rPr>
          <w:lang w:val="fr-CA"/>
        </w:rPr>
        <w:tab/>
      </w:r>
      <w:r w:rsidRPr="006206CD">
        <w:rPr>
          <w:lang w:val="fr-CA"/>
        </w:rPr>
        <w:t xml:space="preserve">Les emballages choisis conformément à l’instruction d’emballage P620 doivent aussi satisfaire aux dispositions du chapitre 6.3. Il est possible qu’une partie des prescriptions d’épreuve du chapitre 6.3 ne soient pas applicables au transport des matières infectieuses de catégorie A à titre de déchets – aucune disposition </w:t>
      </w:r>
      <w:r>
        <w:rPr>
          <w:lang w:val="fr-CA"/>
        </w:rPr>
        <w:t>particulière</w:t>
      </w:r>
      <w:r w:rsidRPr="006206CD">
        <w:rPr>
          <w:lang w:val="fr-CA"/>
        </w:rPr>
        <w:t xml:space="preserve"> n’est nécessaire pour le transport de déchets. Par exemple, </w:t>
      </w:r>
      <w:r>
        <w:rPr>
          <w:lang w:val="fr-CA"/>
        </w:rPr>
        <w:t>la nécessité</w:t>
      </w:r>
      <w:r w:rsidRPr="006206CD">
        <w:rPr>
          <w:lang w:val="fr-CA"/>
        </w:rPr>
        <w:t xml:space="preserve"> d’une capacité de résistance à une pression interne d’au moins 95 kPa pourrait être trop sévère ou </w:t>
      </w:r>
      <w:r>
        <w:rPr>
          <w:lang w:val="fr-CA"/>
        </w:rPr>
        <w:t>superflue</w:t>
      </w:r>
      <w:r w:rsidRPr="006206CD">
        <w:rPr>
          <w:lang w:val="fr-CA"/>
        </w:rPr>
        <w:t xml:space="preserve"> dans le cas des récipients primaires et des emballages secondaires transportés sur la route. De même, une capacité de résistance aux températures de </w:t>
      </w:r>
      <w:r w:rsidRPr="006206CD">
        <w:rPr>
          <w:lang w:val="fr-CA"/>
        </w:rPr>
        <w:noBreakHyphen/>
        <w:t xml:space="preserve">40 °C à 55 °C </w:t>
      </w:r>
      <w:r>
        <w:rPr>
          <w:lang w:val="fr-CA"/>
        </w:rPr>
        <w:t xml:space="preserve">pourrait ne pas </w:t>
      </w:r>
      <w:r>
        <w:rPr>
          <w:lang w:val="fr-CA"/>
        </w:rPr>
        <w:lastRenderedPageBreak/>
        <w:t>être nécessaire dans le cas d</w:t>
      </w:r>
      <w:r w:rsidRPr="006206CD">
        <w:rPr>
          <w:lang w:val="fr-CA"/>
        </w:rPr>
        <w:t xml:space="preserve">es récipients primaires et </w:t>
      </w:r>
      <w:r>
        <w:rPr>
          <w:lang w:val="fr-CA"/>
        </w:rPr>
        <w:t>des</w:t>
      </w:r>
      <w:r w:rsidRPr="006206CD">
        <w:rPr>
          <w:lang w:val="fr-CA"/>
        </w:rPr>
        <w:t xml:space="preserve"> emballages secondaires, étant donné que l’intégrité des déchets infectieux n’a pas à être protégée.</w:t>
      </w:r>
    </w:p>
    <w:p w:rsidR="00E93F14" w:rsidRPr="006206CD" w:rsidRDefault="00E93F14" w:rsidP="00E93F14">
      <w:pPr>
        <w:pStyle w:val="SingleTxtG"/>
        <w:rPr>
          <w:lang w:val="fr-CA"/>
        </w:rPr>
      </w:pPr>
      <w:r>
        <w:rPr>
          <w:lang w:val="fr-CA"/>
        </w:rPr>
        <w:t>6.</w:t>
      </w:r>
      <w:r>
        <w:rPr>
          <w:lang w:val="fr-CA"/>
        </w:rPr>
        <w:tab/>
      </w:r>
      <w:r w:rsidRPr="006206CD">
        <w:rPr>
          <w:lang w:val="fr-CA"/>
        </w:rPr>
        <w:t>Par conséquent, l’expert du Canada propose d’établir soit une nouvelle rubrique ONU concernant les déchets infectieux de catégorie A, soit une description concernant les déchets de catégorie A classés sous le numéro ONU 2814 ou ONU 2900. Deux nouvelles instructions d’emballage seraient affectées à cette rubrique; l’une concernant l’utilisation des emballages, et l’autre concernant l’utilisation de</w:t>
      </w:r>
      <w:r>
        <w:rPr>
          <w:lang w:val="fr-CA"/>
        </w:rPr>
        <w:t>s</w:t>
      </w:r>
      <w:r w:rsidRPr="006206CD">
        <w:rPr>
          <w:lang w:val="fr-CA"/>
        </w:rPr>
        <w:t xml:space="preserve"> grands emballages. </w:t>
      </w:r>
    </w:p>
    <w:p w:rsidR="00E93F14" w:rsidRPr="006206CD" w:rsidRDefault="00E93F14" w:rsidP="00E93F14">
      <w:pPr>
        <w:pStyle w:val="SingleTxtG"/>
        <w:rPr>
          <w:lang w:val="fr-CA"/>
        </w:rPr>
      </w:pPr>
      <w:r>
        <w:rPr>
          <w:lang w:val="fr-CA"/>
        </w:rPr>
        <w:t>7.</w:t>
      </w:r>
      <w:r>
        <w:rPr>
          <w:lang w:val="fr-CA"/>
        </w:rPr>
        <w:tab/>
      </w:r>
      <w:r w:rsidRPr="006206CD">
        <w:rPr>
          <w:lang w:val="fr-CA"/>
        </w:rPr>
        <w:t xml:space="preserve">L’expert propose que </w:t>
      </w:r>
      <w:r>
        <w:rPr>
          <w:lang w:val="fr-CA"/>
        </w:rPr>
        <w:t xml:space="preserve">les </w:t>
      </w:r>
      <w:r w:rsidRPr="006206CD">
        <w:rPr>
          <w:lang w:val="fr-CA"/>
        </w:rPr>
        <w:t>deux nouvelles instructions d’emballage soient fondées sur les instructions d’emballage </w:t>
      </w:r>
      <w:r w:rsidRPr="006206CD">
        <w:rPr>
          <w:lang w:val="fr-CA" w:eastAsia="en-CA"/>
        </w:rPr>
        <w:t>P621 et LP621. Cependant, la disposition relative à la construction exigerait l’utilisation d’un emballage triple; et l’emballage extérieur devrait satisfaire aux exigences en matière d’épreuves, de marquage et d’enregistrement énoncées au chapitre 6.1 concernant les emballages et au chapitre 6.6</w:t>
      </w:r>
      <w:r w:rsidRPr="006206CD">
        <w:rPr>
          <w:lang w:val="fr-CA"/>
        </w:rPr>
        <w:t xml:space="preserve"> concernant les grands emballages.</w:t>
      </w:r>
    </w:p>
    <w:p w:rsidR="00E93F14" w:rsidRPr="006206CD" w:rsidRDefault="00E93F14" w:rsidP="00E93F14">
      <w:pPr>
        <w:pStyle w:val="SingleTxtG"/>
        <w:rPr>
          <w:lang w:val="fr-CA"/>
        </w:rPr>
      </w:pPr>
      <w:r>
        <w:rPr>
          <w:lang w:val="fr-CA"/>
        </w:rPr>
        <w:t>8.</w:t>
      </w:r>
      <w:r>
        <w:rPr>
          <w:lang w:val="fr-CA"/>
        </w:rPr>
        <w:tab/>
      </w:r>
      <w:r w:rsidRPr="006206CD">
        <w:rPr>
          <w:lang w:val="fr-CA"/>
        </w:rPr>
        <w:t>L’approbation par une autorité compétente serait tout de même recommandée, compte tenu de nature délicate du sujet. Toutefois, ces deux nouvelles instructions d’emballage aideraient à déterminer les types d’emballages acceptables pour le transport des déchets infectieux de catégorie A.</w:t>
      </w:r>
    </w:p>
    <w:p w:rsidR="00E93F14" w:rsidRPr="006206CD" w:rsidRDefault="00E93F14" w:rsidP="00E93F14">
      <w:pPr>
        <w:pStyle w:val="SingleTxtG"/>
        <w:rPr>
          <w:lang w:val="fr-CA"/>
        </w:rPr>
      </w:pPr>
      <w:r>
        <w:rPr>
          <w:lang w:val="fr-CA"/>
        </w:rPr>
        <w:t>9.</w:t>
      </w:r>
      <w:r>
        <w:rPr>
          <w:lang w:val="fr-CA"/>
        </w:rPr>
        <w:tab/>
      </w:r>
      <w:r w:rsidRPr="006206CD">
        <w:rPr>
          <w:lang w:val="fr-CA"/>
        </w:rPr>
        <w:t>La présente approche vise la mise sur pied d’une méthode pratique et sûre pour l’emballage de ces types de déchets infectieux, qui fera appel au matériel disponible dans les hôpitaux et les zones d’épidémie.</w:t>
      </w:r>
    </w:p>
    <w:p w:rsidR="00E93F14" w:rsidRPr="006206CD" w:rsidRDefault="00E93F14" w:rsidP="00E93F14">
      <w:pPr>
        <w:pStyle w:val="HChG"/>
      </w:pPr>
      <w:r>
        <w:tab/>
      </w:r>
      <w:r>
        <w:tab/>
        <w:t>Classification</w:t>
      </w:r>
    </w:p>
    <w:p w:rsidR="00E93F14" w:rsidRDefault="00307C8F" w:rsidP="00E93F14">
      <w:pPr>
        <w:pStyle w:val="H1G"/>
      </w:pPr>
      <w:r>
        <w:tab/>
      </w:r>
      <w:r>
        <w:tab/>
      </w:r>
      <w:r w:rsidR="00E93F14" w:rsidRPr="006206CD">
        <w:t>Option 1</w:t>
      </w:r>
    </w:p>
    <w:tbl>
      <w:tblPr>
        <w:tblStyle w:val="TableGrid"/>
        <w:tblW w:w="0" w:type="auto"/>
        <w:tblLook w:val="04A0" w:firstRow="1" w:lastRow="0" w:firstColumn="1" w:lastColumn="0" w:noHBand="0" w:noVBand="1"/>
      </w:tblPr>
      <w:tblGrid>
        <w:gridCol w:w="1497"/>
        <w:gridCol w:w="1610"/>
        <w:gridCol w:w="1467"/>
        <w:gridCol w:w="2149"/>
        <w:gridCol w:w="1565"/>
        <w:gridCol w:w="1567"/>
      </w:tblGrid>
      <w:tr w:rsidR="00B760BD" w:rsidRPr="00B760BD" w:rsidTr="00B760BD">
        <w:tc>
          <w:tcPr>
            <w:tcW w:w="1642" w:type="dxa"/>
          </w:tcPr>
          <w:p w:rsidR="00B760BD" w:rsidRPr="00B760BD" w:rsidRDefault="00B760BD" w:rsidP="00B760BD">
            <w:pPr>
              <w:rPr>
                <w:b/>
              </w:rPr>
            </w:pPr>
            <w:proofErr w:type="spellStart"/>
            <w:r w:rsidRPr="00B760BD">
              <w:rPr>
                <w:b/>
              </w:rPr>
              <w:t>Numéro</w:t>
            </w:r>
            <w:proofErr w:type="spellEnd"/>
            <w:r w:rsidRPr="00B760BD">
              <w:rPr>
                <w:b/>
              </w:rPr>
              <w:t xml:space="preserve"> ONU</w:t>
            </w:r>
          </w:p>
        </w:tc>
        <w:tc>
          <w:tcPr>
            <w:tcW w:w="1642" w:type="dxa"/>
          </w:tcPr>
          <w:p w:rsidR="00B760BD" w:rsidRPr="00B760BD" w:rsidRDefault="00B760BD" w:rsidP="00B760BD">
            <w:pPr>
              <w:rPr>
                <w:b/>
              </w:rPr>
            </w:pPr>
            <w:r w:rsidRPr="00B760BD">
              <w:rPr>
                <w:b/>
              </w:rPr>
              <w:t xml:space="preserve">Nom </w:t>
            </w:r>
            <w:proofErr w:type="spellStart"/>
            <w:r w:rsidRPr="00B760BD">
              <w:rPr>
                <w:b/>
              </w:rPr>
              <w:t>d’expédition</w:t>
            </w:r>
            <w:proofErr w:type="spellEnd"/>
            <w:r w:rsidRPr="00B760BD">
              <w:rPr>
                <w:b/>
              </w:rPr>
              <w:t xml:space="preserve"> et description</w:t>
            </w:r>
          </w:p>
        </w:tc>
        <w:tc>
          <w:tcPr>
            <w:tcW w:w="1642" w:type="dxa"/>
          </w:tcPr>
          <w:p w:rsidR="00B760BD" w:rsidRPr="00B760BD" w:rsidRDefault="00B760BD" w:rsidP="00B760BD">
            <w:pPr>
              <w:rPr>
                <w:b/>
              </w:rPr>
            </w:pPr>
            <w:proofErr w:type="spellStart"/>
            <w:r w:rsidRPr="00B760BD">
              <w:rPr>
                <w:b/>
              </w:rPr>
              <w:t>Classe</w:t>
            </w:r>
            <w:proofErr w:type="spellEnd"/>
          </w:p>
        </w:tc>
        <w:tc>
          <w:tcPr>
            <w:tcW w:w="1643" w:type="dxa"/>
          </w:tcPr>
          <w:p w:rsidR="00B760BD" w:rsidRPr="00B760BD" w:rsidRDefault="00B760BD" w:rsidP="00B760BD">
            <w:pPr>
              <w:rPr>
                <w:b/>
              </w:rPr>
            </w:pPr>
            <w:proofErr w:type="spellStart"/>
            <w:r w:rsidRPr="00B760BD">
              <w:rPr>
                <w:b/>
              </w:rPr>
              <w:t>Groupe</w:t>
            </w:r>
            <w:proofErr w:type="spellEnd"/>
            <w:r w:rsidRPr="00B760BD">
              <w:rPr>
                <w:b/>
              </w:rPr>
              <w:t xml:space="preserve"> </w:t>
            </w:r>
            <w:proofErr w:type="spellStart"/>
            <w:r w:rsidRPr="00B760BD">
              <w:rPr>
                <w:b/>
              </w:rPr>
              <w:t>d’emballage</w:t>
            </w:r>
            <w:proofErr w:type="spellEnd"/>
            <w:r w:rsidRPr="00B760BD">
              <w:rPr>
                <w:b/>
              </w:rPr>
              <w:t>/</w:t>
            </w:r>
            <w:proofErr w:type="spellStart"/>
            <w:r w:rsidRPr="00B760BD">
              <w:rPr>
                <w:b/>
              </w:rPr>
              <w:t>Catégorie</w:t>
            </w:r>
            <w:proofErr w:type="spellEnd"/>
          </w:p>
        </w:tc>
        <w:tc>
          <w:tcPr>
            <w:tcW w:w="1643" w:type="dxa"/>
          </w:tcPr>
          <w:p w:rsidR="00B760BD" w:rsidRPr="00B760BD" w:rsidRDefault="00B760BD" w:rsidP="00B760BD">
            <w:pPr>
              <w:rPr>
                <w:b/>
              </w:rPr>
            </w:pPr>
            <w:r w:rsidRPr="00B760BD">
              <w:rPr>
                <w:b/>
              </w:rPr>
              <w:t xml:space="preserve">Dispositions </w:t>
            </w:r>
            <w:proofErr w:type="spellStart"/>
            <w:r w:rsidRPr="00B760BD">
              <w:rPr>
                <w:b/>
              </w:rPr>
              <w:t>spéciales</w:t>
            </w:r>
            <w:proofErr w:type="spellEnd"/>
          </w:p>
        </w:tc>
        <w:tc>
          <w:tcPr>
            <w:tcW w:w="1643" w:type="dxa"/>
          </w:tcPr>
          <w:p w:rsidR="00B760BD" w:rsidRPr="00B760BD" w:rsidRDefault="00B760BD" w:rsidP="00B760BD">
            <w:pPr>
              <w:rPr>
                <w:b/>
              </w:rPr>
            </w:pPr>
            <w:r w:rsidRPr="00B760BD">
              <w:rPr>
                <w:b/>
              </w:rPr>
              <w:t xml:space="preserve">Instruction </w:t>
            </w:r>
            <w:proofErr w:type="spellStart"/>
            <w:r w:rsidRPr="00B760BD">
              <w:rPr>
                <w:b/>
              </w:rPr>
              <w:t>d’emballage</w:t>
            </w:r>
            <w:proofErr w:type="spellEnd"/>
          </w:p>
        </w:tc>
      </w:tr>
      <w:tr w:rsidR="00B760BD" w:rsidTr="00B760BD">
        <w:tc>
          <w:tcPr>
            <w:tcW w:w="1642" w:type="dxa"/>
          </w:tcPr>
          <w:p w:rsidR="00B760BD" w:rsidRDefault="00B760BD" w:rsidP="00B760BD">
            <w:r>
              <w:t>ONU 2814</w:t>
            </w:r>
          </w:p>
        </w:tc>
        <w:tc>
          <w:tcPr>
            <w:tcW w:w="1642" w:type="dxa"/>
          </w:tcPr>
          <w:p w:rsidR="00B760BD" w:rsidRDefault="00B760BD" w:rsidP="00B760BD">
            <w:r w:rsidRPr="006206CD">
              <w:t>MATIÈRE INFECTIEUSE POUR L’HOMME</w:t>
            </w:r>
          </w:p>
        </w:tc>
        <w:tc>
          <w:tcPr>
            <w:tcW w:w="1642" w:type="dxa"/>
          </w:tcPr>
          <w:p w:rsidR="00B760BD" w:rsidRDefault="00B760BD" w:rsidP="00B760BD">
            <w:r>
              <w:t>6.2</w:t>
            </w:r>
          </w:p>
        </w:tc>
        <w:tc>
          <w:tcPr>
            <w:tcW w:w="1643" w:type="dxa"/>
          </w:tcPr>
          <w:p w:rsidR="00B760BD" w:rsidRDefault="00B760BD" w:rsidP="00B760BD">
            <w:proofErr w:type="spellStart"/>
            <w:r>
              <w:t>Catégorie</w:t>
            </w:r>
            <w:proofErr w:type="spellEnd"/>
            <w:r>
              <w:t xml:space="preserve"> A</w:t>
            </w:r>
          </w:p>
        </w:tc>
        <w:tc>
          <w:tcPr>
            <w:tcW w:w="1643" w:type="dxa"/>
          </w:tcPr>
          <w:p w:rsidR="00B760BD" w:rsidRDefault="00B760BD" w:rsidP="00B760BD">
            <w:r>
              <w:t>318</w:t>
            </w:r>
          </w:p>
          <w:p w:rsidR="00B760BD" w:rsidRDefault="00B760BD" w:rsidP="00B760BD">
            <w:r>
              <w:t>341</w:t>
            </w:r>
          </w:p>
          <w:p w:rsidR="00B760BD" w:rsidRDefault="00B760BD" w:rsidP="00B760BD">
            <w:r>
              <w:t>3XX</w:t>
            </w:r>
          </w:p>
        </w:tc>
        <w:tc>
          <w:tcPr>
            <w:tcW w:w="1643" w:type="dxa"/>
          </w:tcPr>
          <w:p w:rsidR="00B760BD" w:rsidRDefault="00B760BD" w:rsidP="00B760BD">
            <w:r>
              <w:t>P620</w:t>
            </w:r>
          </w:p>
          <w:p w:rsidR="00B760BD" w:rsidRDefault="00B760BD" w:rsidP="00B760BD">
            <w:r>
              <w:t>P6XX</w:t>
            </w:r>
          </w:p>
          <w:p w:rsidR="00B760BD" w:rsidRDefault="00B760BD" w:rsidP="00B760BD">
            <w:r>
              <w:t>LP6XX</w:t>
            </w:r>
          </w:p>
        </w:tc>
      </w:tr>
      <w:tr w:rsidR="00B760BD" w:rsidTr="00B760BD">
        <w:tc>
          <w:tcPr>
            <w:tcW w:w="1642" w:type="dxa"/>
          </w:tcPr>
          <w:p w:rsidR="00B760BD" w:rsidRDefault="00B760BD" w:rsidP="00B760BD">
            <w:r>
              <w:t>ONU 2900</w:t>
            </w:r>
          </w:p>
        </w:tc>
        <w:tc>
          <w:tcPr>
            <w:tcW w:w="1642" w:type="dxa"/>
          </w:tcPr>
          <w:p w:rsidR="00B760BD" w:rsidRDefault="00B760BD" w:rsidP="00B760BD">
            <w:r w:rsidRPr="006206CD">
              <w:t xml:space="preserve">MATIÈRE INFECTIEUSE POUR LES ANIMAUX </w:t>
            </w:r>
            <w:proofErr w:type="spellStart"/>
            <w:r>
              <w:t>uniquement</w:t>
            </w:r>
            <w:proofErr w:type="spellEnd"/>
          </w:p>
        </w:tc>
        <w:tc>
          <w:tcPr>
            <w:tcW w:w="1642" w:type="dxa"/>
          </w:tcPr>
          <w:p w:rsidR="00B760BD" w:rsidRDefault="00B760BD" w:rsidP="00B760BD">
            <w:r>
              <w:t>6.2</w:t>
            </w:r>
          </w:p>
        </w:tc>
        <w:tc>
          <w:tcPr>
            <w:tcW w:w="1643" w:type="dxa"/>
          </w:tcPr>
          <w:p w:rsidR="00B760BD" w:rsidRDefault="00B760BD" w:rsidP="00B760BD">
            <w:proofErr w:type="spellStart"/>
            <w:r>
              <w:t>Catégorie</w:t>
            </w:r>
            <w:proofErr w:type="spellEnd"/>
            <w:r>
              <w:t xml:space="preserve"> A</w:t>
            </w:r>
          </w:p>
        </w:tc>
        <w:tc>
          <w:tcPr>
            <w:tcW w:w="1643" w:type="dxa"/>
          </w:tcPr>
          <w:p w:rsidR="00B760BD" w:rsidRDefault="00B760BD" w:rsidP="00B760BD">
            <w:r>
              <w:t>318</w:t>
            </w:r>
          </w:p>
          <w:p w:rsidR="00B760BD" w:rsidRDefault="00B760BD" w:rsidP="00B760BD">
            <w:r>
              <w:t>341</w:t>
            </w:r>
          </w:p>
          <w:p w:rsidR="00B760BD" w:rsidRDefault="00B760BD" w:rsidP="00B760BD">
            <w:r>
              <w:t>3XX</w:t>
            </w:r>
          </w:p>
        </w:tc>
        <w:tc>
          <w:tcPr>
            <w:tcW w:w="1643" w:type="dxa"/>
          </w:tcPr>
          <w:p w:rsidR="00B760BD" w:rsidRDefault="00B760BD" w:rsidP="00B760BD">
            <w:r>
              <w:t>P620</w:t>
            </w:r>
          </w:p>
          <w:p w:rsidR="00B760BD" w:rsidRDefault="00B760BD" w:rsidP="00B760BD">
            <w:r>
              <w:t>P6XX</w:t>
            </w:r>
          </w:p>
          <w:p w:rsidR="00B760BD" w:rsidRDefault="00B760BD" w:rsidP="00B760BD">
            <w:r>
              <w:t>LP6XX</w:t>
            </w:r>
          </w:p>
          <w:p w:rsidR="00B760BD" w:rsidRDefault="00B760BD" w:rsidP="00B760BD"/>
        </w:tc>
      </w:tr>
    </w:tbl>
    <w:p w:rsidR="00B760BD" w:rsidRPr="006206CD" w:rsidRDefault="00B760BD" w:rsidP="00B760BD">
      <w:pPr>
        <w:pStyle w:val="H23G"/>
      </w:pPr>
      <w:r>
        <w:tab/>
      </w:r>
      <w:r>
        <w:tab/>
      </w:r>
      <w:r w:rsidRPr="006206CD">
        <w:t xml:space="preserve">Disposition </w:t>
      </w:r>
      <w:proofErr w:type="spellStart"/>
      <w:r w:rsidRPr="006206CD">
        <w:t>spéciale</w:t>
      </w:r>
      <w:proofErr w:type="spellEnd"/>
      <w:r w:rsidRPr="006206CD">
        <w:t xml:space="preserve"> </w:t>
      </w:r>
      <w:proofErr w:type="gramStart"/>
      <w:r w:rsidRPr="006206CD">
        <w:t>3XX :</w:t>
      </w:r>
      <w:proofErr w:type="gramEnd"/>
    </w:p>
    <w:p w:rsidR="00B760BD" w:rsidRPr="006206CD" w:rsidRDefault="00B760BD" w:rsidP="00B760BD">
      <w:pPr>
        <w:pStyle w:val="SingleTxtG"/>
      </w:pPr>
      <w:proofErr w:type="spellStart"/>
      <w:r w:rsidRPr="006206CD">
        <w:t>Une</w:t>
      </w:r>
      <w:proofErr w:type="spellEnd"/>
      <w:r w:rsidRPr="006206CD">
        <w:t xml:space="preserve"> MATIÈRE INFECTIEUSE POUR L’HOMME </w:t>
      </w:r>
      <w:proofErr w:type="spellStart"/>
      <w:r w:rsidRPr="006206CD">
        <w:t>ou</w:t>
      </w:r>
      <w:proofErr w:type="spellEnd"/>
      <w:r w:rsidRPr="006206CD">
        <w:t xml:space="preserve"> </w:t>
      </w:r>
      <w:proofErr w:type="spellStart"/>
      <w:r w:rsidRPr="006206CD">
        <w:t>une</w:t>
      </w:r>
      <w:proofErr w:type="spellEnd"/>
      <w:r w:rsidRPr="006206CD">
        <w:t xml:space="preserve"> MATIÈRE INFECTIEUSE POUR LES ANIMAUX </w:t>
      </w:r>
      <w:proofErr w:type="spellStart"/>
      <w:r>
        <w:t>uniquement</w:t>
      </w:r>
      <w:proofErr w:type="spellEnd"/>
      <w:r w:rsidRPr="006206CD">
        <w:t xml:space="preserve">, </w:t>
      </w:r>
      <w:proofErr w:type="spellStart"/>
      <w:r w:rsidRPr="006206CD">
        <w:t>transportée</w:t>
      </w:r>
      <w:proofErr w:type="spellEnd"/>
      <w:r w:rsidRPr="006206CD">
        <w:t xml:space="preserve"> à titre de </w:t>
      </w:r>
      <w:proofErr w:type="spellStart"/>
      <w:r w:rsidRPr="006206CD">
        <w:t>déchet</w:t>
      </w:r>
      <w:proofErr w:type="spellEnd"/>
      <w:r w:rsidRPr="006206CD">
        <w:t xml:space="preserve"> </w:t>
      </w:r>
      <w:proofErr w:type="spellStart"/>
      <w:r w:rsidRPr="006206CD">
        <w:t>d’hôpital</w:t>
      </w:r>
      <w:proofErr w:type="spellEnd"/>
      <w:r w:rsidRPr="006206CD">
        <w:t>, (bio) </w:t>
      </w:r>
      <w:proofErr w:type="spellStart"/>
      <w:r w:rsidRPr="006206CD">
        <w:t>médical</w:t>
      </w:r>
      <w:proofErr w:type="spellEnd"/>
      <w:r w:rsidRPr="006206CD">
        <w:t xml:space="preserve"> </w:t>
      </w:r>
      <w:proofErr w:type="spellStart"/>
      <w:r w:rsidRPr="006206CD">
        <w:t>ou</w:t>
      </w:r>
      <w:proofErr w:type="spellEnd"/>
      <w:r w:rsidRPr="006206CD">
        <w:t xml:space="preserve"> </w:t>
      </w:r>
      <w:proofErr w:type="spellStart"/>
      <w:r w:rsidRPr="006206CD">
        <w:t>médical</w:t>
      </w:r>
      <w:proofErr w:type="spellEnd"/>
      <w:r w:rsidRPr="006206CD">
        <w:t xml:space="preserve"> </w:t>
      </w:r>
      <w:proofErr w:type="spellStart"/>
      <w:r w:rsidRPr="006206CD">
        <w:t>réglementé</w:t>
      </w:r>
      <w:proofErr w:type="spellEnd"/>
      <w:r w:rsidRPr="006206CD">
        <w:t xml:space="preserve"> de </w:t>
      </w:r>
      <w:proofErr w:type="spellStart"/>
      <w:r w:rsidRPr="006206CD">
        <w:t>catégorie</w:t>
      </w:r>
      <w:proofErr w:type="spellEnd"/>
      <w:r w:rsidRPr="006206CD">
        <w:t xml:space="preserve"> A, </w:t>
      </w:r>
      <w:proofErr w:type="spellStart"/>
      <w:r w:rsidRPr="006206CD">
        <w:t>peut</w:t>
      </w:r>
      <w:proofErr w:type="spellEnd"/>
      <w:r w:rsidRPr="006206CD">
        <w:t xml:space="preserve"> </w:t>
      </w:r>
      <w:proofErr w:type="spellStart"/>
      <w:r w:rsidRPr="006206CD">
        <w:t>être</w:t>
      </w:r>
      <w:proofErr w:type="spellEnd"/>
      <w:r w:rsidRPr="006206CD">
        <w:t xml:space="preserve"> </w:t>
      </w:r>
      <w:proofErr w:type="spellStart"/>
      <w:r w:rsidRPr="006206CD">
        <w:t>emballée</w:t>
      </w:r>
      <w:proofErr w:type="spellEnd"/>
      <w:r w:rsidRPr="006206CD">
        <w:t xml:space="preserve"> </w:t>
      </w:r>
      <w:proofErr w:type="spellStart"/>
      <w:r w:rsidRPr="006206CD">
        <w:t>conformément</w:t>
      </w:r>
      <w:proofErr w:type="spellEnd"/>
      <w:r w:rsidRPr="006206CD">
        <w:t xml:space="preserve"> à </w:t>
      </w:r>
      <w:proofErr w:type="spellStart"/>
      <w:r w:rsidRPr="006206CD">
        <w:t>l’instruction</w:t>
      </w:r>
      <w:proofErr w:type="spellEnd"/>
      <w:r w:rsidRPr="006206CD">
        <w:t xml:space="preserve"> </w:t>
      </w:r>
      <w:proofErr w:type="spellStart"/>
      <w:r w:rsidRPr="006206CD">
        <w:t>d’emballage</w:t>
      </w:r>
      <w:proofErr w:type="spellEnd"/>
      <w:r w:rsidRPr="006206CD">
        <w:t xml:space="preserve"> P6XX </w:t>
      </w:r>
      <w:proofErr w:type="spellStart"/>
      <w:r w:rsidRPr="006206CD">
        <w:t>ou</w:t>
      </w:r>
      <w:proofErr w:type="spellEnd"/>
      <w:r w:rsidRPr="006206CD">
        <w:t xml:space="preserve"> LP6XX.</w:t>
      </w:r>
    </w:p>
    <w:p w:rsidR="00B760BD" w:rsidRDefault="00B760BD">
      <w:pPr>
        <w:suppressAutoHyphens w:val="0"/>
        <w:spacing w:line="240" w:lineRule="auto"/>
        <w:rPr>
          <w:b/>
          <w:sz w:val="24"/>
        </w:rPr>
      </w:pPr>
      <w:r>
        <w:br w:type="page"/>
      </w:r>
    </w:p>
    <w:p w:rsidR="00B760BD" w:rsidRDefault="00B760BD" w:rsidP="00B760BD">
      <w:pPr>
        <w:pStyle w:val="H1G"/>
      </w:pPr>
      <w:r>
        <w:lastRenderedPageBreak/>
        <w:tab/>
      </w:r>
      <w:r>
        <w:tab/>
      </w:r>
      <w:r w:rsidRPr="006206CD">
        <w:t xml:space="preserve">Option 2 </w:t>
      </w:r>
    </w:p>
    <w:tbl>
      <w:tblPr>
        <w:tblStyle w:val="TableGrid"/>
        <w:tblW w:w="0" w:type="auto"/>
        <w:tblLook w:val="04A0" w:firstRow="1" w:lastRow="0" w:firstColumn="1" w:lastColumn="0" w:noHBand="0" w:noVBand="1"/>
      </w:tblPr>
      <w:tblGrid>
        <w:gridCol w:w="1510"/>
        <w:gridCol w:w="1570"/>
        <w:gridCol w:w="997"/>
        <w:gridCol w:w="2149"/>
        <w:gridCol w:w="1395"/>
        <w:gridCol w:w="1701"/>
      </w:tblGrid>
      <w:tr w:rsidR="007E20AC" w:rsidRPr="007E20AC" w:rsidTr="007E20AC">
        <w:tc>
          <w:tcPr>
            <w:tcW w:w="1510" w:type="dxa"/>
          </w:tcPr>
          <w:p w:rsidR="003043E3" w:rsidRPr="007E20AC" w:rsidRDefault="003043E3" w:rsidP="003043E3">
            <w:pPr>
              <w:rPr>
                <w:b/>
              </w:rPr>
            </w:pPr>
            <w:proofErr w:type="spellStart"/>
            <w:r w:rsidRPr="007E20AC">
              <w:rPr>
                <w:b/>
              </w:rPr>
              <w:t>Numéro</w:t>
            </w:r>
            <w:proofErr w:type="spellEnd"/>
            <w:r w:rsidRPr="007E20AC">
              <w:rPr>
                <w:b/>
              </w:rPr>
              <w:t xml:space="preserve"> ONU</w:t>
            </w:r>
          </w:p>
        </w:tc>
        <w:tc>
          <w:tcPr>
            <w:tcW w:w="1570" w:type="dxa"/>
          </w:tcPr>
          <w:p w:rsidR="003043E3" w:rsidRPr="007E20AC" w:rsidRDefault="003043E3" w:rsidP="003043E3">
            <w:pPr>
              <w:rPr>
                <w:b/>
              </w:rPr>
            </w:pPr>
            <w:r w:rsidRPr="007E20AC">
              <w:rPr>
                <w:b/>
              </w:rPr>
              <w:t xml:space="preserve">Nom </w:t>
            </w:r>
            <w:proofErr w:type="spellStart"/>
            <w:r w:rsidRPr="007E20AC">
              <w:rPr>
                <w:b/>
              </w:rPr>
              <w:t>d’expédition</w:t>
            </w:r>
            <w:proofErr w:type="spellEnd"/>
            <w:r w:rsidRPr="007E20AC">
              <w:rPr>
                <w:b/>
              </w:rPr>
              <w:t xml:space="preserve"> et description</w:t>
            </w:r>
          </w:p>
        </w:tc>
        <w:tc>
          <w:tcPr>
            <w:tcW w:w="997" w:type="dxa"/>
          </w:tcPr>
          <w:p w:rsidR="003043E3" w:rsidRPr="007E20AC" w:rsidRDefault="007E20AC" w:rsidP="003043E3">
            <w:pPr>
              <w:rPr>
                <w:b/>
              </w:rPr>
            </w:pPr>
            <w:proofErr w:type="spellStart"/>
            <w:r w:rsidRPr="007E20AC">
              <w:rPr>
                <w:b/>
                <w:bCs/>
              </w:rPr>
              <w:t>Classe</w:t>
            </w:r>
            <w:proofErr w:type="spellEnd"/>
          </w:p>
        </w:tc>
        <w:tc>
          <w:tcPr>
            <w:tcW w:w="2149" w:type="dxa"/>
          </w:tcPr>
          <w:p w:rsidR="003043E3" w:rsidRPr="007E20AC" w:rsidRDefault="007E20AC" w:rsidP="003043E3">
            <w:pPr>
              <w:rPr>
                <w:b/>
              </w:rPr>
            </w:pPr>
            <w:proofErr w:type="spellStart"/>
            <w:r w:rsidRPr="007E20AC">
              <w:rPr>
                <w:b/>
                <w:bCs/>
              </w:rPr>
              <w:t>Groupe</w:t>
            </w:r>
            <w:proofErr w:type="spellEnd"/>
            <w:r w:rsidRPr="007E20AC">
              <w:rPr>
                <w:b/>
                <w:bCs/>
              </w:rPr>
              <w:t xml:space="preserve"> </w:t>
            </w:r>
            <w:proofErr w:type="spellStart"/>
            <w:r w:rsidRPr="007E20AC">
              <w:rPr>
                <w:b/>
                <w:bCs/>
              </w:rPr>
              <w:t>d’emballage</w:t>
            </w:r>
            <w:proofErr w:type="spellEnd"/>
            <w:r w:rsidRPr="007E20AC">
              <w:rPr>
                <w:b/>
                <w:bCs/>
              </w:rPr>
              <w:t>/</w:t>
            </w:r>
            <w:proofErr w:type="spellStart"/>
            <w:r w:rsidRPr="007E20AC">
              <w:rPr>
                <w:b/>
                <w:bCs/>
              </w:rPr>
              <w:t>Catégorie</w:t>
            </w:r>
            <w:proofErr w:type="spellEnd"/>
          </w:p>
        </w:tc>
        <w:tc>
          <w:tcPr>
            <w:tcW w:w="1395" w:type="dxa"/>
          </w:tcPr>
          <w:p w:rsidR="003043E3" w:rsidRPr="007E20AC" w:rsidRDefault="007E20AC" w:rsidP="003043E3">
            <w:pPr>
              <w:rPr>
                <w:b/>
              </w:rPr>
            </w:pPr>
            <w:r w:rsidRPr="007E20AC">
              <w:rPr>
                <w:b/>
              </w:rPr>
              <w:t xml:space="preserve">Dispositions </w:t>
            </w:r>
            <w:proofErr w:type="spellStart"/>
            <w:r w:rsidRPr="007E20AC">
              <w:rPr>
                <w:b/>
              </w:rPr>
              <w:t>spéciales</w:t>
            </w:r>
            <w:proofErr w:type="spellEnd"/>
          </w:p>
        </w:tc>
        <w:tc>
          <w:tcPr>
            <w:tcW w:w="1701" w:type="dxa"/>
          </w:tcPr>
          <w:p w:rsidR="003043E3" w:rsidRPr="007E20AC" w:rsidRDefault="007E20AC" w:rsidP="003043E3">
            <w:pPr>
              <w:rPr>
                <w:b/>
              </w:rPr>
            </w:pPr>
            <w:r w:rsidRPr="007E20AC">
              <w:rPr>
                <w:b/>
              </w:rPr>
              <w:t xml:space="preserve">Instruction </w:t>
            </w:r>
            <w:proofErr w:type="spellStart"/>
            <w:r w:rsidRPr="007E20AC">
              <w:rPr>
                <w:b/>
              </w:rPr>
              <w:t>d’emballage</w:t>
            </w:r>
            <w:proofErr w:type="spellEnd"/>
          </w:p>
        </w:tc>
      </w:tr>
      <w:tr w:rsidR="007E20AC" w:rsidTr="007E20AC">
        <w:tc>
          <w:tcPr>
            <w:tcW w:w="1510" w:type="dxa"/>
          </w:tcPr>
          <w:p w:rsidR="003043E3" w:rsidRDefault="007E20AC" w:rsidP="003043E3">
            <w:r>
              <w:t>ONU 3XXX</w:t>
            </w:r>
          </w:p>
        </w:tc>
        <w:tc>
          <w:tcPr>
            <w:tcW w:w="1570" w:type="dxa"/>
          </w:tcPr>
          <w:p w:rsidR="003043E3" w:rsidRDefault="007E20AC" w:rsidP="003043E3">
            <w:proofErr w:type="spellStart"/>
            <w:r w:rsidRPr="006206CD">
              <w:t>Déchet</w:t>
            </w:r>
            <w:proofErr w:type="spellEnd"/>
            <w:r w:rsidRPr="006206CD">
              <w:t xml:space="preserve"> </w:t>
            </w:r>
            <w:proofErr w:type="spellStart"/>
            <w:r w:rsidRPr="006206CD">
              <w:t>d’hôpital</w:t>
            </w:r>
            <w:proofErr w:type="spellEnd"/>
            <w:r w:rsidRPr="006206CD">
              <w:t xml:space="preserve">, (bio) </w:t>
            </w:r>
            <w:proofErr w:type="spellStart"/>
            <w:r w:rsidRPr="006206CD">
              <w:t>médical</w:t>
            </w:r>
            <w:proofErr w:type="spellEnd"/>
            <w:r w:rsidRPr="006206CD">
              <w:t xml:space="preserve"> </w:t>
            </w:r>
            <w:proofErr w:type="spellStart"/>
            <w:r w:rsidRPr="006206CD">
              <w:t>ou</w:t>
            </w:r>
            <w:proofErr w:type="spellEnd"/>
            <w:r w:rsidRPr="006206CD">
              <w:t xml:space="preserve"> </w:t>
            </w:r>
            <w:proofErr w:type="spellStart"/>
            <w:r w:rsidRPr="006206CD">
              <w:t>médical</w:t>
            </w:r>
            <w:proofErr w:type="spellEnd"/>
            <w:r w:rsidRPr="006206CD">
              <w:t xml:space="preserve"> </w:t>
            </w:r>
            <w:proofErr w:type="spellStart"/>
            <w:r w:rsidRPr="006206CD">
              <w:t>réglementé</w:t>
            </w:r>
            <w:proofErr w:type="spellEnd"/>
            <w:r w:rsidRPr="006206CD">
              <w:t>, N.S.A.</w:t>
            </w:r>
          </w:p>
        </w:tc>
        <w:tc>
          <w:tcPr>
            <w:tcW w:w="997" w:type="dxa"/>
          </w:tcPr>
          <w:p w:rsidR="003043E3" w:rsidRDefault="007E20AC" w:rsidP="003043E3">
            <w:r>
              <w:t>6.2</w:t>
            </w:r>
          </w:p>
        </w:tc>
        <w:tc>
          <w:tcPr>
            <w:tcW w:w="2149" w:type="dxa"/>
          </w:tcPr>
          <w:p w:rsidR="003043E3" w:rsidRDefault="007E20AC" w:rsidP="003043E3">
            <w:proofErr w:type="spellStart"/>
            <w:r>
              <w:t>Catégorie</w:t>
            </w:r>
            <w:proofErr w:type="spellEnd"/>
            <w:r>
              <w:t xml:space="preserve"> A</w:t>
            </w:r>
          </w:p>
        </w:tc>
        <w:tc>
          <w:tcPr>
            <w:tcW w:w="1395" w:type="dxa"/>
          </w:tcPr>
          <w:p w:rsidR="003043E3" w:rsidRDefault="007E20AC" w:rsidP="003043E3">
            <w:r>
              <w:t>318</w:t>
            </w:r>
          </w:p>
        </w:tc>
        <w:tc>
          <w:tcPr>
            <w:tcW w:w="1701" w:type="dxa"/>
          </w:tcPr>
          <w:p w:rsidR="003043E3" w:rsidRDefault="007E20AC" w:rsidP="003043E3">
            <w:r>
              <w:t>P6XX</w:t>
            </w:r>
          </w:p>
          <w:p w:rsidR="007E20AC" w:rsidRDefault="007E20AC" w:rsidP="003043E3">
            <w:r>
              <w:t>LP6XX</w:t>
            </w:r>
          </w:p>
        </w:tc>
      </w:tr>
    </w:tbl>
    <w:p w:rsidR="007E20AC" w:rsidRPr="006206CD" w:rsidRDefault="007E20AC" w:rsidP="007E20AC">
      <w:pPr>
        <w:pStyle w:val="H23G"/>
      </w:pPr>
      <w:r>
        <w:tab/>
      </w:r>
      <w:r>
        <w:tab/>
      </w:r>
      <w:r w:rsidRPr="006206CD">
        <w:t xml:space="preserve">Instructions </w:t>
      </w:r>
      <w:proofErr w:type="spellStart"/>
      <w:r w:rsidRPr="006206CD">
        <w:t>d’emballage</w:t>
      </w:r>
      <w:proofErr w:type="spellEnd"/>
    </w:p>
    <w:p w:rsidR="007E20AC" w:rsidRPr="006206CD" w:rsidRDefault="007E20AC" w:rsidP="007E20AC">
      <w:pPr>
        <w:pStyle w:val="SingleTxtG"/>
      </w:pPr>
      <w:proofErr w:type="spellStart"/>
      <w:r w:rsidRPr="006206CD">
        <w:t>L’instruction</w:t>
      </w:r>
      <w:proofErr w:type="spellEnd"/>
      <w:r w:rsidRPr="006206CD">
        <w:t xml:space="preserve"> </w:t>
      </w:r>
      <w:proofErr w:type="spellStart"/>
      <w:r w:rsidRPr="006206CD">
        <w:t>d’emballage</w:t>
      </w:r>
      <w:proofErr w:type="spellEnd"/>
      <w:r w:rsidRPr="006206CD">
        <w:t xml:space="preserve"> </w:t>
      </w:r>
      <w:proofErr w:type="spellStart"/>
      <w:r w:rsidRPr="006206CD">
        <w:t>concernant</w:t>
      </w:r>
      <w:proofErr w:type="spellEnd"/>
      <w:r w:rsidRPr="006206CD">
        <w:t xml:space="preserve"> les </w:t>
      </w:r>
      <w:proofErr w:type="spellStart"/>
      <w:r w:rsidRPr="006206CD">
        <w:t>emballages</w:t>
      </w:r>
      <w:proofErr w:type="spellEnd"/>
      <w:r w:rsidRPr="006206CD">
        <w:t xml:space="preserve"> </w:t>
      </w:r>
      <w:r>
        <w:t xml:space="preserve">se </w:t>
      </w:r>
      <w:proofErr w:type="spellStart"/>
      <w:r>
        <w:t>lirait</w:t>
      </w:r>
      <w:proofErr w:type="spellEnd"/>
      <w:r>
        <w:t xml:space="preserve"> </w:t>
      </w:r>
      <w:proofErr w:type="spellStart"/>
      <w:r>
        <w:t>comme</w:t>
      </w:r>
      <w:proofErr w:type="spellEnd"/>
      <w:r>
        <w:t xml:space="preserve"> suit</w:t>
      </w:r>
      <w:r w:rsidRPr="006206CD">
        <w: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7E20AC" w:rsidRPr="006206CD" w:rsidTr="00415AA8">
        <w:tc>
          <w:tcPr>
            <w:tcW w:w="855" w:type="dxa"/>
            <w:tcBorders>
              <w:bottom w:val="single" w:sz="4" w:space="0" w:color="000000"/>
            </w:tcBorders>
          </w:tcPr>
          <w:p w:rsidR="007E20AC" w:rsidRPr="006206CD" w:rsidRDefault="007E20AC" w:rsidP="00415AA8">
            <w:pPr>
              <w:spacing w:before="60" w:after="60" w:line="240" w:lineRule="auto"/>
              <w:rPr>
                <w:b/>
                <w:bCs/>
                <w:color w:val="000000"/>
              </w:rPr>
            </w:pPr>
            <w:r w:rsidRPr="006206CD">
              <w:rPr>
                <w:b/>
                <w:color w:val="000000"/>
              </w:rPr>
              <w:t>P6XX</w:t>
            </w:r>
          </w:p>
        </w:tc>
        <w:tc>
          <w:tcPr>
            <w:tcW w:w="7938" w:type="dxa"/>
            <w:tcBorders>
              <w:bottom w:val="single" w:sz="4" w:space="0" w:color="000000"/>
            </w:tcBorders>
          </w:tcPr>
          <w:p w:rsidR="007E20AC" w:rsidRPr="006206CD" w:rsidRDefault="007E20AC" w:rsidP="00415AA8">
            <w:pPr>
              <w:spacing w:before="60" w:after="60" w:line="240" w:lineRule="auto"/>
              <w:jc w:val="center"/>
              <w:rPr>
                <w:b/>
                <w:bCs/>
                <w:color w:val="000000"/>
              </w:rPr>
            </w:pPr>
            <w:r w:rsidRPr="006206CD">
              <w:rPr>
                <w:b/>
                <w:bCs/>
                <w:color w:val="000000"/>
              </w:rPr>
              <w:t>INSTRUCTION D’EMBALLAGE</w:t>
            </w:r>
          </w:p>
        </w:tc>
        <w:tc>
          <w:tcPr>
            <w:tcW w:w="850" w:type="dxa"/>
            <w:tcBorders>
              <w:bottom w:val="single" w:sz="4" w:space="0" w:color="000000"/>
            </w:tcBorders>
          </w:tcPr>
          <w:p w:rsidR="007E20AC" w:rsidRPr="006206CD" w:rsidRDefault="007E20AC" w:rsidP="00415AA8">
            <w:pPr>
              <w:spacing w:before="60" w:after="60" w:line="240" w:lineRule="auto"/>
              <w:rPr>
                <w:b/>
                <w:bCs/>
                <w:color w:val="000000"/>
              </w:rPr>
            </w:pPr>
            <w:r w:rsidRPr="006206CD">
              <w:rPr>
                <w:b/>
                <w:color w:val="000000"/>
              </w:rPr>
              <w:t>P 6XX</w:t>
            </w:r>
          </w:p>
        </w:tc>
      </w:tr>
      <w:tr w:rsidR="007E20AC" w:rsidRPr="006206CD" w:rsidTr="00415AA8">
        <w:tc>
          <w:tcPr>
            <w:tcW w:w="9643" w:type="dxa"/>
            <w:gridSpan w:val="3"/>
            <w:tcBorders>
              <w:top w:val="single" w:sz="4" w:space="0" w:color="000000"/>
              <w:bottom w:val="single" w:sz="4" w:space="0" w:color="000000"/>
            </w:tcBorders>
          </w:tcPr>
          <w:p w:rsidR="007E20AC" w:rsidRPr="006206CD" w:rsidRDefault="007E20AC" w:rsidP="00415AA8">
            <w:pPr>
              <w:spacing w:before="60" w:after="60" w:line="240" w:lineRule="auto"/>
              <w:rPr>
                <w:color w:val="000000"/>
              </w:rPr>
            </w:pPr>
            <w:proofErr w:type="spellStart"/>
            <w:r w:rsidRPr="006206CD">
              <w:rPr>
                <w:color w:val="000000"/>
              </w:rPr>
              <w:t>Cette</w:t>
            </w:r>
            <w:proofErr w:type="spellEnd"/>
            <w:r w:rsidRPr="006206CD">
              <w:rPr>
                <w:color w:val="000000"/>
              </w:rPr>
              <w:t xml:space="preserve"> instruction </w:t>
            </w:r>
            <w:proofErr w:type="spellStart"/>
            <w:r w:rsidRPr="006206CD">
              <w:rPr>
                <w:color w:val="000000"/>
              </w:rPr>
              <w:t>s’applique</w:t>
            </w:r>
            <w:proofErr w:type="spellEnd"/>
            <w:r w:rsidRPr="006206CD">
              <w:rPr>
                <w:color w:val="000000"/>
              </w:rPr>
              <w:t xml:space="preserve"> au </w:t>
            </w:r>
            <w:proofErr w:type="spellStart"/>
            <w:r w:rsidRPr="006206CD">
              <w:rPr>
                <w:color w:val="000000"/>
              </w:rPr>
              <w:t>numéro</w:t>
            </w:r>
            <w:proofErr w:type="spellEnd"/>
            <w:r w:rsidRPr="006206CD">
              <w:rPr>
                <w:color w:val="000000"/>
              </w:rPr>
              <w:t xml:space="preserve"> ONU 35XX (</w:t>
            </w:r>
            <w:proofErr w:type="spellStart"/>
            <w:r w:rsidRPr="006206CD">
              <w:rPr>
                <w:color w:val="000000"/>
              </w:rPr>
              <w:t>déchet</w:t>
            </w:r>
            <w:proofErr w:type="spellEnd"/>
            <w:r w:rsidRPr="006206CD">
              <w:rPr>
                <w:color w:val="000000"/>
              </w:rPr>
              <w:t xml:space="preserve"> </w:t>
            </w:r>
            <w:proofErr w:type="spellStart"/>
            <w:r w:rsidRPr="006206CD">
              <w:rPr>
                <w:color w:val="000000"/>
              </w:rPr>
              <w:t>d’hôpital</w:t>
            </w:r>
            <w:proofErr w:type="spellEnd"/>
            <w:r w:rsidRPr="006206CD">
              <w:rPr>
                <w:color w:val="000000"/>
              </w:rPr>
              <w:t xml:space="preserve">, [bio] </w:t>
            </w:r>
            <w:proofErr w:type="spellStart"/>
            <w:r w:rsidRPr="006206CD">
              <w:rPr>
                <w:color w:val="000000"/>
              </w:rPr>
              <w:t>médical</w:t>
            </w:r>
            <w:proofErr w:type="spellEnd"/>
            <w:r w:rsidRPr="006206CD">
              <w:rPr>
                <w:color w:val="000000"/>
              </w:rPr>
              <w:t xml:space="preserve"> </w:t>
            </w:r>
            <w:proofErr w:type="spellStart"/>
            <w:r w:rsidRPr="006206CD">
              <w:rPr>
                <w:color w:val="000000"/>
              </w:rPr>
              <w:t>ou</w:t>
            </w:r>
            <w:proofErr w:type="spellEnd"/>
            <w:r w:rsidRPr="006206CD">
              <w:rPr>
                <w:color w:val="000000"/>
              </w:rPr>
              <w:t xml:space="preserve"> </w:t>
            </w:r>
            <w:proofErr w:type="spellStart"/>
            <w:r w:rsidRPr="006206CD">
              <w:rPr>
                <w:color w:val="000000"/>
              </w:rPr>
              <w:t>médical</w:t>
            </w:r>
            <w:proofErr w:type="spellEnd"/>
            <w:r w:rsidRPr="006206CD">
              <w:rPr>
                <w:color w:val="000000"/>
              </w:rPr>
              <w:t xml:space="preserve"> </w:t>
            </w:r>
            <w:proofErr w:type="spellStart"/>
            <w:r w:rsidRPr="006206CD">
              <w:rPr>
                <w:color w:val="000000"/>
              </w:rPr>
              <w:t>réglementé</w:t>
            </w:r>
            <w:proofErr w:type="spellEnd"/>
            <w:r w:rsidRPr="006206CD">
              <w:rPr>
                <w:color w:val="000000"/>
              </w:rPr>
              <w:t xml:space="preserve"> de </w:t>
            </w:r>
            <w:proofErr w:type="spellStart"/>
            <w:r w:rsidRPr="006206CD">
              <w:rPr>
                <w:color w:val="000000"/>
              </w:rPr>
              <w:t>catégorie</w:t>
            </w:r>
            <w:proofErr w:type="spellEnd"/>
            <w:r w:rsidRPr="006206CD">
              <w:rPr>
                <w:color w:val="000000"/>
              </w:rPr>
              <w:t> A).</w:t>
            </w:r>
          </w:p>
        </w:tc>
      </w:tr>
      <w:tr w:rsidR="007E20AC" w:rsidRPr="006206CD" w:rsidTr="00415AA8">
        <w:tc>
          <w:tcPr>
            <w:tcW w:w="9643" w:type="dxa"/>
            <w:gridSpan w:val="3"/>
          </w:tcPr>
          <w:p w:rsidR="007E20AC" w:rsidRPr="006206CD" w:rsidRDefault="007E20AC" w:rsidP="00415AA8">
            <w:pPr>
              <w:spacing w:before="60" w:after="60" w:line="240" w:lineRule="auto"/>
              <w:rPr>
                <w:color w:val="000000"/>
              </w:rPr>
            </w:pPr>
            <w:r w:rsidRPr="006206CD">
              <w:rPr>
                <w:color w:val="000000"/>
              </w:rPr>
              <w:t xml:space="preserve">Les </w:t>
            </w:r>
            <w:proofErr w:type="spellStart"/>
            <w:r w:rsidRPr="006206CD">
              <w:rPr>
                <w:color w:val="000000"/>
              </w:rPr>
              <w:t>emballages</w:t>
            </w:r>
            <w:proofErr w:type="spellEnd"/>
            <w:r w:rsidRPr="006206CD">
              <w:rPr>
                <w:color w:val="000000"/>
              </w:rPr>
              <w:t xml:space="preserve"> </w:t>
            </w:r>
            <w:proofErr w:type="spellStart"/>
            <w:r w:rsidRPr="006206CD">
              <w:rPr>
                <w:color w:val="000000"/>
              </w:rPr>
              <w:t>suivants</w:t>
            </w:r>
            <w:proofErr w:type="spellEnd"/>
            <w:r w:rsidRPr="006206CD">
              <w:rPr>
                <w:color w:val="000000"/>
              </w:rPr>
              <w:t xml:space="preserve"> </w:t>
            </w:r>
            <w:proofErr w:type="spellStart"/>
            <w:r w:rsidRPr="006206CD">
              <w:rPr>
                <w:color w:val="000000"/>
              </w:rPr>
              <w:t>sont</w:t>
            </w:r>
            <w:proofErr w:type="spellEnd"/>
            <w:r w:rsidRPr="006206CD">
              <w:rPr>
                <w:color w:val="000000"/>
              </w:rPr>
              <w:t xml:space="preserve"> </w:t>
            </w:r>
            <w:proofErr w:type="spellStart"/>
            <w:r w:rsidRPr="006206CD">
              <w:rPr>
                <w:color w:val="000000"/>
              </w:rPr>
              <w:t>autorisés</w:t>
            </w:r>
            <w:proofErr w:type="spellEnd"/>
            <w:r w:rsidRPr="006206CD">
              <w:rPr>
                <w:color w:val="000000"/>
              </w:rPr>
              <w:t xml:space="preserve"> </w:t>
            </w:r>
            <w:proofErr w:type="spellStart"/>
            <w:r w:rsidRPr="006206CD">
              <w:rPr>
                <w:color w:val="000000"/>
              </w:rPr>
              <w:t>s’il</w:t>
            </w:r>
            <w:proofErr w:type="spellEnd"/>
            <w:r w:rsidRPr="006206CD">
              <w:rPr>
                <w:color w:val="000000"/>
              </w:rPr>
              <w:t xml:space="preserve"> </w:t>
            </w:r>
            <w:proofErr w:type="spellStart"/>
            <w:r w:rsidRPr="006206CD">
              <w:rPr>
                <w:color w:val="000000"/>
              </w:rPr>
              <w:t>est</w:t>
            </w:r>
            <w:proofErr w:type="spellEnd"/>
            <w:r w:rsidRPr="006206CD">
              <w:rPr>
                <w:color w:val="000000"/>
              </w:rPr>
              <w:t xml:space="preserve"> </w:t>
            </w:r>
            <w:proofErr w:type="spellStart"/>
            <w:r w:rsidRPr="006206CD">
              <w:rPr>
                <w:color w:val="000000"/>
              </w:rPr>
              <w:t>satisfait</w:t>
            </w:r>
            <w:proofErr w:type="spellEnd"/>
            <w:r w:rsidRPr="006206CD">
              <w:rPr>
                <w:color w:val="000000"/>
              </w:rPr>
              <w:t xml:space="preserve"> aux dispositions </w:t>
            </w:r>
            <w:proofErr w:type="spellStart"/>
            <w:r w:rsidRPr="006206CD">
              <w:rPr>
                <w:color w:val="000000"/>
              </w:rPr>
              <w:t>générales</w:t>
            </w:r>
            <w:proofErr w:type="spellEnd"/>
            <w:r w:rsidRPr="006206CD">
              <w:rPr>
                <w:color w:val="000000"/>
              </w:rPr>
              <w:t xml:space="preserve"> des 4.1.1 et 4.1.3 :</w:t>
            </w:r>
          </w:p>
          <w:p w:rsidR="007E20AC" w:rsidRPr="006206CD" w:rsidRDefault="007E20AC" w:rsidP="007E20AC">
            <w:pPr>
              <w:numPr>
                <w:ilvl w:val="0"/>
                <w:numId w:val="40"/>
              </w:numPr>
              <w:spacing w:before="60" w:after="60" w:line="240" w:lineRule="auto"/>
              <w:ind w:left="230" w:hanging="230"/>
              <w:rPr>
                <w:color w:val="000000"/>
              </w:rPr>
            </w:pPr>
            <w:proofErr w:type="spellStart"/>
            <w:r w:rsidRPr="006206CD">
              <w:rPr>
                <w:color w:val="000000"/>
              </w:rPr>
              <w:t>L’emballage</w:t>
            </w:r>
            <w:proofErr w:type="spellEnd"/>
            <w:r w:rsidRPr="006206CD">
              <w:rPr>
                <w:color w:val="000000"/>
              </w:rPr>
              <w:t xml:space="preserve"> </w:t>
            </w:r>
            <w:proofErr w:type="spellStart"/>
            <w:r w:rsidRPr="006206CD">
              <w:rPr>
                <w:color w:val="000000"/>
              </w:rPr>
              <w:t>comprend</w:t>
            </w:r>
            <w:proofErr w:type="spellEnd"/>
            <w:r w:rsidRPr="006206CD">
              <w:rPr>
                <w:color w:val="000000"/>
              </w:rPr>
              <w:t xml:space="preserve"> au minimum les </w:t>
            </w:r>
            <w:proofErr w:type="spellStart"/>
            <w:r w:rsidRPr="006206CD">
              <w:rPr>
                <w:color w:val="000000"/>
              </w:rPr>
              <w:t>trois</w:t>
            </w:r>
            <w:proofErr w:type="spellEnd"/>
            <w:r w:rsidRPr="006206CD">
              <w:rPr>
                <w:color w:val="000000"/>
              </w:rPr>
              <w:t xml:space="preserve"> </w:t>
            </w:r>
            <w:proofErr w:type="spellStart"/>
            <w:r w:rsidRPr="006206CD">
              <w:rPr>
                <w:color w:val="000000"/>
              </w:rPr>
              <w:t>éléments</w:t>
            </w:r>
            <w:proofErr w:type="spellEnd"/>
            <w:r w:rsidRPr="006206CD">
              <w:rPr>
                <w:color w:val="000000"/>
              </w:rPr>
              <w:t xml:space="preserve"> </w:t>
            </w:r>
            <w:proofErr w:type="spellStart"/>
            <w:r w:rsidRPr="006206CD">
              <w:rPr>
                <w:color w:val="000000"/>
              </w:rPr>
              <w:t>suivants</w:t>
            </w:r>
            <w:proofErr w:type="spellEnd"/>
            <w:r w:rsidRPr="006206CD">
              <w:rPr>
                <w:color w:val="000000"/>
              </w:rPr>
              <w:t> :</w:t>
            </w:r>
          </w:p>
          <w:p w:rsidR="007E20AC" w:rsidRPr="006206CD" w:rsidRDefault="007E20AC" w:rsidP="007E20AC">
            <w:pPr>
              <w:numPr>
                <w:ilvl w:val="0"/>
                <w:numId w:val="41"/>
              </w:numPr>
              <w:spacing w:before="60" w:after="60" w:line="240" w:lineRule="auto"/>
              <w:rPr>
                <w:color w:val="000000"/>
              </w:rPr>
            </w:pPr>
            <w:proofErr w:type="spellStart"/>
            <w:r w:rsidRPr="006206CD">
              <w:rPr>
                <w:color w:val="000000"/>
              </w:rPr>
              <w:t>emballage</w:t>
            </w:r>
            <w:proofErr w:type="spellEnd"/>
            <w:r w:rsidRPr="006206CD">
              <w:rPr>
                <w:color w:val="000000"/>
              </w:rPr>
              <w:t xml:space="preserve">(s) </w:t>
            </w:r>
            <w:proofErr w:type="spellStart"/>
            <w:r w:rsidRPr="006206CD">
              <w:rPr>
                <w:color w:val="000000"/>
              </w:rPr>
              <w:t>primaire</w:t>
            </w:r>
            <w:proofErr w:type="spellEnd"/>
            <w:r w:rsidRPr="006206CD">
              <w:rPr>
                <w:color w:val="000000"/>
              </w:rPr>
              <w:t xml:space="preserve">(s) </w:t>
            </w:r>
            <w:proofErr w:type="spellStart"/>
            <w:r w:rsidRPr="006206CD">
              <w:rPr>
                <w:color w:val="000000"/>
              </w:rPr>
              <w:t>étanche</w:t>
            </w:r>
            <w:proofErr w:type="spellEnd"/>
            <w:r w:rsidRPr="006206CD">
              <w:rPr>
                <w:color w:val="000000"/>
              </w:rPr>
              <w:t>(s);</w:t>
            </w:r>
          </w:p>
          <w:p w:rsidR="007E20AC" w:rsidRPr="006206CD" w:rsidRDefault="007E20AC" w:rsidP="007E20AC">
            <w:pPr>
              <w:numPr>
                <w:ilvl w:val="0"/>
                <w:numId w:val="41"/>
              </w:numPr>
              <w:spacing w:before="60" w:after="60" w:line="240" w:lineRule="auto"/>
              <w:rPr>
                <w:color w:val="000000"/>
              </w:rPr>
            </w:pPr>
            <w:proofErr w:type="spellStart"/>
            <w:r w:rsidRPr="006206CD">
              <w:rPr>
                <w:color w:val="000000"/>
              </w:rPr>
              <w:t>emballage</w:t>
            </w:r>
            <w:proofErr w:type="spellEnd"/>
            <w:r w:rsidRPr="006206CD">
              <w:rPr>
                <w:color w:val="000000"/>
              </w:rPr>
              <w:t xml:space="preserve">(s) </w:t>
            </w:r>
            <w:proofErr w:type="spellStart"/>
            <w:r w:rsidRPr="006206CD">
              <w:rPr>
                <w:color w:val="000000"/>
              </w:rPr>
              <w:t>secondaire</w:t>
            </w:r>
            <w:proofErr w:type="spellEnd"/>
            <w:r w:rsidRPr="006206CD">
              <w:rPr>
                <w:color w:val="000000"/>
              </w:rPr>
              <w:t xml:space="preserve">(s) </w:t>
            </w:r>
            <w:proofErr w:type="spellStart"/>
            <w:r w:rsidRPr="006206CD">
              <w:rPr>
                <w:color w:val="000000"/>
              </w:rPr>
              <w:t>étanche</w:t>
            </w:r>
            <w:proofErr w:type="spellEnd"/>
            <w:r w:rsidRPr="006206CD">
              <w:rPr>
                <w:color w:val="000000"/>
              </w:rPr>
              <w:t>(s)</w:t>
            </w:r>
            <w:r>
              <w:rPr>
                <w:color w:val="000000"/>
              </w:rPr>
              <w:t>;</w:t>
            </w:r>
          </w:p>
          <w:p w:rsidR="007E20AC" w:rsidRPr="006206CD" w:rsidRDefault="007E20AC" w:rsidP="007E20AC">
            <w:pPr>
              <w:numPr>
                <w:ilvl w:val="0"/>
                <w:numId w:val="41"/>
              </w:numPr>
              <w:spacing w:before="60" w:after="60" w:line="240" w:lineRule="auto"/>
              <w:rPr>
                <w:color w:val="000000"/>
              </w:rPr>
            </w:pPr>
            <w:proofErr w:type="spellStart"/>
            <w:r w:rsidRPr="006206CD">
              <w:rPr>
                <w:color w:val="000000"/>
              </w:rPr>
              <w:t>emballage</w:t>
            </w:r>
            <w:proofErr w:type="spellEnd"/>
            <w:r w:rsidRPr="006206CD">
              <w:rPr>
                <w:color w:val="000000"/>
              </w:rPr>
              <w:t xml:space="preserve"> </w:t>
            </w:r>
            <w:proofErr w:type="spellStart"/>
            <w:r w:rsidRPr="006206CD">
              <w:rPr>
                <w:color w:val="000000"/>
              </w:rPr>
              <w:t>extérieur</w:t>
            </w:r>
            <w:proofErr w:type="spellEnd"/>
            <w:r w:rsidRPr="006206CD">
              <w:rPr>
                <w:color w:val="000000"/>
              </w:rPr>
              <w:t xml:space="preserve"> </w:t>
            </w:r>
            <w:proofErr w:type="spellStart"/>
            <w:r w:rsidRPr="006206CD">
              <w:rPr>
                <w:color w:val="000000"/>
              </w:rPr>
              <w:t>conforme</w:t>
            </w:r>
            <w:proofErr w:type="spellEnd"/>
            <w:r w:rsidRPr="006206CD">
              <w:rPr>
                <w:color w:val="000000"/>
              </w:rPr>
              <w:t xml:space="preserve"> au </w:t>
            </w:r>
            <w:proofErr w:type="spellStart"/>
            <w:r w:rsidRPr="006206CD">
              <w:rPr>
                <w:color w:val="000000"/>
              </w:rPr>
              <w:t>niveau</w:t>
            </w:r>
            <w:proofErr w:type="spellEnd"/>
            <w:r w:rsidRPr="006206CD">
              <w:rPr>
                <w:color w:val="000000"/>
              </w:rPr>
              <w:t xml:space="preserve"> </w:t>
            </w:r>
            <w:proofErr w:type="spellStart"/>
            <w:r w:rsidRPr="006206CD">
              <w:rPr>
                <w:color w:val="000000"/>
              </w:rPr>
              <w:t>d’épreuve</w:t>
            </w:r>
            <w:proofErr w:type="spellEnd"/>
            <w:r w:rsidRPr="006206CD">
              <w:rPr>
                <w:color w:val="000000"/>
              </w:rPr>
              <w:t xml:space="preserve"> du </w:t>
            </w:r>
            <w:proofErr w:type="spellStart"/>
            <w:r w:rsidRPr="006206CD">
              <w:rPr>
                <w:color w:val="000000"/>
              </w:rPr>
              <w:t>groupe</w:t>
            </w:r>
            <w:proofErr w:type="spellEnd"/>
            <w:r w:rsidRPr="006206CD">
              <w:rPr>
                <w:color w:val="000000"/>
              </w:rPr>
              <w:t xml:space="preserve"> </w:t>
            </w:r>
            <w:proofErr w:type="spellStart"/>
            <w:r w:rsidRPr="006206CD">
              <w:rPr>
                <w:color w:val="000000"/>
              </w:rPr>
              <w:t>d’emballage</w:t>
            </w:r>
            <w:proofErr w:type="spellEnd"/>
            <w:r w:rsidRPr="006206CD">
              <w:rPr>
                <w:color w:val="000000"/>
              </w:rPr>
              <w:t xml:space="preserve"> II pour les </w:t>
            </w:r>
            <w:proofErr w:type="spellStart"/>
            <w:r w:rsidRPr="006206CD">
              <w:rPr>
                <w:color w:val="000000"/>
              </w:rPr>
              <w:t>liquides</w:t>
            </w:r>
            <w:proofErr w:type="spellEnd"/>
            <w:r w:rsidRPr="006206CD">
              <w:rPr>
                <w:color w:val="000000"/>
              </w:rPr>
              <w:t xml:space="preserve"> :       </w:t>
            </w:r>
          </w:p>
          <w:p w:rsidR="007E20AC" w:rsidRPr="006206CD" w:rsidRDefault="007E20AC" w:rsidP="00415AA8">
            <w:pPr>
              <w:spacing w:before="60" w:after="60" w:line="240" w:lineRule="auto"/>
              <w:rPr>
                <w:color w:val="000000"/>
              </w:rPr>
            </w:pPr>
            <w:r w:rsidRPr="006206CD">
              <w:rPr>
                <w:color w:val="000000"/>
              </w:rPr>
              <w:t xml:space="preserve">        </w:t>
            </w:r>
            <w:proofErr w:type="spellStart"/>
            <w:r w:rsidRPr="006206CD">
              <w:rPr>
                <w:color w:val="000000"/>
              </w:rPr>
              <w:t>Fûts</w:t>
            </w:r>
            <w:proofErr w:type="spellEnd"/>
            <w:r w:rsidRPr="006206CD">
              <w:rPr>
                <w:color w:val="000000"/>
              </w:rPr>
              <w:t xml:space="preserve"> (1A2, 1B2, 1N2, 1H2);</w:t>
            </w:r>
          </w:p>
          <w:p w:rsidR="007E20AC" w:rsidRPr="006206CD" w:rsidRDefault="007E20AC" w:rsidP="00415AA8">
            <w:pPr>
              <w:spacing w:before="60" w:after="60" w:line="240" w:lineRule="auto"/>
              <w:ind w:left="797" w:hanging="797"/>
              <w:rPr>
                <w:color w:val="000000"/>
              </w:rPr>
            </w:pPr>
            <w:r w:rsidRPr="006206CD">
              <w:rPr>
                <w:color w:val="000000"/>
              </w:rPr>
              <w:t xml:space="preserve">        </w:t>
            </w:r>
            <w:proofErr w:type="spellStart"/>
            <w:r w:rsidRPr="006206CD">
              <w:rPr>
                <w:color w:val="000000"/>
              </w:rPr>
              <w:t>Bidons</w:t>
            </w:r>
            <w:proofErr w:type="spellEnd"/>
            <w:r w:rsidRPr="006206CD">
              <w:rPr>
                <w:color w:val="000000"/>
              </w:rPr>
              <w:t xml:space="preserve"> (</w:t>
            </w:r>
            <w:proofErr w:type="spellStart"/>
            <w:r w:rsidRPr="006206CD">
              <w:rPr>
                <w:color w:val="000000"/>
              </w:rPr>
              <w:t>jerricanes</w:t>
            </w:r>
            <w:proofErr w:type="spellEnd"/>
            <w:r w:rsidRPr="006206CD">
              <w:rPr>
                <w:color w:val="000000"/>
              </w:rPr>
              <w:t xml:space="preserve">) (3A2, 3B2, 3H2). </w:t>
            </w:r>
          </w:p>
          <w:p w:rsidR="007E20AC" w:rsidRPr="006206CD" w:rsidRDefault="007E20AC" w:rsidP="007E20AC">
            <w:pPr>
              <w:numPr>
                <w:ilvl w:val="0"/>
                <w:numId w:val="40"/>
              </w:numPr>
              <w:spacing w:before="60" w:after="60" w:line="240" w:lineRule="auto"/>
              <w:ind w:left="230" w:hanging="230"/>
              <w:rPr>
                <w:color w:val="000000"/>
              </w:rPr>
            </w:pPr>
            <w:proofErr w:type="spellStart"/>
            <w:r w:rsidRPr="006206CD">
              <w:rPr>
                <w:color w:val="000000"/>
              </w:rPr>
              <w:t>Chaque</w:t>
            </w:r>
            <w:proofErr w:type="spellEnd"/>
            <w:r w:rsidRPr="006206CD">
              <w:rPr>
                <w:color w:val="000000"/>
              </w:rPr>
              <w:t xml:space="preserve"> </w:t>
            </w:r>
            <w:proofErr w:type="spellStart"/>
            <w:r w:rsidRPr="006206CD">
              <w:rPr>
                <w:color w:val="000000"/>
              </w:rPr>
              <w:t>emballage</w:t>
            </w:r>
            <w:proofErr w:type="spellEnd"/>
            <w:r w:rsidRPr="006206CD">
              <w:rPr>
                <w:color w:val="000000"/>
              </w:rPr>
              <w:t xml:space="preserve"> </w:t>
            </w:r>
            <w:proofErr w:type="spellStart"/>
            <w:r w:rsidRPr="006206CD">
              <w:rPr>
                <w:color w:val="000000"/>
              </w:rPr>
              <w:t>secondaire</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contenir</w:t>
            </w:r>
            <w:proofErr w:type="spellEnd"/>
            <w:r w:rsidRPr="006206CD">
              <w:rPr>
                <w:color w:val="000000"/>
              </w:rPr>
              <w:t xml:space="preserve"> </w:t>
            </w:r>
            <w:proofErr w:type="gramStart"/>
            <w:r w:rsidRPr="006206CD">
              <w:rPr>
                <w:color w:val="000000"/>
              </w:rPr>
              <w:t>un</w:t>
            </w:r>
            <w:proofErr w:type="gramEnd"/>
            <w:r w:rsidRPr="006206CD">
              <w:rPr>
                <w:color w:val="000000"/>
              </w:rPr>
              <w:t xml:space="preserve"> </w:t>
            </w:r>
            <w:proofErr w:type="spellStart"/>
            <w:r w:rsidRPr="006206CD">
              <w:rPr>
                <w:color w:val="000000"/>
              </w:rPr>
              <w:t>seul</w:t>
            </w:r>
            <w:proofErr w:type="spellEnd"/>
            <w:r w:rsidRPr="006206CD">
              <w:rPr>
                <w:color w:val="000000"/>
              </w:rPr>
              <w:t xml:space="preserve"> </w:t>
            </w:r>
            <w:proofErr w:type="spellStart"/>
            <w:r w:rsidRPr="006206CD">
              <w:rPr>
                <w:color w:val="000000"/>
              </w:rPr>
              <w:t>emballage</w:t>
            </w:r>
            <w:proofErr w:type="spellEnd"/>
            <w:r w:rsidRPr="006206CD">
              <w:rPr>
                <w:color w:val="000000"/>
              </w:rPr>
              <w:t xml:space="preserve"> </w:t>
            </w:r>
            <w:proofErr w:type="spellStart"/>
            <w:r w:rsidRPr="006206CD">
              <w:rPr>
                <w:color w:val="000000"/>
              </w:rPr>
              <w:t>primaire</w:t>
            </w:r>
            <w:proofErr w:type="spellEnd"/>
            <w:r w:rsidRPr="006206CD">
              <w:rPr>
                <w:color w:val="000000"/>
              </w:rPr>
              <w:t>.</w:t>
            </w:r>
          </w:p>
          <w:p w:rsidR="007E20AC" w:rsidRPr="006206CD" w:rsidRDefault="007E20AC" w:rsidP="007E20AC">
            <w:pPr>
              <w:numPr>
                <w:ilvl w:val="0"/>
                <w:numId w:val="40"/>
              </w:numPr>
              <w:spacing w:before="60" w:after="60" w:line="240" w:lineRule="auto"/>
              <w:ind w:left="230" w:hanging="230"/>
              <w:rPr>
                <w:color w:val="000000"/>
              </w:rPr>
            </w:pPr>
            <w:r w:rsidRPr="006206CD">
              <w:rPr>
                <w:color w:val="000000"/>
              </w:rPr>
              <w:t xml:space="preserve">Si des </w:t>
            </w:r>
            <w:proofErr w:type="spellStart"/>
            <w:r w:rsidRPr="006206CD">
              <w:rPr>
                <w:color w:val="000000"/>
              </w:rPr>
              <w:t>emballages</w:t>
            </w:r>
            <w:proofErr w:type="spellEnd"/>
            <w:r w:rsidRPr="006206CD">
              <w:rPr>
                <w:color w:val="000000"/>
              </w:rPr>
              <w:t xml:space="preserve"> </w:t>
            </w:r>
            <w:proofErr w:type="spellStart"/>
            <w:r w:rsidRPr="006206CD">
              <w:rPr>
                <w:color w:val="000000"/>
              </w:rPr>
              <w:t>primaires</w:t>
            </w:r>
            <w:proofErr w:type="spellEnd"/>
            <w:r w:rsidRPr="006206CD">
              <w:rPr>
                <w:color w:val="000000"/>
              </w:rPr>
              <w:t xml:space="preserve"> </w:t>
            </w:r>
            <w:proofErr w:type="gramStart"/>
            <w:r w:rsidRPr="006206CD">
              <w:rPr>
                <w:color w:val="000000"/>
              </w:rPr>
              <w:t>et</w:t>
            </w:r>
            <w:proofErr w:type="gramEnd"/>
            <w:r w:rsidRPr="006206CD">
              <w:rPr>
                <w:color w:val="000000"/>
              </w:rPr>
              <w:t xml:space="preserve"> </w:t>
            </w:r>
            <w:proofErr w:type="spellStart"/>
            <w:r w:rsidRPr="006206CD">
              <w:rPr>
                <w:color w:val="000000"/>
              </w:rPr>
              <w:t>secondaires</w:t>
            </w:r>
            <w:proofErr w:type="spellEnd"/>
            <w:r w:rsidRPr="006206CD">
              <w:rPr>
                <w:color w:val="000000"/>
              </w:rPr>
              <w:t xml:space="preserve"> </w:t>
            </w:r>
            <w:proofErr w:type="spellStart"/>
            <w:r w:rsidRPr="006206CD">
              <w:rPr>
                <w:color w:val="000000"/>
              </w:rPr>
              <w:t>souples</w:t>
            </w:r>
            <w:proofErr w:type="spellEnd"/>
            <w:r w:rsidRPr="006206CD">
              <w:rPr>
                <w:color w:val="000000"/>
              </w:rPr>
              <w:t xml:space="preserve"> </w:t>
            </w:r>
            <w:proofErr w:type="spellStart"/>
            <w:r w:rsidRPr="006206CD">
              <w:rPr>
                <w:color w:val="000000"/>
              </w:rPr>
              <w:t>sont</w:t>
            </w:r>
            <w:proofErr w:type="spellEnd"/>
            <w:r w:rsidRPr="006206CD">
              <w:rPr>
                <w:color w:val="000000"/>
              </w:rPr>
              <w:t xml:space="preserve"> </w:t>
            </w:r>
            <w:proofErr w:type="spellStart"/>
            <w:r w:rsidRPr="006206CD">
              <w:rPr>
                <w:color w:val="000000"/>
              </w:rPr>
              <w:t>utilisés</w:t>
            </w:r>
            <w:proofErr w:type="spellEnd"/>
            <w:r w:rsidRPr="006206CD">
              <w:rPr>
                <w:color w:val="000000"/>
              </w:rPr>
              <w:t xml:space="preserve">, </w:t>
            </w:r>
            <w:proofErr w:type="spellStart"/>
            <w:r w:rsidRPr="006206CD">
              <w:rPr>
                <w:color w:val="000000"/>
              </w:rPr>
              <w:t>ils</w:t>
            </w:r>
            <w:proofErr w:type="spellEnd"/>
            <w:r w:rsidRPr="006206CD">
              <w:rPr>
                <w:color w:val="000000"/>
              </w:rPr>
              <w:t xml:space="preserve"> </w:t>
            </w:r>
            <w:proofErr w:type="spellStart"/>
            <w:r w:rsidRPr="006206CD">
              <w:rPr>
                <w:color w:val="000000"/>
              </w:rPr>
              <w:t>doivent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des sacs en </w:t>
            </w:r>
            <w:proofErr w:type="spellStart"/>
            <w:r w:rsidRPr="006206CD">
              <w:rPr>
                <w:color w:val="000000"/>
              </w:rPr>
              <w:t>plastique</w:t>
            </w:r>
            <w:proofErr w:type="spellEnd"/>
            <w:r w:rsidRPr="006206CD">
              <w:rPr>
                <w:color w:val="000000"/>
              </w:rPr>
              <w:t xml:space="preserve"> </w:t>
            </w:r>
            <w:proofErr w:type="spellStart"/>
            <w:r w:rsidRPr="006206CD">
              <w:rPr>
                <w:color w:val="000000"/>
              </w:rPr>
              <w:t>étanches</w:t>
            </w:r>
            <w:proofErr w:type="spellEnd"/>
            <w:r w:rsidRPr="006206CD">
              <w:rPr>
                <w:color w:val="000000"/>
              </w:rPr>
              <w:t xml:space="preserve"> et </w:t>
            </w:r>
            <w:proofErr w:type="spellStart"/>
            <w:r w:rsidRPr="006206CD">
              <w:rPr>
                <w:color w:val="000000"/>
              </w:rPr>
              <w:t>fermés</w:t>
            </w:r>
            <w:proofErr w:type="spellEnd"/>
            <w:r w:rsidRPr="006206CD">
              <w:rPr>
                <w:color w:val="000000"/>
              </w:rPr>
              <w:t xml:space="preserve"> </w:t>
            </w:r>
            <w:proofErr w:type="spellStart"/>
            <w:r w:rsidRPr="006206CD">
              <w:rPr>
                <w:color w:val="000000"/>
              </w:rPr>
              <w:t>hermétiquement</w:t>
            </w:r>
            <w:proofErr w:type="spellEnd"/>
            <w:r w:rsidRPr="006206CD">
              <w:rPr>
                <w:color w:val="000000"/>
              </w:rPr>
              <w:t xml:space="preserve"> de </w:t>
            </w:r>
            <w:proofErr w:type="spellStart"/>
            <w:r w:rsidRPr="006206CD">
              <w:rPr>
                <w:color w:val="000000"/>
              </w:rPr>
              <w:t>manière</w:t>
            </w:r>
            <w:proofErr w:type="spellEnd"/>
            <w:r w:rsidRPr="006206CD">
              <w:rPr>
                <w:color w:val="000000"/>
              </w:rPr>
              <w:t xml:space="preserve"> à </w:t>
            </w:r>
            <w:proofErr w:type="spellStart"/>
            <w:r w:rsidRPr="006206CD">
              <w:rPr>
                <w:color w:val="000000"/>
              </w:rPr>
              <w:t>ce</w:t>
            </w:r>
            <w:proofErr w:type="spellEnd"/>
            <w:r w:rsidRPr="006206CD">
              <w:rPr>
                <w:color w:val="000000"/>
              </w:rPr>
              <w:t xml:space="preserve"> </w:t>
            </w:r>
            <w:proofErr w:type="spellStart"/>
            <w:r w:rsidRPr="006206CD">
              <w:rPr>
                <w:color w:val="000000"/>
              </w:rPr>
              <w:t>que</w:t>
            </w:r>
            <w:proofErr w:type="spellEnd"/>
            <w:r w:rsidRPr="006206CD">
              <w:rPr>
                <w:color w:val="000000"/>
              </w:rPr>
              <w:t xml:space="preserve"> les sacs </w:t>
            </w:r>
            <w:proofErr w:type="spellStart"/>
            <w:r w:rsidRPr="006206CD">
              <w:rPr>
                <w:color w:val="000000"/>
              </w:rPr>
              <w:t>soient</w:t>
            </w:r>
            <w:proofErr w:type="spellEnd"/>
            <w:r w:rsidRPr="006206CD">
              <w:rPr>
                <w:color w:val="000000"/>
              </w:rPr>
              <w:t xml:space="preserve"> </w:t>
            </w:r>
            <w:proofErr w:type="spellStart"/>
            <w:r w:rsidRPr="006206CD">
              <w:rPr>
                <w:color w:val="000000"/>
              </w:rPr>
              <w:t>capables</w:t>
            </w:r>
            <w:proofErr w:type="spellEnd"/>
            <w:r w:rsidRPr="006206CD">
              <w:rPr>
                <w:color w:val="000000"/>
              </w:rPr>
              <w:t xml:space="preserve"> d’être </w:t>
            </w:r>
            <w:proofErr w:type="spellStart"/>
            <w:r w:rsidRPr="006206CD">
              <w:rPr>
                <w:color w:val="000000"/>
              </w:rPr>
              <w:t>maintenus</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une</w:t>
            </w:r>
            <w:proofErr w:type="spellEnd"/>
            <w:r w:rsidRPr="006206CD">
              <w:rPr>
                <w:color w:val="000000"/>
              </w:rPr>
              <w:t xml:space="preserve"> position </w:t>
            </w:r>
            <w:proofErr w:type="spellStart"/>
            <w:r w:rsidRPr="006206CD">
              <w:rPr>
                <w:color w:val="000000"/>
              </w:rPr>
              <w:t>inversée</w:t>
            </w:r>
            <w:proofErr w:type="spellEnd"/>
            <w:r w:rsidRPr="006206CD">
              <w:rPr>
                <w:color w:val="000000"/>
              </w:rPr>
              <w:t xml:space="preserve"> avec </w:t>
            </w:r>
            <w:proofErr w:type="spellStart"/>
            <w:r w:rsidRPr="006206CD">
              <w:rPr>
                <w:color w:val="000000"/>
              </w:rPr>
              <w:t>l’extrémité</w:t>
            </w:r>
            <w:proofErr w:type="spellEnd"/>
            <w:r w:rsidRPr="006206CD">
              <w:rPr>
                <w:color w:val="000000"/>
              </w:rPr>
              <w:t xml:space="preserve"> </w:t>
            </w:r>
            <w:proofErr w:type="spellStart"/>
            <w:r w:rsidRPr="006206CD">
              <w:rPr>
                <w:color w:val="000000"/>
              </w:rPr>
              <w:t>fermée</w:t>
            </w:r>
            <w:proofErr w:type="spellEnd"/>
            <w:r w:rsidRPr="006206CD">
              <w:rPr>
                <w:color w:val="000000"/>
              </w:rPr>
              <w:t xml:space="preserve"> </w:t>
            </w:r>
            <w:proofErr w:type="spellStart"/>
            <w:r w:rsidRPr="006206CD">
              <w:rPr>
                <w:color w:val="000000"/>
              </w:rPr>
              <w:t>tournée</w:t>
            </w:r>
            <w:proofErr w:type="spellEnd"/>
            <w:r w:rsidRPr="006206CD">
              <w:rPr>
                <w:color w:val="000000"/>
              </w:rPr>
              <w:t xml:space="preserve"> </w:t>
            </w:r>
            <w:proofErr w:type="spellStart"/>
            <w:r w:rsidRPr="006206CD">
              <w:rPr>
                <w:color w:val="000000"/>
              </w:rPr>
              <w:t>vers</w:t>
            </w:r>
            <w:proofErr w:type="spellEnd"/>
            <w:r w:rsidRPr="006206CD">
              <w:rPr>
                <w:color w:val="000000"/>
              </w:rPr>
              <w:t xml:space="preserve"> le bas pendant </w:t>
            </w:r>
            <w:proofErr w:type="spellStart"/>
            <w:r w:rsidRPr="006206CD">
              <w:rPr>
                <w:color w:val="000000"/>
              </w:rPr>
              <w:t>une</w:t>
            </w:r>
            <w:proofErr w:type="spellEnd"/>
            <w:r w:rsidRPr="006206CD">
              <w:rPr>
                <w:color w:val="000000"/>
              </w:rPr>
              <w:t xml:space="preserve"> </w:t>
            </w:r>
            <w:proofErr w:type="spellStart"/>
            <w:r w:rsidRPr="006206CD">
              <w:rPr>
                <w:color w:val="000000"/>
              </w:rPr>
              <w:t>période</w:t>
            </w:r>
            <w:proofErr w:type="spellEnd"/>
            <w:r w:rsidRPr="006206CD">
              <w:rPr>
                <w:color w:val="000000"/>
              </w:rPr>
              <w:t xml:space="preserve"> de 5 minutes sans faire de </w:t>
            </w:r>
            <w:proofErr w:type="spellStart"/>
            <w:r w:rsidRPr="006206CD">
              <w:rPr>
                <w:color w:val="000000"/>
              </w:rPr>
              <w:t>fuite</w:t>
            </w:r>
            <w:proofErr w:type="spellEnd"/>
            <w:r w:rsidRPr="006206CD">
              <w:rPr>
                <w:color w:val="000000"/>
              </w:rPr>
              <w:t xml:space="preserve">. Le film </w:t>
            </w:r>
            <w:proofErr w:type="spellStart"/>
            <w:r w:rsidRPr="006206CD">
              <w:rPr>
                <w:color w:val="000000"/>
              </w:rPr>
              <w:t>plastique</w:t>
            </w:r>
            <w:proofErr w:type="spellEnd"/>
            <w:r w:rsidRPr="006206CD">
              <w:rPr>
                <w:color w:val="000000"/>
              </w:rPr>
              <w:t xml:space="preserve"> </w:t>
            </w:r>
            <w:proofErr w:type="spellStart"/>
            <w:r w:rsidRPr="006206CD">
              <w:rPr>
                <w:color w:val="000000"/>
              </w:rPr>
              <w:t>dont</w:t>
            </w:r>
            <w:proofErr w:type="spellEnd"/>
            <w:r w:rsidRPr="006206CD">
              <w:rPr>
                <w:color w:val="000000"/>
              </w:rPr>
              <w:t xml:space="preserve"> les sacs </w:t>
            </w:r>
            <w:proofErr w:type="spellStart"/>
            <w:r w:rsidRPr="006206CD">
              <w:rPr>
                <w:color w:val="000000"/>
              </w:rPr>
              <w:t>sont</w:t>
            </w:r>
            <w:proofErr w:type="spellEnd"/>
            <w:r w:rsidRPr="006206CD">
              <w:rPr>
                <w:color w:val="000000"/>
              </w:rPr>
              <w:t xml:space="preserve"> </w:t>
            </w:r>
            <w:proofErr w:type="spellStart"/>
            <w:r w:rsidRPr="006206CD">
              <w:rPr>
                <w:color w:val="000000"/>
              </w:rPr>
              <w:t>faits</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aussi</w:t>
            </w:r>
            <w:proofErr w:type="spellEnd"/>
            <w:r w:rsidRPr="006206CD">
              <w:rPr>
                <w:color w:val="000000"/>
              </w:rPr>
              <w:t xml:space="preserve"> </w:t>
            </w:r>
            <w:proofErr w:type="spellStart"/>
            <w:r w:rsidRPr="006206CD">
              <w:rPr>
                <w:color w:val="000000"/>
              </w:rPr>
              <w:t>avoir</w:t>
            </w:r>
            <w:proofErr w:type="spellEnd"/>
            <w:r w:rsidRPr="006206CD">
              <w:rPr>
                <w:color w:val="000000"/>
              </w:rPr>
              <w:t xml:space="preserve"> </w:t>
            </w:r>
            <w:proofErr w:type="spellStart"/>
            <w:r w:rsidRPr="006206CD">
              <w:rPr>
                <w:color w:val="000000"/>
              </w:rPr>
              <w:t>une</w:t>
            </w:r>
            <w:proofErr w:type="spellEnd"/>
            <w:r w:rsidRPr="006206CD">
              <w:rPr>
                <w:color w:val="000000"/>
              </w:rPr>
              <w:t xml:space="preserve"> résistance aux </w:t>
            </w:r>
            <w:proofErr w:type="spellStart"/>
            <w:r w:rsidRPr="006206CD">
              <w:rPr>
                <w:color w:val="000000"/>
              </w:rPr>
              <w:t>chocs</w:t>
            </w:r>
            <w:proofErr w:type="spellEnd"/>
            <w:r w:rsidRPr="006206CD">
              <w:rPr>
                <w:color w:val="000000"/>
              </w:rPr>
              <w:t xml:space="preserve"> </w:t>
            </w:r>
            <w:proofErr w:type="spellStart"/>
            <w:r w:rsidRPr="006206CD">
              <w:rPr>
                <w:color w:val="000000"/>
              </w:rPr>
              <w:t>d’au</w:t>
            </w:r>
            <w:proofErr w:type="spellEnd"/>
            <w:r w:rsidRPr="006206CD">
              <w:rPr>
                <w:color w:val="000000"/>
              </w:rPr>
              <w:t xml:space="preserve"> </w:t>
            </w:r>
            <w:proofErr w:type="spellStart"/>
            <w:r w:rsidRPr="006206CD">
              <w:rPr>
                <w:color w:val="000000"/>
              </w:rPr>
              <w:t>moins</w:t>
            </w:r>
            <w:proofErr w:type="spellEnd"/>
            <w:r w:rsidRPr="006206CD">
              <w:rPr>
                <w:color w:val="000000"/>
              </w:rPr>
              <w:t xml:space="preserve"> 165 g, </w:t>
            </w:r>
            <w:proofErr w:type="spellStart"/>
            <w:r w:rsidRPr="006206CD">
              <w:rPr>
                <w:color w:val="000000"/>
              </w:rPr>
              <w:t>conformément</w:t>
            </w:r>
            <w:proofErr w:type="spellEnd"/>
            <w:r w:rsidRPr="006206CD">
              <w:rPr>
                <w:color w:val="000000"/>
              </w:rPr>
              <w:t xml:space="preserve"> à la </w:t>
            </w:r>
            <w:proofErr w:type="spellStart"/>
            <w:r w:rsidRPr="006206CD">
              <w:rPr>
                <w:color w:val="000000"/>
              </w:rPr>
              <w:t>norme</w:t>
            </w:r>
            <w:proofErr w:type="spellEnd"/>
            <w:r w:rsidRPr="006206CD">
              <w:rPr>
                <w:color w:val="000000"/>
              </w:rPr>
              <w:t xml:space="preserve"> ISO 7765</w:t>
            </w:r>
            <w:r w:rsidRPr="006206CD">
              <w:rPr>
                <w:color w:val="000000"/>
              </w:rPr>
              <w:noBreakHyphen/>
              <w:t xml:space="preserve">1988, « Film et </w:t>
            </w:r>
            <w:proofErr w:type="spellStart"/>
            <w:r w:rsidRPr="006206CD">
              <w:rPr>
                <w:color w:val="000000"/>
              </w:rPr>
              <w:t>feuille</w:t>
            </w:r>
            <w:proofErr w:type="spellEnd"/>
            <w:r w:rsidRPr="006206CD">
              <w:rPr>
                <w:color w:val="000000"/>
              </w:rPr>
              <w:t xml:space="preserve"> de </w:t>
            </w:r>
            <w:proofErr w:type="spellStart"/>
            <w:r w:rsidRPr="006206CD">
              <w:rPr>
                <w:color w:val="000000"/>
              </w:rPr>
              <w:t>plastiques</w:t>
            </w:r>
            <w:proofErr w:type="spellEnd"/>
            <w:r w:rsidRPr="006206CD">
              <w:rPr>
                <w:color w:val="000000"/>
              </w:rPr>
              <w:t xml:space="preserve"> – </w:t>
            </w:r>
            <w:proofErr w:type="spellStart"/>
            <w:r w:rsidRPr="006206CD">
              <w:rPr>
                <w:color w:val="000000"/>
              </w:rPr>
              <w:t>Détermination</w:t>
            </w:r>
            <w:proofErr w:type="spellEnd"/>
            <w:r w:rsidRPr="006206CD">
              <w:rPr>
                <w:color w:val="000000"/>
              </w:rPr>
              <w:t xml:space="preserve"> de la résistance au choc par la </w:t>
            </w:r>
            <w:proofErr w:type="spellStart"/>
            <w:r w:rsidRPr="006206CD">
              <w:rPr>
                <w:color w:val="000000"/>
              </w:rPr>
              <w:t>méthode</w:t>
            </w:r>
            <w:proofErr w:type="spellEnd"/>
            <w:r w:rsidRPr="006206CD">
              <w:rPr>
                <w:color w:val="000000"/>
              </w:rPr>
              <w:t xml:space="preserve"> par chute </w:t>
            </w:r>
            <w:proofErr w:type="spellStart"/>
            <w:r w:rsidRPr="006206CD">
              <w:rPr>
                <w:color w:val="000000"/>
              </w:rPr>
              <w:t>libre</w:t>
            </w:r>
            <w:proofErr w:type="spellEnd"/>
            <w:r w:rsidRPr="006206CD">
              <w:rPr>
                <w:color w:val="000000"/>
              </w:rPr>
              <w:t xml:space="preserve"> de projectile – </w:t>
            </w:r>
            <w:proofErr w:type="spellStart"/>
            <w:r w:rsidRPr="006206CD">
              <w:rPr>
                <w:color w:val="000000"/>
              </w:rPr>
              <w:t>Partie</w:t>
            </w:r>
            <w:proofErr w:type="spellEnd"/>
            <w:r w:rsidRPr="006206CD">
              <w:rPr>
                <w:color w:val="000000"/>
              </w:rPr>
              <w:t xml:space="preserve"> 1 : </w:t>
            </w:r>
            <w:proofErr w:type="spellStart"/>
            <w:r w:rsidRPr="006206CD">
              <w:rPr>
                <w:color w:val="000000"/>
              </w:rPr>
              <w:t>Méthodes</w:t>
            </w:r>
            <w:proofErr w:type="spellEnd"/>
            <w:r w:rsidRPr="006206CD">
              <w:rPr>
                <w:color w:val="000000"/>
              </w:rPr>
              <w:t xml:space="preserve"> </w:t>
            </w:r>
            <w:proofErr w:type="spellStart"/>
            <w:r w:rsidRPr="006206CD">
              <w:rPr>
                <w:color w:val="000000"/>
              </w:rPr>
              <w:t>dites</w:t>
            </w:r>
            <w:proofErr w:type="spellEnd"/>
            <w:r w:rsidRPr="006206CD">
              <w:rPr>
                <w:color w:val="000000"/>
              </w:rPr>
              <w:t xml:space="preserve"> de "</w:t>
            </w:r>
            <w:proofErr w:type="spellStart"/>
            <w:r w:rsidRPr="006206CD">
              <w:rPr>
                <w:color w:val="000000"/>
              </w:rPr>
              <w:t>l’escalier</w:t>
            </w:r>
            <w:proofErr w:type="spellEnd"/>
            <w:r w:rsidRPr="006206CD">
              <w:rPr>
                <w:color w:val="000000"/>
              </w:rPr>
              <w:t xml:space="preserve">" », et </w:t>
            </w:r>
            <w:proofErr w:type="spellStart"/>
            <w:r w:rsidRPr="006206CD">
              <w:rPr>
                <w:color w:val="000000"/>
              </w:rPr>
              <w:t>avoir</w:t>
            </w:r>
            <w:proofErr w:type="spellEnd"/>
            <w:r w:rsidRPr="006206CD">
              <w:rPr>
                <w:color w:val="000000"/>
              </w:rPr>
              <w:t xml:space="preserve"> </w:t>
            </w:r>
            <w:proofErr w:type="spellStart"/>
            <w:r w:rsidRPr="006206CD">
              <w:rPr>
                <w:color w:val="000000"/>
              </w:rPr>
              <w:t>une</w:t>
            </w:r>
            <w:proofErr w:type="spellEnd"/>
            <w:r w:rsidRPr="006206CD">
              <w:rPr>
                <w:color w:val="000000"/>
              </w:rPr>
              <w:t xml:space="preserve"> résistance au </w:t>
            </w:r>
            <w:proofErr w:type="spellStart"/>
            <w:r w:rsidRPr="006206CD">
              <w:rPr>
                <w:color w:val="000000"/>
              </w:rPr>
              <w:t>déchirement</w:t>
            </w:r>
            <w:proofErr w:type="spellEnd"/>
            <w:r w:rsidRPr="006206CD">
              <w:rPr>
                <w:color w:val="000000"/>
              </w:rPr>
              <w:t xml:space="preserve"> </w:t>
            </w:r>
            <w:proofErr w:type="spellStart"/>
            <w:r w:rsidRPr="006206CD">
              <w:rPr>
                <w:color w:val="000000"/>
              </w:rPr>
              <w:t>d’au</w:t>
            </w:r>
            <w:proofErr w:type="spellEnd"/>
            <w:r w:rsidRPr="006206CD">
              <w:rPr>
                <w:color w:val="000000"/>
              </w:rPr>
              <w:t xml:space="preserve"> </w:t>
            </w:r>
            <w:proofErr w:type="spellStart"/>
            <w:r w:rsidRPr="006206CD">
              <w:rPr>
                <w:color w:val="000000"/>
              </w:rPr>
              <w:t>moins</w:t>
            </w:r>
            <w:proofErr w:type="spellEnd"/>
            <w:r w:rsidRPr="006206CD">
              <w:rPr>
                <w:color w:val="000000"/>
              </w:rPr>
              <w:t xml:space="preserve"> 480 g </w:t>
            </w:r>
            <w:proofErr w:type="spellStart"/>
            <w:r w:rsidRPr="006206CD">
              <w:rPr>
                <w:color w:val="000000"/>
              </w:rPr>
              <w:t>sur</w:t>
            </w:r>
            <w:proofErr w:type="spellEnd"/>
            <w:r w:rsidRPr="006206CD">
              <w:rPr>
                <w:color w:val="000000"/>
              </w:rPr>
              <w:t xml:space="preserve"> des plans </w:t>
            </w:r>
            <w:proofErr w:type="spellStart"/>
            <w:r w:rsidRPr="006206CD">
              <w:rPr>
                <w:color w:val="000000"/>
              </w:rPr>
              <w:t>parallèles</w:t>
            </w:r>
            <w:proofErr w:type="spellEnd"/>
            <w:r w:rsidRPr="006206CD">
              <w:rPr>
                <w:color w:val="000000"/>
              </w:rPr>
              <w:t xml:space="preserve"> et </w:t>
            </w:r>
            <w:proofErr w:type="spellStart"/>
            <w:r w:rsidRPr="006206CD">
              <w:rPr>
                <w:color w:val="000000"/>
              </w:rPr>
              <w:t>perpendiculaires</w:t>
            </w:r>
            <w:proofErr w:type="spellEnd"/>
            <w:r w:rsidRPr="006206CD">
              <w:rPr>
                <w:color w:val="000000"/>
              </w:rPr>
              <w:t xml:space="preserve"> au plan longitudinal du sac, </w:t>
            </w:r>
            <w:proofErr w:type="spellStart"/>
            <w:r w:rsidRPr="006206CD">
              <w:rPr>
                <w:color w:val="000000"/>
              </w:rPr>
              <w:t>conformément</w:t>
            </w:r>
            <w:proofErr w:type="spellEnd"/>
            <w:r w:rsidRPr="006206CD">
              <w:rPr>
                <w:color w:val="000000"/>
              </w:rPr>
              <w:t xml:space="preserve"> à la </w:t>
            </w:r>
            <w:proofErr w:type="spellStart"/>
            <w:r w:rsidRPr="006206CD">
              <w:rPr>
                <w:color w:val="000000"/>
              </w:rPr>
              <w:t>norme</w:t>
            </w:r>
            <w:proofErr w:type="spellEnd"/>
            <w:r w:rsidRPr="006206CD">
              <w:rPr>
                <w:color w:val="000000"/>
              </w:rPr>
              <w:t> ISO 6383</w:t>
            </w:r>
            <w:r w:rsidRPr="006206CD">
              <w:rPr>
                <w:color w:val="000000"/>
              </w:rPr>
              <w:noBreakHyphen/>
              <w:t>2:1983, « </w:t>
            </w:r>
            <w:proofErr w:type="spellStart"/>
            <w:r w:rsidRPr="006206CD">
              <w:rPr>
                <w:color w:val="000000"/>
              </w:rPr>
              <w:t>Plastiques</w:t>
            </w:r>
            <w:proofErr w:type="spellEnd"/>
            <w:r w:rsidRPr="006206CD">
              <w:rPr>
                <w:color w:val="000000"/>
              </w:rPr>
              <w:t xml:space="preserve"> – Film et </w:t>
            </w:r>
            <w:proofErr w:type="spellStart"/>
            <w:r w:rsidRPr="006206CD">
              <w:rPr>
                <w:color w:val="000000"/>
              </w:rPr>
              <w:t>feuille</w:t>
            </w:r>
            <w:proofErr w:type="spellEnd"/>
            <w:r w:rsidRPr="006206CD">
              <w:rPr>
                <w:color w:val="000000"/>
              </w:rPr>
              <w:t xml:space="preserve"> – </w:t>
            </w:r>
            <w:proofErr w:type="spellStart"/>
            <w:r w:rsidRPr="006206CD">
              <w:rPr>
                <w:color w:val="000000"/>
              </w:rPr>
              <w:t>Détermination</w:t>
            </w:r>
            <w:proofErr w:type="spellEnd"/>
            <w:r w:rsidRPr="006206CD">
              <w:rPr>
                <w:color w:val="000000"/>
              </w:rPr>
              <w:t xml:space="preserve"> de la résistance au </w:t>
            </w:r>
            <w:proofErr w:type="spellStart"/>
            <w:r w:rsidRPr="006206CD">
              <w:rPr>
                <w:color w:val="000000"/>
              </w:rPr>
              <w:t>déchirement</w:t>
            </w:r>
            <w:proofErr w:type="spellEnd"/>
            <w:r w:rsidRPr="006206CD">
              <w:rPr>
                <w:color w:val="000000"/>
              </w:rPr>
              <w:t xml:space="preserve"> – </w:t>
            </w:r>
            <w:proofErr w:type="spellStart"/>
            <w:r w:rsidRPr="006206CD">
              <w:rPr>
                <w:color w:val="000000"/>
              </w:rPr>
              <w:t>Partie</w:t>
            </w:r>
            <w:proofErr w:type="spellEnd"/>
            <w:r w:rsidRPr="006206CD">
              <w:rPr>
                <w:color w:val="000000"/>
              </w:rPr>
              <w:t xml:space="preserve"> 2 : </w:t>
            </w:r>
            <w:proofErr w:type="spellStart"/>
            <w:r w:rsidRPr="006206CD">
              <w:rPr>
                <w:color w:val="000000"/>
              </w:rPr>
              <w:t>Méthode</w:t>
            </w:r>
            <w:proofErr w:type="spellEnd"/>
            <w:r w:rsidRPr="006206CD">
              <w:rPr>
                <w:color w:val="000000"/>
              </w:rPr>
              <w:t xml:space="preserve"> Elmendorf ». La masse brute d’un sac en </w:t>
            </w:r>
            <w:proofErr w:type="spellStart"/>
            <w:r w:rsidRPr="006206CD">
              <w:rPr>
                <w:color w:val="000000"/>
              </w:rPr>
              <w:t>plastique</w:t>
            </w:r>
            <w:proofErr w:type="spellEnd"/>
            <w:r w:rsidRPr="006206CD">
              <w:rPr>
                <w:color w:val="000000"/>
              </w:rPr>
              <w:t xml:space="preserve"> </w:t>
            </w:r>
            <w:proofErr w:type="spellStart"/>
            <w:r w:rsidRPr="006206CD">
              <w:rPr>
                <w:color w:val="000000"/>
              </w:rPr>
              <w:t>fermé</w:t>
            </w:r>
            <w:proofErr w:type="spellEnd"/>
            <w:r>
              <w:rPr>
                <w:color w:val="000000"/>
              </w:rPr>
              <w:t xml:space="preserve"> </w:t>
            </w:r>
            <w:proofErr w:type="spellStart"/>
            <w:r>
              <w:rPr>
                <w:color w:val="000000"/>
              </w:rPr>
              <w:t>utilisé</w:t>
            </w:r>
            <w:proofErr w:type="spellEnd"/>
            <w:r>
              <w:rPr>
                <w:color w:val="000000"/>
              </w:rPr>
              <w:t xml:space="preserve"> </w:t>
            </w:r>
            <w:proofErr w:type="spellStart"/>
            <w:r>
              <w:rPr>
                <w:color w:val="000000"/>
              </w:rPr>
              <w:t>comme</w:t>
            </w:r>
            <w:proofErr w:type="spellEnd"/>
            <w:r>
              <w:rPr>
                <w:color w:val="000000"/>
              </w:rPr>
              <w:t xml:space="preserve"> </w:t>
            </w:r>
            <w:proofErr w:type="spellStart"/>
            <w:r>
              <w:rPr>
                <w:color w:val="000000"/>
              </w:rPr>
              <w:t>emballage</w:t>
            </w:r>
            <w:proofErr w:type="spellEnd"/>
            <w:r>
              <w:rPr>
                <w:color w:val="000000"/>
              </w:rPr>
              <w:t xml:space="preserve"> </w:t>
            </w:r>
            <w:proofErr w:type="spellStart"/>
            <w:r>
              <w:rPr>
                <w:color w:val="000000"/>
              </w:rPr>
              <w:t>primaire</w:t>
            </w:r>
            <w:proofErr w:type="spellEnd"/>
            <w:r w:rsidRPr="006206CD">
              <w:rPr>
                <w:color w:val="000000"/>
              </w:rPr>
              <w:t xml:space="preserve"> ne </w:t>
            </w:r>
            <w:proofErr w:type="spellStart"/>
            <w:r w:rsidRPr="006206CD">
              <w:rPr>
                <w:color w:val="000000"/>
              </w:rPr>
              <w:t>doit</w:t>
            </w:r>
            <w:proofErr w:type="spellEnd"/>
            <w:r w:rsidRPr="006206CD">
              <w:rPr>
                <w:color w:val="000000"/>
              </w:rPr>
              <w:t xml:space="preserve"> pas </w:t>
            </w:r>
            <w:proofErr w:type="spellStart"/>
            <w:r w:rsidRPr="006206CD">
              <w:rPr>
                <w:color w:val="000000"/>
              </w:rPr>
              <w:t>dépasser</w:t>
            </w:r>
            <w:proofErr w:type="spellEnd"/>
            <w:r w:rsidRPr="006206CD">
              <w:rPr>
                <w:color w:val="000000"/>
              </w:rPr>
              <w:t xml:space="preserve"> 10 kg.</w:t>
            </w:r>
          </w:p>
          <w:p w:rsidR="007E20AC" w:rsidRPr="006206CD" w:rsidRDefault="007E20AC" w:rsidP="007E20AC">
            <w:pPr>
              <w:numPr>
                <w:ilvl w:val="0"/>
                <w:numId w:val="40"/>
              </w:numPr>
              <w:spacing w:before="60" w:after="60" w:line="240" w:lineRule="auto"/>
              <w:ind w:left="230" w:hanging="230"/>
              <w:rPr>
                <w:color w:val="000000"/>
              </w:rPr>
            </w:pPr>
            <w:r>
              <w:rPr>
                <w:color w:val="000000"/>
              </w:rPr>
              <w:t xml:space="preserve">Si </w:t>
            </w:r>
            <w:proofErr w:type="spellStart"/>
            <w:r>
              <w:rPr>
                <w:color w:val="000000"/>
              </w:rPr>
              <w:t>l’on</w:t>
            </w:r>
            <w:proofErr w:type="spellEnd"/>
            <w:r w:rsidRPr="006206CD">
              <w:rPr>
                <w:color w:val="000000"/>
              </w:rPr>
              <w:t xml:space="preserve"> ne </w:t>
            </w:r>
            <w:proofErr w:type="spellStart"/>
            <w:r w:rsidRPr="006206CD">
              <w:rPr>
                <w:color w:val="000000"/>
              </w:rPr>
              <w:t>peut</w:t>
            </w:r>
            <w:proofErr w:type="spellEnd"/>
            <w:r w:rsidRPr="006206CD">
              <w:rPr>
                <w:color w:val="000000"/>
              </w:rPr>
              <w:t xml:space="preserve"> </w:t>
            </w:r>
            <w:proofErr w:type="spellStart"/>
            <w:r w:rsidRPr="006206CD">
              <w:rPr>
                <w:color w:val="000000"/>
              </w:rPr>
              <w:t>exclure</w:t>
            </w:r>
            <w:proofErr w:type="spellEnd"/>
            <w:r w:rsidRPr="006206CD">
              <w:rPr>
                <w:color w:val="000000"/>
              </w:rPr>
              <w:t xml:space="preserve"> la </w:t>
            </w:r>
            <w:proofErr w:type="spellStart"/>
            <w:r w:rsidRPr="006206CD">
              <w:rPr>
                <w:color w:val="000000"/>
              </w:rPr>
              <w:t>présence</w:t>
            </w:r>
            <w:proofErr w:type="spellEnd"/>
            <w:r w:rsidRPr="006206CD">
              <w:rPr>
                <w:color w:val="000000"/>
              </w:rPr>
              <w:t xml:space="preserve"> de </w:t>
            </w:r>
            <w:proofErr w:type="spellStart"/>
            <w:r w:rsidRPr="006206CD">
              <w:rPr>
                <w:color w:val="000000"/>
              </w:rPr>
              <w:t>liquide</w:t>
            </w:r>
            <w:proofErr w:type="spellEnd"/>
            <w:r w:rsidRPr="006206CD">
              <w:rPr>
                <w:color w:val="000000"/>
              </w:rPr>
              <w:t xml:space="preserve"> </w:t>
            </w:r>
            <w:proofErr w:type="spellStart"/>
            <w:r w:rsidRPr="006206CD">
              <w:rPr>
                <w:color w:val="000000"/>
              </w:rPr>
              <w:t>résiduel</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l’emballage</w:t>
            </w:r>
            <w:proofErr w:type="spellEnd"/>
            <w:r w:rsidRPr="006206CD">
              <w:rPr>
                <w:color w:val="000000"/>
              </w:rPr>
              <w:t xml:space="preserve"> </w:t>
            </w:r>
            <w:proofErr w:type="spellStart"/>
            <w:r w:rsidRPr="006206CD">
              <w:rPr>
                <w:color w:val="000000"/>
              </w:rPr>
              <w:t>primaire</w:t>
            </w:r>
            <w:proofErr w:type="spellEnd"/>
            <w:r w:rsidRPr="006206CD">
              <w:rPr>
                <w:color w:val="000000"/>
              </w:rPr>
              <w:t xml:space="preserve">, du </w:t>
            </w:r>
            <w:proofErr w:type="spellStart"/>
            <w:r w:rsidRPr="006206CD">
              <w:rPr>
                <w:color w:val="000000"/>
              </w:rPr>
              <w:t>matériau</w:t>
            </w:r>
            <w:proofErr w:type="spellEnd"/>
            <w:r w:rsidRPr="006206CD">
              <w:rPr>
                <w:color w:val="000000"/>
              </w:rPr>
              <w:t xml:space="preserve"> </w:t>
            </w:r>
            <w:proofErr w:type="spellStart"/>
            <w:r w:rsidRPr="006206CD">
              <w:rPr>
                <w:color w:val="000000"/>
              </w:rPr>
              <w:t>absorbant</w:t>
            </w:r>
            <w:proofErr w:type="spellEnd"/>
            <w:r w:rsidRPr="006206CD">
              <w:rPr>
                <w:color w:val="000000"/>
              </w:rPr>
              <w:t xml:space="preserve"> en </w:t>
            </w:r>
            <w:proofErr w:type="spellStart"/>
            <w:r w:rsidRPr="006206CD">
              <w:rPr>
                <w:color w:val="000000"/>
              </w:rPr>
              <w:t>quantité</w:t>
            </w:r>
            <w:proofErr w:type="spellEnd"/>
            <w:r w:rsidRPr="006206CD">
              <w:rPr>
                <w:color w:val="000000"/>
              </w:rPr>
              <w:t xml:space="preserve"> </w:t>
            </w:r>
            <w:proofErr w:type="spellStart"/>
            <w:r w:rsidRPr="006206CD">
              <w:rPr>
                <w:color w:val="000000"/>
              </w:rPr>
              <w:t>suffisante</w:t>
            </w:r>
            <w:proofErr w:type="spellEnd"/>
            <w:r w:rsidRPr="006206CD">
              <w:rPr>
                <w:color w:val="000000"/>
              </w:rPr>
              <w:t xml:space="preserve"> pour absorber la </w:t>
            </w:r>
            <w:proofErr w:type="spellStart"/>
            <w:r w:rsidRPr="006206CD">
              <w:rPr>
                <w:color w:val="000000"/>
              </w:rPr>
              <w:t>totalité</w:t>
            </w:r>
            <w:proofErr w:type="spellEnd"/>
            <w:r w:rsidRPr="006206CD">
              <w:rPr>
                <w:color w:val="000000"/>
              </w:rPr>
              <w:t xml:space="preserve"> du </w:t>
            </w:r>
            <w:proofErr w:type="spellStart"/>
            <w:r w:rsidRPr="006206CD">
              <w:rPr>
                <w:color w:val="000000"/>
              </w:rPr>
              <w:t>liquide</w:t>
            </w:r>
            <w:proofErr w:type="spellEnd"/>
            <w:r w:rsidRPr="006206CD">
              <w:rPr>
                <w:color w:val="000000"/>
              </w:rPr>
              <w:t xml:space="preserve"> qui </w:t>
            </w:r>
            <w:proofErr w:type="spellStart"/>
            <w:r w:rsidRPr="006206CD">
              <w:rPr>
                <w:color w:val="000000"/>
              </w:rPr>
              <w:t>pourrait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présent</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inséré</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l’emballage</w:t>
            </w:r>
            <w:proofErr w:type="spellEnd"/>
            <w:r w:rsidRPr="006206CD">
              <w:rPr>
                <w:color w:val="000000"/>
              </w:rPr>
              <w:t xml:space="preserve"> </w:t>
            </w:r>
            <w:proofErr w:type="spellStart"/>
            <w:r w:rsidRPr="006206CD">
              <w:rPr>
                <w:color w:val="000000"/>
              </w:rPr>
              <w:t>extérieur</w:t>
            </w:r>
            <w:proofErr w:type="spellEnd"/>
            <w:r w:rsidRPr="006206CD">
              <w:rPr>
                <w:color w:val="000000"/>
              </w:rPr>
              <w:t>.</w:t>
            </w:r>
          </w:p>
          <w:p w:rsidR="007E20AC" w:rsidRPr="006206CD" w:rsidRDefault="007E20AC" w:rsidP="00415AA8">
            <w:pPr>
              <w:spacing w:before="60" w:after="60" w:line="240" w:lineRule="auto"/>
              <w:rPr>
                <w:color w:val="000000"/>
              </w:rPr>
            </w:pPr>
          </w:p>
        </w:tc>
      </w:tr>
      <w:tr w:rsidR="007E20AC" w:rsidRPr="006206CD" w:rsidTr="00415AA8">
        <w:trPr>
          <w:trHeight w:val="244"/>
        </w:trPr>
        <w:tc>
          <w:tcPr>
            <w:tcW w:w="9643" w:type="dxa"/>
            <w:gridSpan w:val="3"/>
            <w:tcBorders>
              <w:top w:val="single" w:sz="4" w:space="0" w:color="000000"/>
              <w:bottom w:val="nil"/>
            </w:tcBorders>
          </w:tcPr>
          <w:p w:rsidR="007E20AC" w:rsidRPr="006206CD" w:rsidRDefault="007E20AC" w:rsidP="00415AA8">
            <w:pPr>
              <w:spacing w:before="60" w:after="60" w:line="240" w:lineRule="auto"/>
              <w:rPr>
                <w:color w:val="000000"/>
              </w:rPr>
            </w:pPr>
            <w:r w:rsidRPr="006206CD">
              <w:rPr>
                <w:b/>
                <w:color w:val="000000"/>
              </w:rPr>
              <w:t xml:space="preserve">Dispositions </w:t>
            </w:r>
            <w:proofErr w:type="spellStart"/>
            <w:r w:rsidRPr="006206CD">
              <w:rPr>
                <w:b/>
                <w:color w:val="000000"/>
              </w:rPr>
              <w:t>supplémentaires</w:t>
            </w:r>
            <w:proofErr w:type="spellEnd"/>
            <w:r w:rsidRPr="006206CD">
              <w:rPr>
                <w:b/>
                <w:color w:val="000000"/>
              </w:rPr>
              <w:t> :</w:t>
            </w:r>
          </w:p>
        </w:tc>
      </w:tr>
      <w:tr w:rsidR="007E20AC" w:rsidRPr="006206CD" w:rsidTr="00415AA8">
        <w:trPr>
          <w:trHeight w:val="360"/>
        </w:trPr>
        <w:tc>
          <w:tcPr>
            <w:tcW w:w="9643" w:type="dxa"/>
            <w:gridSpan w:val="3"/>
            <w:tcBorders>
              <w:top w:val="nil"/>
            </w:tcBorders>
            <w:vAlign w:val="center"/>
          </w:tcPr>
          <w:p w:rsidR="007E20AC" w:rsidRPr="006206CD" w:rsidRDefault="007E20AC" w:rsidP="007E20AC">
            <w:pPr>
              <w:numPr>
                <w:ilvl w:val="0"/>
                <w:numId w:val="42"/>
              </w:numPr>
              <w:spacing w:before="60" w:after="60" w:line="240" w:lineRule="auto"/>
              <w:ind w:left="230" w:hanging="230"/>
              <w:rPr>
                <w:color w:val="000000"/>
              </w:rPr>
            </w:pPr>
            <w:r w:rsidRPr="006206CD">
              <w:rPr>
                <w:color w:val="000000"/>
              </w:rPr>
              <w:t xml:space="preserve">La </w:t>
            </w:r>
            <w:proofErr w:type="spellStart"/>
            <w:r w:rsidRPr="006206CD">
              <w:rPr>
                <w:color w:val="000000"/>
              </w:rPr>
              <w:t>mise</w:t>
            </w:r>
            <w:proofErr w:type="spellEnd"/>
            <w:r w:rsidRPr="006206CD">
              <w:rPr>
                <w:color w:val="000000"/>
              </w:rPr>
              <w:t xml:space="preserve"> en </w:t>
            </w:r>
            <w:proofErr w:type="spellStart"/>
            <w:r w:rsidRPr="006206CD">
              <w:rPr>
                <w:color w:val="000000"/>
              </w:rPr>
              <w:t>œuvre</w:t>
            </w:r>
            <w:proofErr w:type="spellEnd"/>
            <w:r w:rsidRPr="006206CD">
              <w:rPr>
                <w:color w:val="000000"/>
              </w:rPr>
              <w:t xml:space="preserve"> </w:t>
            </w:r>
            <w:proofErr w:type="spellStart"/>
            <w:r w:rsidRPr="006206CD">
              <w:rPr>
                <w:color w:val="000000"/>
              </w:rPr>
              <w:t>particulière</w:t>
            </w:r>
            <w:proofErr w:type="spellEnd"/>
            <w:r w:rsidRPr="006206CD">
              <w:rPr>
                <w:color w:val="000000"/>
              </w:rPr>
              <w:t xml:space="preserve"> de </w:t>
            </w:r>
            <w:proofErr w:type="spellStart"/>
            <w:r w:rsidRPr="006206CD">
              <w:rPr>
                <w:color w:val="000000"/>
              </w:rPr>
              <w:t>cette</w:t>
            </w:r>
            <w:proofErr w:type="spellEnd"/>
            <w:r w:rsidRPr="006206CD">
              <w:rPr>
                <w:color w:val="000000"/>
              </w:rPr>
              <w:t xml:space="preserve"> instruction </w:t>
            </w:r>
            <w:proofErr w:type="spellStart"/>
            <w:r w:rsidRPr="006206CD">
              <w:rPr>
                <w:color w:val="000000"/>
              </w:rPr>
              <w:t>d’emballage</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approuvée</w:t>
            </w:r>
            <w:proofErr w:type="spellEnd"/>
            <w:r w:rsidRPr="006206CD">
              <w:rPr>
                <w:color w:val="000000"/>
              </w:rPr>
              <w:t xml:space="preserve"> </w:t>
            </w:r>
            <w:proofErr w:type="spellStart"/>
            <w:r w:rsidRPr="006206CD">
              <w:rPr>
                <w:color w:val="000000"/>
              </w:rPr>
              <w:t>par</w:t>
            </w:r>
            <w:proofErr w:type="spellEnd"/>
            <w:r w:rsidRPr="006206CD">
              <w:rPr>
                <w:color w:val="000000"/>
              </w:rPr>
              <w:t xml:space="preserve"> </w:t>
            </w:r>
            <w:proofErr w:type="spellStart"/>
            <w:r w:rsidRPr="006206CD">
              <w:rPr>
                <w:color w:val="000000"/>
              </w:rPr>
              <w:t>l’autorité</w:t>
            </w:r>
            <w:proofErr w:type="spellEnd"/>
            <w:r w:rsidRPr="006206CD">
              <w:rPr>
                <w:color w:val="000000"/>
              </w:rPr>
              <w:t xml:space="preserve"> </w:t>
            </w:r>
            <w:proofErr w:type="spellStart"/>
            <w:r w:rsidRPr="006206CD">
              <w:rPr>
                <w:color w:val="000000"/>
              </w:rPr>
              <w:t>compétente</w:t>
            </w:r>
            <w:proofErr w:type="spellEnd"/>
            <w:r w:rsidRPr="006206CD">
              <w:rPr>
                <w:color w:val="000000"/>
              </w:rPr>
              <w:t>.</w:t>
            </w:r>
          </w:p>
          <w:p w:rsidR="007E20AC" w:rsidRPr="006206CD" w:rsidRDefault="007E20AC" w:rsidP="007E20AC">
            <w:pPr>
              <w:numPr>
                <w:ilvl w:val="0"/>
                <w:numId w:val="42"/>
              </w:numPr>
              <w:spacing w:before="60" w:after="60" w:line="240" w:lineRule="auto"/>
              <w:ind w:left="230" w:hanging="230"/>
              <w:rPr>
                <w:color w:val="000000"/>
              </w:rPr>
            </w:pPr>
            <w:r w:rsidRPr="006206CD">
              <w:rPr>
                <w:color w:val="000000"/>
              </w:rPr>
              <w:t xml:space="preserve">La surface </w:t>
            </w:r>
            <w:proofErr w:type="spellStart"/>
            <w:r w:rsidRPr="006206CD">
              <w:rPr>
                <w:color w:val="000000"/>
              </w:rPr>
              <w:t>extérieure</w:t>
            </w:r>
            <w:proofErr w:type="spellEnd"/>
            <w:r w:rsidRPr="006206CD">
              <w:rPr>
                <w:color w:val="000000"/>
              </w:rPr>
              <w:t xml:space="preserve"> des </w:t>
            </w:r>
            <w:proofErr w:type="spellStart"/>
            <w:r w:rsidRPr="006206CD">
              <w:rPr>
                <w:color w:val="000000"/>
              </w:rPr>
              <w:t>emballages</w:t>
            </w:r>
            <w:proofErr w:type="spellEnd"/>
            <w:r w:rsidRPr="006206CD">
              <w:rPr>
                <w:color w:val="000000"/>
              </w:rPr>
              <w:t xml:space="preserve"> </w:t>
            </w:r>
            <w:proofErr w:type="spellStart"/>
            <w:r w:rsidRPr="006206CD">
              <w:rPr>
                <w:color w:val="000000"/>
              </w:rPr>
              <w:t>primaire</w:t>
            </w:r>
            <w:r>
              <w:rPr>
                <w:color w:val="000000"/>
              </w:rPr>
              <w:t>s</w:t>
            </w:r>
            <w:proofErr w:type="spellEnd"/>
            <w:r w:rsidRPr="006206CD">
              <w:rPr>
                <w:color w:val="000000"/>
              </w:rPr>
              <w:t xml:space="preserve"> </w:t>
            </w:r>
            <w:proofErr w:type="gramStart"/>
            <w:r w:rsidRPr="006206CD">
              <w:rPr>
                <w:color w:val="000000"/>
              </w:rPr>
              <w:t>et</w:t>
            </w:r>
            <w:proofErr w:type="gramEnd"/>
            <w:r w:rsidRPr="006206CD">
              <w:rPr>
                <w:color w:val="000000"/>
              </w:rPr>
              <w:t xml:space="preserve"> </w:t>
            </w:r>
            <w:proofErr w:type="spellStart"/>
            <w:r w:rsidRPr="006206CD">
              <w:rPr>
                <w:color w:val="000000"/>
              </w:rPr>
              <w:t>secondaire</w:t>
            </w:r>
            <w:r>
              <w:rPr>
                <w:color w:val="000000"/>
              </w:rPr>
              <w:t>s</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désinfectée</w:t>
            </w:r>
            <w:proofErr w:type="spellEnd"/>
            <w:r w:rsidRPr="006206CD">
              <w:rPr>
                <w:color w:val="000000"/>
              </w:rPr>
              <w:t xml:space="preserve"> </w:t>
            </w:r>
            <w:proofErr w:type="spellStart"/>
            <w:r w:rsidRPr="006206CD">
              <w:rPr>
                <w:color w:val="000000"/>
              </w:rPr>
              <w:t>avant</w:t>
            </w:r>
            <w:proofErr w:type="spellEnd"/>
            <w:r w:rsidRPr="006206CD">
              <w:rPr>
                <w:color w:val="000000"/>
              </w:rPr>
              <w:t xml:space="preserve"> </w:t>
            </w:r>
            <w:proofErr w:type="spellStart"/>
            <w:r>
              <w:rPr>
                <w:color w:val="000000"/>
              </w:rPr>
              <w:t>que</w:t>
            </w:r>
            <w:proofErr w:type="spellEnd"/>
            <w:r>
              <w:rPr>
                <w:color w:val="000000"/>
              </w:rPr>
              <w:t xml:space="preserve"> </w:t>
            </w:r>
            <w:proofErr w:type="spellStart"/>
            <w:r>
              <w:rPr>
                <w:color w:val="000000"/>
              </w:rPr>
              <w:t>ceux</w:t>
            </w:r>
            <w:proofErr w:type="spellEnd"/>
            <w:r>
              <w:rPr>
                <w:color w:val="000000"/>
              </w:rPr>
              <w:noBreakHyphen/>
              <w:t xml:space="preserve">ci ne </w:t>
            </w:r>
            <w:proofErr w:type="spellStart"/>
            <w:r>
              <w:rPr>
                <w:color w:val="000000"/>
              </w:rPr>
              <w:t>soient</w:t>
            </w:r>
            <w:proofErr w:type="spellEnd"/>
            <w:r w:rsidRPr="006206CD">
              <w:rPr>
                <w:color w:val="000000"/>
              </w:rPr>
              <w:t xml:space="preserve"> </w:t>
            </w:r>
            <w:r>
              <w:rPr>
                <w:color w:val="000000"/>
              </w:rPr>
              <w:t xml:space="preserve">chargés </w:t>
            </w:r>
            <w:proofErr w:type="spellStart"/>
            <w:r>
              <w:rPr>
                <w:color w:val="000000"/>
              </w:rPr>
              <w:t>dans</w:t>
            </w:r>
            <w:proofErr w:type="spellEnd"/>
            <w:r>
              <w:rPr>
                <w:color w:val="000000"/>
              </w:rPr>
              <w:t xml:space="preserve"> </w:t>
            </w:r>
            <w:proofErr w:type="spellStart"/>
            <w:r>
              <w:rPr>
                <w:color w:val="000000"/>
              </w:rPr>
              <w:t>l’emballage</w:t>
            </w:r>
            <w:proofErr w:type="spellEnd"/>
            <w:r>
              <w:rPr>
                <w:color w:val="000000"/>
              </w:rPr>
              <w:t xml:space="preserve"> </w:t>
            </w:r>
            <w:proofErr w:type="spellStart"/>
            <w:r>
              <w:rPr>
                <w:color w:val="000000"/>
              </w:rPr>
              <w:t>extérieur</w:t>
            </w:r>
            <w:proofErr w:type="spellEnd"/>
            <w:r w:rsidRPr="006206CD">
              <w:rPr>
                <w:color w:val="000000"/>
              </w:rPr>
              <w:t xml:space="preserve">. Les </w:t>
            </w:r>
            <w:proofErr w:type="spellStart"/>
            <w:r w:rsidRPr="006206CD">
              <w:rPr>
                <w:color w:val="000000"/>
              </w:rPr>
              <w:t>emballages</w:t>
            </w:r>
            <w:proofErr w:type="spellEnd"/>
            <w:r w:rsidRPr="006206CD">
              <w:rPr>
                <w:color w:val="000000"/>
              </w:rPr>
              <w:t xml:space="preserve"> </w:t>
            </w:r>
            <w:proofErr w:type="spellStart"/>
            <w:r w:rsidRPr="006206CD">
              <w:rPr>
                <w:color w:val="000000"/>
              </w:rPr>
              <w:t>extérieurs</w:t>
            </w:r>
            <w:proofErr w:type="spellEnd"/>
            <w:r w:rsidRPr="006206CD">
              <w:rPr>
                <w:color w:val="000000"/>
              </w:rPr>
              <w:t xml:space="preserve"> </w:t>
            </w:r>
            <w:proofErr w:type="spellStart"/>
            <w:r w:rsidRPr="006206CD">
              <w:rPr>
                <w:color w:val="000000"/>
              </w:rPr>
              <w:t>doivent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désinfectés</w:t>
            </w:r>
            <w:proofErr w:type="spellEnd"/>
            <w:r w:rsidRPr="006206CD">
              <w:rPr>
                <w:color w:val="000000"/>
              </w:rPr>
              <w:t xml:space="preserve"> </w:t>
            </w:r>
            <w:proofErr w:type="spellStart"/>
            <w:r w:rsidRPr="006206CD">
              <w:rPr>
                <w:color w:val="000000"/>
              </w:rPr>
              <w:t>avant</w:t>
            </w:r>
            <w:proofErr w:type="spellEnd"/>
            <w:r w:rsidRPr="006206CD">
              <w:rPr>
                <w:color w:val="000000"/>
              </w:rPr>
              <w:t xml:space="preserve"> d’être </w:t>
            </w:r>
            <w:proofErr w:type="spellStart"/>
            <w:r w:rsidRPr="006206CD">
              <w:rPr>
                <w:color w:val="000000"/>
              </w:rPr>
              <w:t>réutilisés</w:t>
            </w:r>
            <w:proofErr w:type="spellEnd"/>
            <w:r w:rsidRPr="006206CD">
              <w:rPr>
                <w:color w:val="000000"/>
              </w:rPr>
              <w:t xml:space="preserve">. La </w:t>
            </w:r>
            <w:proofErr w:type="spellStart"/>
            <w:r w:rsidRPr="006206CD">
              <w:rPr>
                <w:color w:val="000000"/>
              </w:rPr>
              <w:t>désinfection</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réalisée</w:t>
            </w:r>
            <w:proofErr w:type="spellEnd"/>
            <w:r w:rsidRPr="006206CD">
              <w:rPr>
                <w:color w:val="000000"/>
              </w:rPr>
              <w:t xml:space="preserve"> </w:t>
            </w:r>
            <w:proofErr w:type="spellStart"/>
            <w:r w:rsidRPr="006206CD">
              <w:rPr>
                <w:color w:val="000000"/>
              </w:rPr>
              <w:t>conformément</w:t>
            </w:r>
            <w:proofErr w:type="spellEnd"/>
            <w:r w:rsidRPr="006206CD">
              <w:rPr>
                <w:color w:val="000000"/>
              </w:rPr>
              <w:t xml:space="preserve"> aux </w:t>
            </w:r>
            <w:proofErr w:type="spellStart"/>
            <w:r w:rsidRPr="006206CD">
              <w:rPr>
                <w:color w:val="000000"/>
              </w:rPr>
              <w:t>recommandations</w:t>
            </w:r>
            <w:proofErr w:type="spellEnd"/>
            <w:r w:rsidRPr="006206CD">
              <w:rPr>
                <w:color w:val="000000"/>
              </w:rPr>
              <w:t xml:space="preserve"> de </w:t>
            </w:r>
            <w:proofErr w:type="spellStart"/>
            <w:r w:rsidRPr="006206CD">
              <w:rPr>
                <w:color w:val="000000"/>
              </w:rPr>
              <w:t>l’autorité</w:t>
            </w:r>
            <w:proofErr w:type="spellEnd"/>
            <w:r w:rsidRPr="006206CD">
              <w:rPr>
                <w:color w:val="000000"/>
              </w:rPr>
              <w:t xml:space="preserve"> </w:t>
            </w:r>
            <w:proofErr w:type="spellStart"/>
            <w:r w:rsidRPr="006206CD">
              <w:rPr>
                <w:color w:val="000000"/>
              </w:rPr>
              <w:t>compétente</w:t>
            </w:r>
            <w:proofErr w:type="spellEnd"/>
            <w:r w:rsidRPr="006206CD">
              <w:rPr>
                <w:color w:val="000000"/>
              </w:rPr>
              <w:t xml:space="preserve"> en </w:t>
            </w:r>
            <w:proofErr w:type="spellStart"/>
            <w:r w:rsidRPr="006206CD">
              <w:rPr>
                <w:color w:val="000000"/>
              </w:rPr>
              <w:t>matière</w:t>
            </w:r>
            <w:proofErr w:type="spellEnd"/>
            <w:r w:rsidRPr="006206CD">
              <w:rPr>
                <w:color w:val="000000"/>
              </w:rPr>
              <w:t xml:space="preserve"> de santé </w:t>
            </w:r>
            <w:proofErr w:type="spellStart"/>
            <w:r w:rsidRPr="006206CD">
              <w:rPr>
                <w:color w:val="000000"/>
              </w:rPr>
              <w:t>publique</w:t>
            </w:r>
            <w:proofErr w:type="spellEnd"/>
            <w:r w:rsidRPr="006206CD">
              <w:rPr>
                <w:color w:val="000000"/>
              </w:rPr>
              <w:t>.</w:t>
            </w:r>
          </w:p>
          <w:p w:rsidR="007E20AC" w:rsidRPr="006206CD" w:rsidRDefault="007E20AC" w:rsidP="007E20AC">
            <w:pPr>
              <w:numPr>
                <w:ilvl w:val="0"/>
                <w:numId w:val="42"/>
              </w:numPr>
              <w:spacing w:before="60" w:after="60" w:line="240" w:lineRule="auto"/>
              <w:ind w:left="230" w:hanging="230"/>
              <w:rPr>
                <w:b/>
                <w:color w:val="000000"/>
              </w:rPr>
            </w:pPr>
            <w:r w:rsidRPr="006206CD">
              <w:rPr>
                <w:color w:val="000000"/>
              </w:rPr>
              <w:t xml:space="preserve">Avant d’être </w:t>
            </w:r>
            <w:proofErr w:type="spellStart"/>
            <w:r w:rsidRPr="006206CD">
              <w:rPr>
                <w:color w:val="000000"/>
              </w:rPr>
              <w:t>placés</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l’emballage</w:t>
            </w:r>
            <w:proofErr w:type="spellEnd"/>
            <w:r w:rsidRPr="006206CD">
              <w:rPr>
                <w:color w:val="000000"/>
              </w:rPr>
              <w:t xml:space="preserve"> </w:t>
            </w:r>
            <w:proofErr w:type="spellStart"/>
            <w:r w:rsidRPr="006206CD">
              <w:rPr>
                <w:color w:val="000000"/>
              </w:rPr>
              <w:t>primaire</w:t>
            </w:r>
            <w:proofErr w:type="spellEnd"/>
            <w:r w:rsidRPr="006206CD">
              <w:rPr>
                <w:color w:val="000000"/>
              </w:rPr>
              <w:t xml:space="preserve">, les </w:t>
            </w:r>
            <w:proofErr w:type="spellStart"/>
            <w:r w:rsidRPr="006206CD">
              <w:rPr>
                <w:color w:val="000000"/>
              </w:rPr>
              <w:t>objets</w:t>
            </w:r>
            <w:proofErr w:type="spellEnd"/>
            <w:r w:rsidRPr="006206CD">
              <w:rPr>
                <w:color w:val="000000"/>
              </w:rPr>
              <w:t xml:space="preserve"> </w:t>
            </w:r>
            <w:proofErr w:type="spellStart"/>
            <w:r w:rsidRPr="006206CD">
              <w:rPr>
                <w:color w:val="000000"/>
              </w:rPr>
              <w:t>pointus</w:t>
            </w:r>
            <w:proofErr w:type="spellEnd"/>
            <w:r w:rsidRPr="006206CD">
              <w:rPr>
                <w:color w:val="000000"/>
              </w:rPr>
              <w:t xml:space="preserve"> et </w:t>
            </w:r>
            <w:proofErr w:type="spellStart"/>
            <w:r w:rsidRPr="006206CD">
              <w:rPr>
                <w:color w:val="000000"/>
              </w:rPr>
              <w:t>tranchants</w:t>
            </w:r>
            <w:proofErr w:type="spellEnd"/>
            <w:r w:rsidRPr="006206CD">
              <w:rPr>
                <w:color w:val="000000"/>
              </w:rPr>
              <w:t xml:space="preserve"> </w:t>
            </w:r>
            <w:proofErr w:type="spellStart"/>
            <w:r w:rsidRPr="006206CD">
              <w:rPr>
                <w:color w:val="000000"/>
              </w:rPr>
              <w:t>tels</w:t>
            </w:r>
            <w:proofErr w:type="spellEnd"/>
            <w:r w:rsidRPr="006206CD">
              <w:rPr>
                <w:color w:val="000000"/>
              </w:rPr>
              <w:t xml:space="preserve"> </w:t>
            </w:r>
            <w:proofErr w:type="spellStart"/>
            <w:r w:rsidRPr="006206CD">
              <w:rPr>
                <w:color w:val="000000"/>
              </w:rPr>
              <w:t>que</w:t>
            </w:r>
            <w:proofErr w:type="spellEnd"/>
            <w:r w:rsidRPr="006206CD">
              <w:rPr>
                <w:color w:val="000000"/>
              </w:rPr>
              <w:t xml:space="preserve"> du </w:t>
            </w:r>
            <w:proofErr w:type="spellStart"/>
            <w:r w:rsidRPr="006206CD">
              <w:rPr>
                <w:color w:val="000000"/>
              </w:rPr>
              <w:t>verre</w:t>
            </w:r>
            <w:proofErr w:type="spellEnd"/>
            <w:r w:rsidRPr="006206CD">
              <w:rPr>
                <w:color w:val="000000"/>
              </w:rPr>
              <w:t xml:space="preserve"> </w:t>
            </w:r>
            <w:proofErr w:type="spellStart"/>
            <w:r w:rsidRPr="006206CD">
              <w:rPr>
                <w:color w:val="000000"/>
              </w:rPr>
              <w:t>brisé</w:t>
            </w:r>
            <w:proofErr w:type="spellEnd"/>
            <w:r w:rsidRPr="006206CD">
              <w:rPr>
                <w:color w:val="000000"/>
              </w:rPr>
              <w:t xml:space="preserve"> et des aiguilles </w:t>
            </w:r>
            <w:proofErr w:type="spellStart"/>
            <w:r w:rsidRPr="006206CD">
              <w:rPr>
                <w:color w:val="000000"/>
              </w:rPr>
              <w:t>doivent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contenus</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des </w:t>
            </w:r>
            <w:proofErr w:type="spellStart"/>
            <w:r w:rsidRPr="006206CD">
              <w:rPr>
                <w:color w:val="000000"/>
              </w:rPr>
              <w:t>emballages</w:t>
            </w:r>
            <w:proofErr w:type="spellEnd"/>
            <w:r w:rsidRPr="006206CD">
              <w:rPr>
                <w:color w:val="000000"/>
              </w:rPr>
              <w:t xml:space="preserve"> </w:t>
            </w:r>
            <w:proofErr w:type="spellStart"/>
            <w:r w:rsidRPr="006206CD">
              <w:rPr>
                <w:color w:val="000000"/>
              </w:rPr>
              <w:t>résistants</w:t>
            </w:r>
            <w:proofErr w:type="spellEnd"/>
            <w:r w:rsidRPr="006206CD">
              <w:rPr>
                <w:color w:val="000000"/>
              </w:rPr>
              <w:t xml:space="preserve"> à la perforation </w:t>
            </w:r>
            <w:proofErr w:type="spellStart"/>
            <w:r w:rsidRPr="006206CD">
              <w:rPr>
                <w:color w:val="000000"/>
              </w:rPr>
              <w:t>capables</w:t>
            </w:r>
            <w:proofErr w:type="spellEnd"/>
            <w:r w:rsidRPr="006206CD">
              <w:rPr>
                <w:color w:val="000000"/>
              </w:rPr>
              <w:t xml:space="preserve"> de </w:t>
            </w:r>
            <w:proofErr w:type="spellStart"/>
            <w:r w:rsidRPr="006206CD">
              <w:rPr>
                <w:color w:val="000000"/>
              </w:rPr>
              <w:t>retenir</w:t>
            </w:r>
            <w:proofErr w:type="spellEnd"/>
            <w:r w:rsidRPr="006206CD">
              <w:rPr>
                <w:color w:val="000000"/>
              </w:rPr>
              <w:t xml:space="preserve"> les </w:t>
            </w:r>
            <w:proofErr w:type="spellStart"/>
            <w:r w:rsidRPr="006206CD">
              <w:rPr>
                <w:color w:val="000000"/>
              </w:rPr>
              <w:t>liquides</w:t>
            </w:r>
            <w:proofErr w:type="spellEnd"/>
            <w:r w:rsidRPr="006206CD">
              <w:rPr>
                <w:color w:val="000000"/>
              </w:rPr>
              <w:t xml:space="preserve"> </w:t>
            </w:r>
            <w:proofErr w:type="spellStart"/>
            <w:r w:rsidRPr="006206CD">
              <w:rPr>
                <w:color w:val="000000"/>
              </w:rPr>
              <w:t>conformément</w:t>
            </w:r>
            <w:proofErr w:type="spellEnd"/>
            <w:r w:rsidRPr="006206CD">
              <w:rPr>
                <w:color w:val="000000"/>
              </w:rPr>
              <w:t xml:space="preserve"> aux conditions </w:t>
            </w:r>
            <w:proofErr w:type="spellStart"/>
            <w:r w:rsidRPr="006206CD">
              <w:rPr>
                <w:color w:val="000000"/>
              </w:rPr>
              <w:t>d’épreuve</w:t>
            </w:r>
            <w:proofErr w:type="spellEnd"/>
            <w:r w:rsidRPr="006206CD">
              <w:rPr>
                <w:color w:val="000000"/>
              </w:rPr>
              <w:t xml:space="preserve"> du </w:t>
            </w:r>
            <w:proofErr w:type="spellStart"/>
            <w:r w:rsidRPr="006206CD">
              <w:rPr>
                <w:color w:val="000000"/>
              </w:rPr>
              <w:t>chapitre</w:t>
            </w:r>
            <w:proofErr w:type="spellEnd"/>
            <w:r w:rsidRPr="006206CD">
              <w:rPr>
                <w:color w:val="000000"/>
              </w:rPr>
              <w:t> 6.1.</w:t>
            </w:r>
          </w:p>
        </w:tc>
      </w:tr>
    </w:tbl>
    <w:p w:rsidR="003043E3" w:rsidRDefault="003043E3" w:rsidP="007E20AC">
      <w:pPr>
        <w:pStyle w:val="SingleTxtG"/>
      </w:pPr>
    </w:p>
    <w:p w:rsidR="007E20AC" w:rsidRPr="006206CD" w:rsidRDefault="007E20AC" w:rsidP="007E20AC">
      <w:pPr>
        <w:pStyle w:val="SingleTxtG"/>
      </w:pPr>
      <w:proofErr w:type="spellStart"/>
      <w:r w:rsidRPr="006206CD">
        <w:lastRenderedPageBreak/>
        <w:t>L’instruction</w:t>
      </w:r>
      <w:proofErr w:type="spellEnd"/>
      <w:r w:rsidRPr="006206CD">
        <w:t xml:space="preserve"> </w:t>
      </w:r>
      <w:proofErr w:type="spellStart"/>
      <w:r w:rsidRPr="006206CD">
        <w:t>d’emballage</w:t>
      </w:r>
      <w:proofErr w:type="spellEnd"/>
      <w:r w:rsidRPr="006206CD">
        <w:t xml:space="preserve"> </w:t>
      </w:r>
      <w:proofErr w:type="spellStart"/>
      <w:r w:rsidRPr="006206CD">
        <w:t>concernant</w:t>
      </w:r>
      <w:proofErr w:type="spellEnd"/>
      <w:r w:rsidRPr="006206CD">
        <w:t xml:space="preserve"> les </w:t>
      </w:r>
      <w:proofErr w:type="spellStart"/>
      <w:r w:rsidRPr="006206CD">
        <w:t>grands</w:t>
      </w:r>
      <w:proofErr w:type="spellEnd"/>
      <w:r w:rsidRPr="006206CD">
        <w:t xml:space="preserve"> </w:t>
      </w:r>
      <w:proofErr w:type="spellStart"/>
      <w:r w:rsidRPr="006206CD">
        <w:t>emballages</w:t>
      </w:r>
      <w:proofErr w:type="spellEnd"/>
      <w:r w:rsidRPr="006206CD">
        <w:t xml:space="preserve"> </w:t>
      </w:r>
      <w:r>
        <w:t xml:space="preserve">se </w:t>
      </w:r>
      <w:proofErr w:type="spellStart"/>
      <w:r>
        <w:t>lirait</w:t>
      </w:r>
      <w:proofErr w:type="spellEnd"/>
      <w:r>
        <w:t xml:space="preserve"> </w:t>
      </w:r>
      <w:proofErr w:type="spellStart"/>
      <w:r>
        <w:t>comme</w:t>
      </w:r>
      <w:proofErr w:type="spellEnd"/>
      <w:r>
        <w:t xml:space="preserve"> suit</w:t>
      </w:r>
      <w:r w:rsidRPr="006206CD">
        <w:t>:</w:t>
      </w:r>
    </w:p>
    <w:tbl>
      <w:tblPr>
        <w:tblW w:w="9641"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794"/>
        <w:gridCol w:w="992"/>
      </w:tblGrid>
      <w:tr w:rsidR="007E20AC" w:rsidRPr="006206CD" w:rsidTr="00415AA8">
        <w:tc>
          <w:tcPr>
            <w:tcW w:w="855" w:type="dxa"/>
            <w:tcBorders>
              <w:bottom w:val="single" w:sz="4" w:space="0" w:color="000000"/>
            </w:tcBorders>
          </w:tcPr>
          <w:p w:rsidR="007E20AC" w:rsidRPr="006206CD" w:rsidRDefault="007E20AC" w:rsidP="00415AA8">
            <w:pPr>
              <w:spacing w:before="60" w:after="60" w:line="240" w:lineRule="auto"/>
              <w:rPr>
                <w:b/>
                <w:bCs/>
                <w:color w:val="000000"/>
              </w:rPr>
            </w:pPr>
            <w:r w:rsidRPr="006206CD">
              <w:rPr>
                <w:b/>
                <w:color w:val="000000"/>
              </w:rPr>
              <w:t>LP6XX</w:t>
            </w:r>
          </w:p>
        </w:tc>
        <w:tc>
          <w:tcPr>
            <w:tcW w:w="7794" w:type="dxa"/>
            <w:tcBorders>
              <w:bottom w:val="single" w:sz="4" w:space="0" w:color="000000"/>
            </w:tcBorders>
          </w:tcPr>
          <w:p w:rsidR="007E20AC" w:rsidRPr="006206CD" w:rsidRDefault="007E20AC" w:rsidP="00415AA8">
            <w:pPr>
              <w:spacing w:before="60" w:after="60" w:line="240" w:lineRule="auto"/>
              <w:jc w:val="center"/>
              <w:rPr>
                <w:b/>
                <w:bCs/>
                <w:color w:val="000000"/>
              </w:rPr>
            </w:pPr>
            <w:r w:rsidRPr="006206CD">
              <w:rPr>
                <w:b/>
                <w:bCs/>
                <w:color w:val="000000"/>
              </w:rPr>
              <w:t>INSTRUCTION D’EMBALLAGE</w:t>
            </w:r>
          </w:p>
        </w:tc>
        <w:tc>
          <w:tcPr>
            <w:tcW w:w="992" w:type="dxa"/>
            <w:tcBorders>
              <w:bottom w:val="single" w:sz="4" w:space="0" w:color="000000"/>
            </w:tcBorders>
          </w:tcPr>
          <w:p w:rsidR="007E20AC" w:rsidRPr="006206CD" w:rsidRDefault="007E20AC" w:rsidP="00415AA8">
            <w:pPr>
              <w:spacing w:before="60" w:after="60" w:line="240" w:lineRule="auto"/>
              <w:rPr>
                <w:b/>
                <w:bCs/>
                <w:color w:val="000000"/>
              </w:rPr>
            </w:pPr>
            <w:r w:rsidRPr="006206CD">
              <w:rPr>
                <w:b/>
                <w:color w:val="000000"/>
              </w:rPr>
              <w:t>LP 6XX</w:t>
            </w:r>
          </w:p>
        </w:tc>
      </w:tr>
      <w:tr w:rsidR="007E20AC" w:rsidRPr="006206CD" w:rsidTr="00415AA8">
        <w:tc>
          <w:tcPr>
            <w:tcW w:w="9641" w:type="dxa"/>
            <w:gridSpan w:val="3"/>
            <w:tcBorders>
              <w:top w:val="single" w:sz="4" w:space="0" w:color="000000"/>
              <w:bottom w:val="single" w:sz="4" w:space="0" w:color="000000"/>
            </w:tcBorders>
          </w:tcPr>
          <w:p w:rsidR="007E20AC" w:rsidRPr="006206CD" w:rsidRDefault="007E20AC" w:rsidP="00415AA8">
            <w:pPr>
              <w:spacing w:before="60" w:after="60" w:line="240" w:lineRule="auto"/>
              <w:rPr>
                <w:color w:val="000000"/>
              </w:rPr>
            </w:pPr>
            <w:proofErr w:type="spellStart"/>
            <w:r w:rsidRPr="006206CD">
              <w:rPr>
                <w:color w:val="000000"/>
              </w:rPr>
              <w:t>Cette</w:t>
            </w:r>
            <w:proofErr w:type="spellEnd"/>
            <w:r w:rsidRPr="006206CD">
              <w:rPr>
                <w:color w:val="000000"/>
              </w:rPr>
              <w:t xml:space="preserve"> instruction </w:t>
            </w:r>
            <w:proofErr w:type="spellStart"/>
            <w:r w:rsidRPr="006206CD">
              <w:rPr>
                <w:color w:val="000000"/>
              </w:rPr>
              <w:t>s’applique</w:t>
            </w:r>
            <w:proofErr w:type="spellEnd"/>
            <w:r w:rsidRPr="006206CD">
              <w:rPr>
                <w:color w:val="000000"/>
              </w:rPr>
              <w:t xml:space="preserve"> au </w:t>
            </w:r>
            <w:proofErr w:type="spellStart"/>
            <w:r w:rsidRPr="006206CD">
              <w:rPr>
                <w:color w:val="000000"/>
              </w:rPr>
              <w:t>numéro</w:t>
            </w:r>
            <w:proofErr w:type="spellEnd"/>
            <w:r w:rsidRPr="006206CD">
              <w:rPr>
                <w:color w:val="000000"/>
              </w:rPr>
              <w:t xml:space="preserve"> ONU 35XX (</w:t>
            </w:r>
            <w:proofErr w:type="spellStart"/>
            <w:r w:rsidRPr="006206CD">
              <w:rPr>
                <w:color w:val="000000"/>
              </w:rPr>
              <w:t>déchet</w:t>
            </w:r>
            <w:proofErr w:type="spellEnd"/>
            <w:r w:rsidRPr="006206CD">
              <w:rPr>
                <w:color w:val="000000"/>
              </w:rPr>
              <w:t xml:space="preserve"> </w:t>
            </w:r>
            <w:proofErr w:type="spellStart"/>
            <w:r w:rsidRPr="006206CD">
              <w:rPr>
                <w:color w:val="000000"/>
              </w:rPr>
              <w:t>d’hôpital</w:t>
            </w:r>
            <w:proofErr w:type="spellEnd"/>
            <w:r w:rsidRPr="006206CD">
              <w:rPr>
                <w:color w:val="000000"/>
              </w:rPr>
              <w:t xml:space="preserve">, [bio] </w:t>
            </w:r>
            <w:proofErr w:type="spellStart"/>
            <w:r w:rsidRPr="006206CD">
              <w:rPr>
                <w:color w:val="000000"/>
              </w:rPr>
              <w:t>médical</w:t>
            </w:r>
            <w:proofErr w:type="spellEnd"/>
            <w:r w:rsidRPr="006206CD">
              <w:rPr>
                <w:color w:val="000000"/>
              </w:rPr>
              <w:t xml:space="preserve"> </w:t>
            </w:r>
            <w:proofErr w:type="spellStart"/>
            <w:r w:rsidRPr="006206CD">
              <w:rPr>
                <w:color w:val="000000"/>
              </w:rPr>
              <w:t>ou</w:t>
            </w:r>
            <w:proofErr w:type="spellEnd"/>
            <w:r w:rsidRPr="006206CD">
              <w:rPr>
                <w:color w:val="000000"/>
              </w:rPr>
              <w:t xml:space="preserve"> </w:t>
            </w:r>
            <w:proofErr w:type="spellStart"/>
            <w:r w:rsidRPr="006206CD">
              <w:rPr>
                <w:color w:val="000000"/>
              </w:rPr>
              <w:t>médical</w:t>
            </w:r>
            <w:proofErr w:type="spellEnd"/>
            <w:r w:rsidRPr="006206CD">
              <w:rPr>
                <w:color w:val="000000"/>
              </w:rPr>
              <w:t xml:space="preserve"> </w:t>
            </w:r>
            <w:proofErr w:type="spellStart"/>
            <w:r w:rsidRPr="006206CD">
              <w:rPr>
                <w:color w:val="000000"/>
              </w:rPr>
              <w:t>réglementé</w:t>
            </w:r>
            <w:proofErr w:type="spellEnd"/>
            <w:r w:rsidRPr="006206CD">
              <w:rPr>
                <w:color w:val="000000"/>
              </w:rPr>
              <w:t xml:space="preserve"> de </w:t>
            </w:r>
            <w:proofErr w:type="spellStart"/>
            <w:r w:rsidRPr="006206CD">
              <w:rPr>
                <w:color w:val="000000"/>
              </w:rPr>
              <w:t>catégorie</w:t>
            </w:r>
            <w:proofErr w:type="spellEnd"/>
            <w:r w:rsidRPr="006206CD">
              <w:rPr>
                <w:color w:val="000000"/>
              </w:rPr>
              <w:t> A).</w:t>
            </w:r>
          </w:p>
        </w:tc>
      </w:tr>
      <w:tr w:rsidR="007E20AC" w:rsidRPr="006206CD" w:rsidTr="00415AA8">
        <w:tc>
          <w:tcPr>
            <w:tcW w:w="9641" w:type="dxa"/>
            <w:gridSpan w:val="3"/>
          </w:tcPr>
          <w:p w:rsidR="007E20AC" w:rsidRPr="006206CD" w:rsidRDefault="007E20AC" w:rsidP="00415AA8">
            <w:pPr>
              <w:spacing w:before="60" w:after="60" w:line="240" w:lineRule="auto"/>
              <w:rPr>
                <w:color w:val="000000"/>
              </w:rPr>
            </w:pPr>
            <w:r w:rsidRPr="006206CD">
              <w:rPr>
                <w:color w:val="000000"/>
              </w:rPr>
              <w:t xml:space="preserve">Les </w:t>
            </w:r>
            <w:proofErr w:type="spellStart"/>
            <w:r w:rsidRPr="006206CD">
              <w:rPr>
                <w:color w:val="000000"/>
              </w:rPr>
              <w:t>emballages</w:t>
            </w:r>
            <w:proofErr w:type="spellEnd"/>
            <w:r w:rsidRPr="006206CD">
              <w:rPr>
                <w:color w:val="000000"/>
              </w:rPr>
              <w:t xml:space="preserve"> </w:t>
            </w:r>
            <w:proofErr w:type="spellStart"/>
            <w:r w:rsidRPr="006206CD">
              <w:rPr>
                <w:color w:val="000000"/>
              </w:rPr>
              <w:t>suivants</w:t>
            </w:r>
            <w:proofErr w:type="spellEnd"/>
            <w:r w:rsidRPr="006206CD">
              <w:rPr>
                <w:color w:val="000000"/>
              </w:rPr>
              <w:t xml:space="preserve"> </w:t>
            </w:r>
            <w:proofErr w:type="spellStart"/>
            <w:r w:rsidRPr="006206CD">
              <w:rPr>
                <w:color w:val="000000"/>
              </w:rPr>
              <w:t>sont</w:t>
            </w:r>
            <w:proofErr w:type="spellEnd"/>
            <w:r w:rsidRPr="006206CD">
              <w:rPr>
                <w:color w:val="000000"/>
              </w:rPr>
              <w:t xml:space="preserve"> </w:t>
            </w:r>
            <w:proofErr w:type="spellStart"/>
            <w:r w:rsidRPr="006206CD">
              <w:rPr>
                <w:color w:val="000000"/>
              </w:rPr>
              <w:t>autorisés</w:t>
            </w:r>
            <w:proofErr w:type="spellEnd"/>
            <w:r w:rsidRPr="006206CD">
              <w:rPr>
                <w:color w:val="000000"/>
              </w:rPr>
              <w:t xml:space="preserve"> </w:t>
            </w:r>
            <w:proofErr w:type="spellStart"/>
            <w:r w:rsidRPr="006206CD">
              <w:rPr>
                <w:color w:val="000000"/>
              </w:rPr>
              <w:t>s’il</w:t>
            </w:r>
            <w:proofErr w:type="spellEnd"/>
            <w:r w:rsidRPr="006206CD">
              <w:rPr>
                <w:color w:val="000000"/>
              </w:rPr>
              <w:t xml:space="preserve"> </w:t>
            </w:r>
            <w:proofErr w:type="spellStart"/>
            <w:r w:rsidRPr="006206CD">
              <w:rPr>
                <w:color w:val="000000"/>
              </w:rPr>
              <w:t>est</w:t>
            </w:r>
            <w:proofErr w:type="spellEnd"/>
            <w:r w:rsidRPr="006206CD">
              <w:rPr>
                <w:color w:val="000000"/>
              </w:rPr>
              <w:t xml:space="preserve"> </w:t>
            </w:r>
            <w:proofErr w:type="spellStart"/>
            <w:r w:rsidRPr="006206CD">
              <w:rPr>
                <w:color w:val="000000"/>
              </w:rPr>
              <w:t>satisfait</w:t>
            </w:r>
            <w:proofErr w:type="spellEnd"/>
            <w:r w:rsidRPr="006206CD">
              <w:rPr>
                <w:color w:val="000000"/>
              </w:rPr>
              <w:t xml:space="preserve"> aux dispositions </w:t>
            </w:r>
            <w:proofErr w:type="spellStart"/>
            <w:r w:rsidRPr="006206CD">
              <w:rPr>
                <w:color w:val="000000"/>
              </w:rPr>
              <w:t>générales</w:t>
            </w:r>
            <w:proofErr w:type="spellEnd"/>
            <w:r w:rsidRPr="006206CD">
              <w:rPr>
                <w:color w:val="000000"/>
              </w:rPr>
              <w:t xml:space="preserve"> des 4.1.1 et 4.1.3 :</w:t>
            </w:r>
          </w:p>
          <w:p w:rsidR="007E20AC" w:rsidRPr="006206CD" w:rsidRDefault="007E20AC" w:rsidP="007E20AC">
            <w:pPr>
              <w:numPr>
                <w:ilvl w:val="0"/>
                <w:numId w:val="43"/>
              </w:numPr>
              <w:spacing w:before="60" w:after="60" w:line="240" w:lineRule="auto"/>
              <w:ind w:left="230" w:hanging="230"/>
              <w:rPr>
                <w:color w:val="000000"/>
              </w:rPr>
            </w:pPr>
            <w:proofErr w:type="spellStart"/>
            <w:r w:rsidRPr="006206CD">
              <w:rPr>
                <w:color w:val="000000"/>
              </w:rPr>
              <w:t>L’emballage</w:t>
            </w:r>
            <w:proofErr w:type="spellEnd"/>
            <w:r w:rsidRPr="006206CD">
              <w:rPr>
                <w:color w:val="000000"/>
              </w:rPr>
              <w:t xml:space="preserve"> </w:t>
            </w:r>
            <w:proofErr w:type="spellStart"/>
            <w:r w:rsidRPr="006206CD">
              <w:rPr>
                <w:color w:val="000000"/>
              </w:rPr>
              <w:t>comprend</w:t>
            </w:r>
            <w:proofErr w:type="spellEnd"/>
            <w:r w:rsidRPr="006206CD">
              <w:rPr>
                <w:color w:val="000000"/>
              </w:rPr>
              <w:t xml:space="preserve"> au minimum les </w:t>
            </w:r>
            <w:proofErr w:type="spellStart"/>
            <w:r w:rsidRPr="006206CD">
              <w:rPr>
                <w:color w:val="000000"/>
              </w:rPr>
              <w:t>trois</w:t>
            </w:r>
            <w:proofErr w:type="spellEnd"/>
            <w:r w:rsidRPr="006206CD">
              <w:rPr>
                <w:color w:val="000000"/>
              </w:rPr>
              <w:t xml:space="preserve"> </w:t>
            </w:r>
            <w:proofErr w:type="spellStart"/>
            <w:r w:rsidRPr="006206CD">
              <w:rPr>
                <w:color w:val="000000"/>
              </w:rPr>
              <w:t>éléments</w:t>
            </w:r>
            <w:proofErr w:type="spellEnd"/>
            <w:r w:rsidRPr="006206CD">
              <w:rPr>
                <w:color w:val="000000"/>
              </w:rPr>
              <w:t xml:space="preserve"> </w:t>
            </w:r>
            <w:proofErr w:type="spellStart"/>
            <w:r w:rsidRPr="006206CD">
              <w:rPr>
                <w:color w:val="000000"/>
              </w:rPr>
              <w:t>suivants</w:t>
            </w:r>
            <w:proofErr w:type="spellEnd"/>
            <w:r w:rsidRPr="006206CD">
              <w:rPr>
                <w:color w:val="000000"/>
              </w:rPr>
              <w:t> :</w:t>
            </w:r>
          </w:p>
          <w:p w:rsidR="007E20AC" w:rsidRPr="006206CD" w:rsidRDefault="007E20AC" w:rsidP="007E20AC">
            <w:pPr>
              <w:numPr>
                <w:ilvl w:val="0"/>
                <w:numId w:val="44"/>
              </w:numPr>
              <w:spacing w:before="60" w:after="60" w:line="240" w:lineRule="auto"/>
              <w:rPr>
                <w:color w:val="000000"/>
              </w:rPr>
            </w:pPr>
            <w:proofErr w:type="spellStart"/>
            <w:r w:rsidRPr="006206CD">
              <w:rPr>
                <w:color w:val="000000"/>
              </w:rPr>
              <w:t>emballage</w:t>
            </w:r>
            <w:proofErr w:type="spellEnd"/>
            <w:r w:rsidRPr="006206CD">
              <w:rPr>
                <w:color w:val="000000"/>
              </w:rPr>
              <w:t xml:space="preserve">(s) </w:t>
            </w:r>
            <w:proofErr w:type="spellStart"/>
            <w:r w:rsidRPr="006206CD">
              <w:rPr>
                <w:color w:val="000000"/>
              </w:rPr>
              <w:t>primaire</w:t>
            </w:r>
            <w:proofErr w:type="spellEnd"/>
            <w:r w:rsidRPr="006206CD">
              <w:rPr>
                <w:color w:val="000000"/>
              </w:rPr>
              <w:t xml:space="preserve">(s) </w:t>
            </w:r>
            <w:proofErr w:type="spellStart"/>
            <w:r w:rsidRPr="006206CD">
              <w:rPr>
                <w:color w:val="000000"/>
              </w:rPr>
              <w:t>étanche</w:t>
            </w:r>
            <w:proofErr w:type="spellEnd"/>
            <w:r w:rsidRPr="006206CD">
              <w:rPr>
                <w:color w:val="000000"/>
              </w:rPr>
              <w:t>(s);</w:t>
            </w:r>
          </w:p>
          <w:p w:rsidR="007E20AC" w:rsidRPr="006206CD" w:rsidRDefault="007E20AC" w:rsidP="007E20AC">
            <w:pPr>
              <w:numPr>
                <w:ilvl w:val="0"/>
                <w:numId w:val="44"/>
              </w:numPr>
              <w:spacing w:before="60" w:after="60" w:line="240" w:lineRule="auto"/>
              <w:rPr>
                <w:color w:val="000000"/>
              </w:rPr>
            </w:pPr>
            <w:proofErr w:type="spellStart"/>
            <w:r w:rsidRPr="006206CD">
              <w:rPr>
                <w:color w:val="000000"/>
              </w:rPr>
              <w:t>emballage</w:t>
            </w:r>
            <w:proofErr w:type="spellEnd"/>
            <w:r w:rsidRPr="006206CD">
              <w:rPr>
                <w:color w:val="000000"/>
              </w:rPr>
              <w:t xml:space="preserve">(s) </w:t>
            </w:r>
            <w:proofErr w:type="spellStart"/>
            <w:r w:rsidRPr="006206CD">
              <w:rPr>
                <w:color w:val="000000"/>
              </w:rPr>
              <w:t>secondaire</w:t>
            </w:r>
            <w:proofErr w:type="spellEnd"/>
            <w:r w:rsidRPr="006206CD">
              <w:rPr>
                <w:color w:val="000000"/>
              </w:rPr>
              <w:t xml:space="preserve">(s) </w:t>
            </w:r>
            <w:proofErr w:type="spellStart"/>
            <w:r w:rsidRPr="006206CD">
              <w:rPr>
                <w:color w:val="000000"/>
              </w:rPr>
              <w:t>étanche</w:t>
            </w:r>
            <w:proofErr w:type="spellEnd"/>
            <w:r w:rsidRPr="006206CD">
              <w:rPr>
                <w:color w:val="000000"/>
              </w:rPr>
              <w:t>(s);</w:t>
            </w:r>
          </w:p>
          <w:p w:rsidR="007E20AC" w:rsidRPr="006206CD" w:rsidRDefault="007E20AC" w:rsidP="007E20AC">
            <w:pPr>
              <w:numPr>
                <w:ilvl w:val="0"/>
                <w:numId w:val="44"/>
              </w:numPr>
              <w:spacing w:before="60" w:after="60" w:line="240" w:lineRule="auto"/>
              <w:rPr>
                <w:color w:val="000000"/>
              </w:rPr>
            </w:pPr>
            <w:r w:rsidRPr="006206CD">
              <w:rPr>
                <w:color w:val="000000"/>
              </w:rPr>
              <w:t xml:space="preserve">grand </w:t>
            </w:r>
            <w:proofErr w:type="spellStart"/>
            <w:r w:rsidRPr="006206CD">
              <w:rPr>
                <w:color w:val="000000"/>
              </w:rPr>
              <w:t>emballage</w:t>
            </w:r>
            <w:proofErr w:type="spellEnd"/>
            <w:r w:rsidRPr="006206CD">
              <w:rPr>
                <w:color w:val="000000"/>
              </w:rPr>
              <w:t xml:space="preserve"> </w:t>
            </w:r>
            <w:proofErr w:type="spellStart"/>
            <w:r w:rsidRPr="006206CD">
              <w:rPr>
                <w:color w:val="000000"/>
              </w:rPr>
              <w:t>conforme</w:t>
            </w:r>
            <w:proofErr w:type="spellEnd"/>
            <w:r w:rsidRPr="006206CD">
              <w:rPr>
                <w:color w:val="000000"/>
              </w:rPr>
              <w:t xml:space="preserve"> au </w:t>
            </w:r>
            <w:proofErr w:type="spellStart"/>
            <w:r w:rsidRPr="006206CD">
              <w:rPr>
                <w:color w:val="000000"/>
              </w:rPr>
              <w:t>niveau</w:t>
            </w:r>
            <w:proofErr w:type="spellEnd"/>
            <w:r w:rsidRPr="006206CD">
              <w:rPr>
                <w:color w:val="000000"/>
              </w:rPr>
              <w:t xml:space="preserve"> </w:t>
            </w:r>
            <w:proofErr w:type="spellStart"/>
            <w:r w:rsidRPr="006206CD">
              <w:rPr>
                <w:color w:val="000000"/>
              </w:rPr>
              <w:t>d’épreuve</w:t>
            </w:r>
            <w:proofErr w:type="spellEnd"/>
            <w:r w:rsidRPr="006206CD">
              <w:rPr>
                <w:color w:val="000000"/>
              </w:rPr>
              <w:t xml:space="preserve"> du </w:t>
            </w:r>
            <w:proofErr w:type="spellStart"/>
            <w:r w:rsidRPr="006206CD">
              <w:rPr>
                <w:color w:val="000000"/>
              </w:rPr>
              <w:t>groupe</w:t>
            </w:r>
            <w:proofErr w:type="spellEnd"/>
            <w:r w:rsidRPr="006206CD">
              <w:rPr>
                <w:color w:val="000000"/>
              </w:rPr>
              <w:t xml:space="preserve"> </w:t>
            </w:r>
            <w:proofErr w:type="spellStart"/>
            <w:r w:rsidRPr="006206CD">
              <w:rPr>
                <w:color w:val="000000"/>
              </w:rPr>
              <w:t>d’emballage</w:t>
            </w:r>
            <w:proofErr w:type="spellEnd"/>
            <w:r w:rsidRPr="006206CD">
              <w:rPr>
                <w:color w:val="000000"/>
              </w:rPr>
              <w:t xml:space="preserve"> II pour les </w:t>
            </w:r>
            <w:proofErr w:type="spellStart"/>
            <w:r w:rsidRPr="006206CD">
              <w:rPr>
                <w:color w:val="000000"/>
              </w:rPr>
              <w:t>liquides</w:t>
            </w:r>
            <w:proofErr w:type="spellEnd"/>
            <w:r w:rsidRPr="006206CD">
              <w:rPr>
                <w:color w:val="000000"/>
              </w:rPr>
              <w:t xml:space="preserve"> :       </w:t>
            </w:r>
          </w:p>
          <w:p w:rsidR="007E20AC" w:rsidRPr="006206CD" w:rsidRDefault="007E20AC" w:rsidP="00415AA8">
            <w:pPr>
              <w:spacing w:before="60" w:after="60" w:line="240" w:lineRule="auto"/>
              <w:rPr>
                <w:color w:val="000000"/>
              </w:rPr>
            </w:pPr>
            <w:r w:rsidRPr="006206CD">
              <w:rPr>
                <w:color w:val="000000"/>
              </w:rPr>
              <w:t xml:space="preserve">        en </w:t>
            </w:r>
            <w:proofErr w:type="spellStart"/>
            <w:r w:rsidRPr="006206CD">
              <w:rPr>
                <w:color w:val="000000"/>
              </w:rPr>
              <w:t>acier</w:t>
            </w:r>
            <w:proofErr w:type="spellEnd"/>
            <w:r w:rsidRPr="006206CD">
              <w:rPr>
                <w:color w:val="000000"/>
              </w:rPr>
              <w:t xml:space="preserve"> (50A);</w:t>
            </w:r>
          </w:p>
          <w:p w:rsidR="007E20AC" w:rsidRPr="006206CD" w:rsidRDefault="007E20AC" w:rsidP="00415AA8">
            <w:pPr>
              <w:spacing w:before="60" w:after="60" w:line="240" w:lineRule="auto"/>
              <w:rPr>
                <w:color w:val="000000"/>
              </w:rPr>
            </w:pPr>
            <w:r w:rsidRPr="006206CD">
              <w:rPr>
                <w:color w:val="000000"/>
              </w:rPr>
              <w:t xml:space="preserve">        en aluminium (50B);</w:t>
            </w:r>
          </w:p>
          <w:p w:rsidR="007E20AC" w:rsidRPr="006206CD" w:rsidRDefault="007E20AC" w:rsidP="00415AA8">
            <w:pPr>
              <w:spacing w:before="60" w:after="60" w:line="240" w:lineRule="auto"/>
              <w:rPr>
                <w:color w:val="000000"/>
              </w:rPr>
            </w:pPr>
            <w:r w:rsidRPr="006206CD">
              <w:rPr>
                <w:color w:val="000000"/>
              </w:rPr>
              <w:t xml:space="preserve">        en </w:t>
            </w:r>
            <w:proofErr w:type="spellStart"/>
            <w:r w:rsidRPr="006206CD">
              <w:rPr>
                <w:color w:val="000000"/>
              </w:rPr>
              <w:t>plastique</w:t>
            </w:r>
            <w:proofErr w:type="spellEnd"/>
            <w:r w:rsidRPr="006206CD">
              <w:rPr>
                <w:color w:val="000000"/>
              </w:rPr>
              <w:t xml:space="preserve"> </w:t>
            </w:r>
            <w:proofErr w:type="spellStart"/>
            <w:r w:rsidRPr="006206CD">
              <w:rPr>
                <w:color w:val="000000"/>
              </w:rPr>
              <w:t>rigide</w:t>
            </w:r>
            <w:proofErr w:type="spellEnd"/>
            <w:r w:rsidRPr="006206CD">
              <w:rPr>
                <w:color w:val="000000"/>
              </w:rPr>
              <w:t xml:space="preserve"> (50H);</w:t>
            </w:r>
          </w:p>
          <w:p w:rsidR="007E20AC" w:rsidRPr="006206CD" w:rsidRDefault="007E20AC" w:rsidP="00415AA8">
            <w:pPr>
              <w:spacing w:before="60" w:after="60" w:line="240" w:lineRule="auto"/>
              <w:rPr>
                <w:color w:val="000000"/>
              </w:rPr>
            </w:pPr>
            <w:r w:rsidRPr="006206CD">
              <w:rPr>
                <w:color w:val="000000"/>
              </w:rPr>
              <w:t xml:space="preserve">        </w:t>
            </w:r>
            <w:proofErr w:type="gramStart"/>
            <w:r w:rsidRPr="006206CD">
              <w:rPr>
                <w:color w:val="000000"/>
              </w:rPr>
              <w:t>en</w:t>
            </w:r>
            <w:proofErr w:type="gramEnd"/>
            <w:r w:rsidRPr="006206CD">
              <w:rPr>
                <w:color w:val="000000"/>
              </w:rPr>
              <w:t xml:space="preserve"> </w:t>
            </w:r>
            <w:proofErr w:type="spellStart"/>
            <w:r w:rsidRPr="006206CD">
              <w:rPr>
                <w:color w:val="000000"/>
              </w:rPr>
              <w:t>métal</w:t>
            </w:r>
            <w:proofErr w:type="spellEnd"/>
            <w:r w:rsidRPr="006206CD">
              <w:rPr>
                <w:color w:val="000000"/>
              </w:rPr>
              <w:t xml:space="preserve"> </w:t>
            </w:r>
            <w:proofErr w:type="spellStart"/>
            <w:r w:rsidRPr="006206CD">
              <w:rPr>
                <w:color w:val="000000"/>
              </w:rPr>
              <w:t>autre</w:t>
            </w:r>
            <w:proofErr w:type="spellEnd"/>
            <w:r w:rsidRPr="006206CD">
              <w:rPr>
                <w:color w:val="000000"/>
              </w:rPr>
              <w:t xml:space="preserve"> </w:t>
            </w:r>
            <w:proofErr w:type="spellStart"/>
            <w:r w:rsidRPr="006206CD">
              <w:rPr>
                <w:color w:val="000000"/>
              </w:rPr>
              <w:t>que</w:t>
            </w:r>
            <w:proofErr w:type="spellEnd"/>
            <w:r w:rsidRPr="006206CD">
              <w:rPr>
                <w:color w:val="000000"/>
              </w:rPr>
              <w:t xml:space="preserve"> </w:t>
            </w:r>
            <w:proofErr w:type="spellStart"/>
            <w:r w:rsidRPr="006206CD">
              <w:rPr>
                <w:color w:val="000000"/>
              </w:rPr>
              <w:t>l’acier</w:t>
            </w:r>
            <w:proofErr w:type="spellEnd"/>
            <w:r w:rsidRPr="006206CD">
              <w:rPr>
                <w:color w:val="000000"/>
              </w:rPr>
              <w:t xml:space="preserve"> </w:t>
            </w:r>
            <w:proofErr w:type="spellStart"/>
            <w:r w:rsidRPr="006206CD">
              <w:rPr>
                <w:color w:val="000000"/>
              </w:rPr>
              <w:t>ou</w:t>
            </w:r>
            <w:proofErr w:type="spellEnd"/>
            <w:r w:rsidRPr="006206CD">
              <w:rPr>
                <w:color w:val="000000"/>
              </w:rPr>
              <w:t xml:space="preserve"> </w:t>
            </w:r>
            <w:proofErr w:type="spellStart"/>
            <w:r w:rsidRPr="006206CD">
              <w:rPr>
                <w:color w:val="000000"/>
              </w:rPr>
              <w:t>l’aluminium</w:t>
            </w:r>
            <w:proofErr w:type="spellEnd"/>
            <w:r w:rsidRPr="006206CD">
              <w:rPr>
                <w:color w:val="000000"/>
              </w:rPr>
              <w:t xml:space="preserve"> (50N).</w:t>
            </w:r>
          </w:p>
          <w:p w:rsidR="007E20AC" w:rsidRPr="006206CD" w:rsidRDefault="007E20AC" w:rsidP="00415AA8">
            <w:pPr>
              <w:spacing w:before="60" w:after="60" w:line="240" w:lineRule="auto"/>
              <w:ind w:left="797" w:hanging="797"/>
              <w:rPr>
                <w:color w:val="000000"/>
              </w:rPr>
            </w:pPr>
          </w:p>
          <w:p w:rsidR="007E20AC" w:rsidRPr="006206CD" w:rsidRDefault="007E20AC" w:rsidP="007E20AC">
            <w:pPr>
              <w:numPr>
                <w:ilvl w:val="0"/>
                <w:numId w:val="43"/>
              </w:numPr>
              <w:spacing w:before="60" w:after="60" w:line="240" w:lineRule="auto"/>
              <w:ind w:left="230" w:hanging="230"/>
              <w:rPr>
                <w:color w:val="000000"/>
              </w:rPr>
            </w:pPr>
            <w:r w:rsidRPr="006206CD">
              <w:rPr>
                <w:color w:val="000000"/>
              </w:rPr>
              <w:t xml:space="preserve">Si des </w:t>
            </w:r>
            <w:proofErr w:type="spellStart"/>
            <w:r w:rsidRPr="006206CD">
              <w:rPr>
                <w:color w:val="000000"/>
              </w:rPr>
              <w:t>emballages</w:t>
            </w:r>
            <w:proofErr w:type="spellEnd"/>
            <w:r w:rsidRPr="006206CD">
              <w:rPr>
                <w:color w:val="000000"/>
              </w:rPr>
              <w:t xml:space="preserve"> </w:t>
            </w:r>
            <w:proofErr w:type="spellStart"/>
            <w:r w:rsidRPr="006206CD">
              <w:rPr>
                <w:color w:val="000000"/>
              </w:rPr>
              <w:t>primaires</w:t>
            </w:r>
            <w:proofErr w:type="spellEnd"/>
            <w:r w:rsidRPr="006206CD">
              <w:rPr>
                <w:color w:val="000000"/>
              </w:rPr>
              <w:t xml:space="preserve"> </w:t>
            </w:r>
            <w:proofErr w:type="gramStart"/>
            <w:r w:rsidRPr="006206CD">
              <w:rPr>
                <w:color w:val="000000"/>
              </w:rPr>
              <w:t>et</w:t>
            </w:r>
            <w:proofErr w:type="gramEnd"/>
            <w:r w:rsidRPr="006206CD">
              <w:rPr>
                <w:color w:val="000000"/>
              </w:rPr>
              <w:t xml:space="preserve"> </w:t>
            </w:r>
            <w:proofErr w:type="spellStart"/>
            <w:r w:rsidRPr="006206CD">
              <w:rPr>
                <w:color w:val="000000"/>
              </w:rPr>
              <w:t>secondaires</w:t>
            </w:r>
            <w:proofErr w:type="spellEnd"/>
            <w:r w:rsidRPr="006206CD">
              <w:rPr>
                <w:color w:val="000000"/>
              </w:rPr>
              <w:t xml:space="preserve"> </w:t>
            </w:r>
            <w:proofErr w:type="spellStart"/>
            <w:r w:rsidRPr="006206CD">
              <w:rPr>
                <w:color w:val="000000"/>
              </w:rPr>
              <w:t>souples</w:t>
            </w:r>
            <w:proofErr w:type="spellEnd"/>
            <w:r w:rsidRPr="006206CD">
              <w:rPr>
                <w:color w:val="000000"/>
              </w:rPr>
              <w:t xml:space="preserve"> </w:t>
            </w:r>
            <w:proofErr w:type="spellStart"/>
            <w:r w:rsidRPr="006206CD">
              <w:rPr>
                <w:color w:val="000000"/>
              </w:rPr>
              <w:t>sont</w:t>
            </w:r>
            <w:proofErr w:type="spellEnd"/>
            <w:r w:rsidRPr="006206CD">
              <w:rPr>
                <w:color w:val="000000"/>
              </w:rPr>
              <w:t xml:space="preserve"> </w:t>
            </w:r>
            <w:proofErr w:type="spellStart"/>
            <w:r w:rsidRPr="006206CD">
              <w:rPr>
                <w:color w:val="000000"/>
              </w:rPr>
              <w:t>utilisés</w:t>
            </w:r>
            <w:proofErr w:type="spellEnd"/>
            <w:r w:rsidRPr="006206CD">
              <w:rPr>
                <w:color w:val="000000"/>
              </w:rPr>
              <w:t xml:space="preserve">, </w:t>
            </w:r>
            <w:proofErr w:type="spellStart"/>
            <w:r w:rsidRPr="006206CD">
              <w:rPr>
                <w:color w:val="000000"/>
              </w:rPr>
              <w:t>ils</w:t>
            </w:r>
            <w:proofErr w:type="spellEnd"/>
            <w:r w:rsidRPr="006206CD">
              <w:rPr>
                <w:color w:val="000000"/>
              </w:rPr>
              <w:t xml:space="preserve"> </w:t>
            </w:r>
            <w:proofErr w:type="spellStart"/>
            <w:r w:rsidRPr="006206CD">
              <w:rPr>
                <w:color w:val="000000"/>
              </w:rPr>
              <w:t>doivent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des sacs en </w:t>
            </w:r>
            <w:proofErr w:type="spellStart"/>
            <w:r w:rsidRPr="006206CD">
              <w:rPr>
                <w:color w:val="000000"/>
              </w:rPr>
              <w:t>plastique</w:t>
            </w:r>
            <w:proofErr w:type="spellEnd"/>
            <w:r w:rsidRPr="006206CD">
              <w:rPr>
                <w:color w:val="000000"/>
              </w:rPr>
              <w:t xml:space="preserve"> </w:t>
            </w:r>
            <w:proofErr w:type="spellStart"/>
            <w:r w:rsidRPr="006206CD">
              <w:rPr>
                <w:color w:val="000000"/>
              </w:rPr>
              <w:t>étanches</w:t>
            </w:r>
            <w:proofErr w:type="spellEnd"/>
            <w:r w:rsidRPr="006206CD">
              <w:rPr>
                <w:color w:val="000000"/>
              </w:rPr>
              <w:t xml:space="preserve"> et </w:t>
            </w:r>
            <w:proofErr w:type="spellStart"/>
            <w:r w:rsidRPr="006206CD">
              <w:rPr>
                <w:color w:val="000000"/>
              </w:rPr>
              <w:t>fermés</w:t>
            </w:r>
            <w:proofErr w:type="spellEnd"/>
            <w:r w:rsidRPr="006206CD">
              <w:rPr>
                <w:color w:val="000000"/>
              </w:rPr>
              <w:t xml:space="preserve"> </w:t>
            </w:r>
            <w:proofErr w:type="spellStart"/>
            <w:r w:rsidRPr="006206CD">
              <w:rPr>
                <w:color w:val="000000"/>
              </w:rPr>
              <w:t>hermétiquement</w:t>
            </w:r>
            <w:proofErr w:type="spellEnd"/>
            <w:r w:rsidRPr="006206CD">
              <w:rPr>
                <w:color w:val="000000"/>
              </w:rPr>
              <w:t xml:space="preserve"> de </w:t>
            </w:r>
            <w:proofErr w:type="spellStart"/>
            <w:r w:rsidRPr="006206CD">
              <w:rPr>
                <w:color w:val="000000"/>
              </w:rPr>
              <w:t>manière</w:t>
            </w:r>
            <w:proofErr w:type="spellEnd"/>
            <w:r w:rsidRPr="006206CD">
              <w:rPr>
                <w:color w:val="000000"/>
              </w:rPr>
              <w:t xml:space="preserve"> à </w:t>
            </w:r>
            <w:proofErr w:type="spellStart"/>
            <w:r w:rsidRPr="006206CD">
              <w:rPr>
                <w:color w:val="000000"/>
              </w:rPr>
              <w:t>ce</w:t>
            </w:r>
            <w:proofErr w:type="spellEnd"/>
            <w:r w:rsidRPr="006206CD">
              <w:rPr>
                <w:color w:val="000000"/>
              </w:rPr>
              <w:t xml:space="preserve"> </w:t>
            </w:r>
            <w:proofErr w:type="spellStart"/>
            <w:r w:rsidRPr="006206CD">
              <w:rPr>
                <w:color w:val="000000"/>
              </w:rPr>
              <w:t>que</w:t>
            </w:r>
            <w:proofErr w:type="spellEnd"/>
            <w:r w:rsidRPr="006206CD">
              <w:rPr>
                <w:color w:val="000000"/>
              </w:rPr>
              <w:t xml:space="preserve"> les sacs </w:t>
            </w:r>
            <w:proofErr w:type="spellStart"/>
            <w:r w:rsidRPr="006206CD">
              <w:rPr>
                <w:color w:val="000000"/>
              </w:rPr>
              <w:t>soient</w:t>
            </w:r>
            <w:proofErr w:type="spellEnd"/>
            <w:r w:rsidRPr="006206CD">
              <w:rPr>
                <w:color w:val="000000"/>
              </w:rPr>
              <w:t xml:space="preserve"> </w:t>
            </w:r>
            <w:proofErr w:type="spellStart"/>
            <w:r w:rsidRPr="006206CD">
              <w:rPr>
                <w:color w:val="000000"/>
              </w:rPr>
              <w:t>capables</w:t>
            </w:r>
            <w:proofErr w:type="spellEnd"/>
            <w:r w:rsidRPr="006206CD">
              <w:rPr>
                <w:color w:val="000000"/>
              </w:rPr>
              <w:t xml:space="preserve"> d’être </w:t>
            </w:r>
            <w:proofErr w:type="spellStart"/>
            <w:r w:rsidRPr="006206CD">
              <w:rPr>
                <w:color w:val="000000"/>
              </w:rPr>
              <w:t>maintenus</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une</w:t>
            </w:r>
            <w:proofErr w:type="spellEnd"/>
            <w:r w:rsidRPr="006206CD">
              <w:rPr>
                <w:color w:val="000000"/>
              </w:rPr>
              <w:t xml:space="preserve"> position </w:t>
            </w:r>
            <w:proofErr w:type="spellStart"/>
            <w:r w:rsidRPr="006206CD">
              <w:rPr>
                <w:color w:val="000000"/>
              </w:rPr>
              <w:t>inversée</w:t>
            </w:r>
            <w:proofErr w:type="spellEnd"/>
            <w:r w:rsidRPr="006206CD">
              <w:rPr>
                <w:color w:val="000000"/>
              </w:rPr>
              <w:t xml:space="preserve"> avec </w:t>
            </w:r>
            <w:proofErr w:type="spellStart"/>
            <w:r w:rsidRPr="006206CD">
              <w:rPr>
                <w:color w:val="000000"/>
              </w:rPr>
              <w:t>l’extrémité</w:t>
            </w:r>
            <w:proofErr w:type="spellEnd"/>
            <w:r w:rsidRPr="006206CD">
              <w:rPr>
                <w:color w:val="000000"/>
              </w:rPr>
              <w:t xml:space="preserve"> </w:t>
            </w:r>
            <w:proofErr w:type="spellStart"/>
            <w:r w:rsidRPr="006206CD">
              <w:rPr>
                <w:color w:val="000000"/>
              </w:rPr>
              <w:t>fermée</w:t>
            </w:r>
            <w:proofErr w:type="spellEnd"/>
            <w:r w:rsidRPr="006206CD">
              <w:rPr>
                <w:color w:val="000000"/>
              </w:rPr>
              <w:t xml:space="preserve"> </w:t>
            </w:r>
            <w:proofErr w:type="spellStart"/>
            <w:r w:rsidRPr="006206CD">
              <w:rPr>
                <w:color w:val="000000"/>
              </w:rPr>
              <w:t>tournée</w:t>
            </w:r>
            <w:proofErr w:type="spellEnd"/>
            <w:r w:rsidRPr="006206CD">
              <w:rPr>
                <w:color w:val="000000"/>
              </w:rPr>
              <w:t xml:space="preserve"> </w:t>
            </w:r>
            <w:proofErr w:type="spellStart"/>
            <w:r w:rsidRPr="006206CD">
              <w:rPr>
                <w:color w:val="000000"/>
              </w:rPr>
              <w:t>vers</w:t>
            </w:r>
            <w:proofErr w:type="spellEnd"/>
            <w:r w:rsidRPr="006206CD">
              <w:rPr>
                <w:color w:val="000000"/>
              </w:rPr>
              <w:t xml:space="preserve"> le bas pendant </w:t>
            </w:r>
            <w:proofErr w:type="spellStart"/>
            <w:r w:rsidRPr="006206CD">
              <w:rPr>
                <w:color w:val="000000"/>
              </w:rPr>
              <w:t>une</w:t>
            </w:r>
            <w:proofErr w:type="spellEnd"/>
            <w:r w:rsidRPr="006206CD">
              <w:rPr>
                <w:color w:val="000000"/>
              </w:rPr>
              <w:t xml:space="preserve"> </w:t>
            </w:r>
            <w:proofErr w:type="spellStart"/>
            <w:r w:rsidRPr="006206CD">
              <w:rPr>
                <w:color w:val="000000"/>
              </w:rPr>
              <w:t>période</w:t>
            </w:r>
            <w:proofErr w:type="spellEnd"/>
            <w:r w:rsidRPr="006206CD">
              <w:rPr>
                <w:color w:val="000000"/>
              </w:rPr>
              <w:t xml:space="preserve"> de 5 minutes sans faire de </w:t>
            </w:r>
            <w:proofErr w:type="spellStart"/>
            <w:r w:rsidRPr="006206CD">
              <w:rPr>
                <w:color w:val="000000"/>
              </w:rPr>
              <w:t>fuite</w:t>
            </w:r>
            <w:proofErr w:type="spellEnd"/>
            <w:r w:rsidRPr="006206CD">
              <w:rPr>
                <w:color w:val="000000"/>
              </w:rPr>
              <w:t xml:space="preserve">. Le film </w:t>
            </w:r>
            <w:proofErr w:type="spellStart"/>
            <w:r w:rsidRPr="006206CD">
              <w:rPr>
                <w:color w:val="000000"/>
              </w:rPr>
              <w:t>plastique</w:t>
            </w:r>
            <w:proofErr w:type="spellEnd"/>
            <w:r w:rsidRPr="006206CD">
              <w:rPr>
                <w:color w:val="000000"/>
              </w:rPr>
              <w:t xml:space="preserve"> </w:t>
            </w:r>
            <w:proofErr w:type="spellStart"/>
            <w:r w:rsidRPr="006206CD">
              <w:rPr>
                <w:color w:val="000000"/>
              </w:rPr>
              <w:t>dont</w:t>
            </w:r>
            <w:proofErr w:type="spellEnd"/>
            <w:r w:rsidRPr="006206CD">
              <w:rPr>
                <w:color w:val="000000"/>
              </w:rPr>
              <w:t xml:space="preserve"> les sacs </w:t>
            </w:r>
            <w:proofErr w:type="spellStart"/>
            <w:r w:rsidRPr="006206CD">
              <w:rPr>
                <w:color w:val="000000"/>
              </w:rPr>
              <w:t>sont</w:t>
            </w:r>
            <w:proofErr w:type="spellEnd"/>
            <w:r w:rsidRPr="006206CD">
              <w:rPr>
                <w:color w:val="000000"/>
              </w:rPr>
              <w:t xml:space="preserve"> </w:t>
            </w:r>
            <w:proofErr w:type="spellStart"/>
            <w:r w:rsidRPr="006206CD">
              <w:rPr>
                <w:color w:val="000000"/>
              </w:rPr>
              <w:t>faits</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aussi</w:t>
            </w:r>
            <w:proofErr w:type="spellEnd"/>
            <w:r w:rsidRPr="006206CD">
              <w:rPr>
                <w:color w:val="000000"/>
              </w:rPr>
              <w:t xml:space="preserve"> </w:t>
            </w:r>
            <w:proofErr w:type="spellStart"/>
            <w:r w:rsidRPr="006206CD">
              <w:rPr>
                <w:color w:val="000000"/>
              </w:rPr>
              <w:t>avoir</w:t>
            </w:r>
            <w:proofErr w:type="spellEnd"/>
            <w:r w:rsidRPr="006206CD">
              <w:rPr>
                <w:color w:val="000000"/>
              </w:rPr>
              <w:t xml:space="preserve"> </w:t>
            </w:r>
            <w:proofErr w:type="spellStart"/>
            <w:r w:rsidRPr="006206CD">
              <w:rPr>
                <w:color w:val="000000"/>
              </w:rPr>
              <w:t>une</w:t>
            </w:r>
            <w:proofErr w:type="spellEnd"/>
            <w:r w:rsidRPr="006206CD">
              <w:rPr>
                <w:color w:val="000000"/>
              </w:rPr>
              <w:t xml:space="preserve"> résistance aux </w:t>
            </w:r>
            <w:proofErr w:type="spellStart"/>
            <w:r w:rsidRPr="006206CD">
              <w:rPr>
                <w:color w:val="000000"/>
              </w:rPr>
              <w:t>chocs</w:t>
            </w:r>
            <w:proofErr w:type="spellEnd"/>
            <w:r w:rsidRPr="006206CD">
              <w:rPr>
                <w:color w:val="000000"/>
              </w:rPr>
              <w:t xml:space="preserve"> </w:t>
            </w:r>
            <w:proofErr w:type="spellStart"/>
            <w:r w:rsidRPr="006206CD">
              <w:rPr>
                <w:color w:val="000000"/>
              </w:rPr>
              <w:t>d’au</w:t>
            </w:r>
            <w:proofErr w:type="spellEnd"/>
            <w:r w:rsidRPr="006206CD">
              <w:rPr>
                <w:color w:val="000000"/>
              </w:rPr>
              <w:t xml:space="preserve"> </w:t>
            </w:r>
            <w:proofErr w:type="spellStart"/>
            <w:r w:rsidRPr="006206CD">
              <w:rPr>
                <w:color w:val="000000"/>
              </w:rPr>
              <w:t>moins</w:t>
            </w:r>
            <w:proofErr w:type="spellEnd"/>
            <w:r w:rsidRPr="006206CD">
              <w:rPr>
                <w:color w:val="000000"/>
              </w:rPr>
              <w:t xml:space="preserve"> 165 g, </w:t>
            </w:r>
            <w:proofErr w:type="spellStart"/>
            <w:r w:rsidRPr="006206CD">
              <w:rPr>
                <w:color w:val="000000"/>
              </w:rPr>
              <w:t>conformément</w:t>
            </w:r>
            <w:proofErr w:type="spellEnd"/>
            <w:r w:rsidRPr="006206CD">
              <w:rPr>
                <w:color w:val="000000"/>
              </w:rPr>
              <w:t xml:space="preserve"> à la </w:t>
            </w:r>
            <w:proofErr w:type="spellStart"/>
            <w:r w:rsidRPr="006206CD">
              <w:rPr>
                <w:color w:val="000000"/>
              </w:rPr>
              <w:t>norme</w:t>
            </w:r>
            <w:proofErr w:type="spellEnd"/>
            <w:r w:rsidRPr="006206CD">
              <w:rPr>
                <w:color w:val="000000"/>
              </w:rPr>
              <w:t xml:space="preserve"> ISO 7765</w:t>
            </w:r>
            <w:r w:rsidRPr="006206CD">
              <w:rPr>
                <w:color w:val="000000"/>
              </w:rPr>
              <w:noBreakHyphen/>
              <w:t xml:space="preserve">1988, « Film et </w:t>
            </w:r>
            <w:proofErr w:type="spellStart"/>
            <w:r w:rsidRPr="006206CD">
              <w:rPr>
                <w:color w:val="000000"/>
              </w:rPr>
              <w:t>feuille</w:t>
            </w:r>
            <w:proofErr w:type="spellEnd"/>
            <w:r w:rsidRPr="006206CD">
              <w:rPr>
                <w:color w:val="000000"/>
              </w:rPr>
              <w:t xml:space="preserve"> de </w:t>
            </w:r>
            <w:proofErr w:type="spellStart"/>
            <w:r w:rsidRPr="006206CD">
              <w:rPr>
                <w:color w:val="000000"/>
              </w:rPr>
              <w:t>plastiques</w:t>
            </w:r>
            <w:proofErr w:type="spellEnd"/>
            <w:r w:rsidRPr="006206CD">
              <w:rPr>
                <w:color w:val="000000"/>
              </w:rPr>
              <w:t xml:space="preserve"> – </w:t>
            </w:r>
            <w:proofErr w:type="spellStart"/>
            <w:r w:rsidRPr="006206CD">
              <w:rPr>
                <w:color w:val="000000"/>
              </w:rPr>
              <w:t>Détermination</w:t>
            </w:r>
            <w:proofErr w:type="spellEnd"/>
            <w:r w:rsidRPr="006206CD">
              <w:rPr>
                <w:color w:val="000000"/>
              </w:rPr>
              <w:t xml:space="preserve"> de la résistance au choc par la </w:t>
            </w:r>
            <w:proofErr w:type="spellStart"/>
            <w:r w:rsidRPr="006206CD">
              <w:rPr>
                <w:color w:val="000000"/>
              </w:rPr>
              <w:t>méthode</w:t>
            </w:r>
            <w:proofErr w:type="spellEnd"/>
            <w:r w:rsidRPr="006206CD">
              <w:rPr>
                <w:color w:val="000000"/>
              </w:rPr>
              <w:t xml:space="preserve"> par chute </w:t>
            </w:r>
            <w:proofErr w:type="spellStart"/>
            <w:r w:rsidRPr="006206CD">
              <w:rPr>
                <w:color w:val="000000"/>
              </w:rPr>
              <w:t>libre</w:t>
            </w:r>
            <w:proofErr w:type="spellEnd"/>
            <w:r w:rsidRPr="006206CD">
              <w:rPr>
                <w:color w:val="000000"/>
              </w:rPr>
              <w:t xml:space="preserve"> de projectile – </w:t>
            </w:r>
            <w:proofErr w:type="spellStart"/>
            <w:r w:rsidRPr="006206CD">
              <w:rPr>
                <w:color w:val="000000"/>
              </w:rPr>
              <w:t>Partie</w:t>
            </w:r>
            <w:proofErr w:type="spellEnd"/>
            <w:r w:rsidRPr="006206CD">
              <w:rPr>
                <w:color w:val="000000"/>
              </w:rPr>
              <w:t xml:space="preserve"> 1 : </w:t>
            </w:r>
            <w:proofErr w:type="spellStart"/>
            <w:r w:rsidRPr="006206CD">
              <w:rPr>
                <w:color w:val="000000"/>
              </w:rPr>
              <w:t>Méthodes</w:t>
            </w:r>
            <w:proofErr w:type="spellEnd"/>
            <w:r w:rsidRPr="006206CD">
              <w:rPr>
                <w:color w:val="000000"/>
              </w:rPr>
              <w:t xml:space="preserve"> </w:t>
            </w:r>
            <w:proofErr w:type="spellStart"/>
            <w:r w:rsidRPr="006206CD">
              <w:rPr>
                <w:color w:val="000000"/>
              </w:rPr>
              <w:t>dites</w:t>
            </w:r>
            <w:proofErr w:type="spellEnd"/>
            <w:r w:rsidRPr="006206CD">
              <w:rPr>
                <w:color w:val="000000"/>
              </w:rPr>
              <w:t xml:space="preserve"> de "</w:t>
            </w:r>
            <w:proofErr w:type="spellStart"/>
            <w:r w:rsidRPr="006206CD">
              <w:rPr>
                <w:color w:val="000000"/>
              </w:rPr>
              <w:t>l’escalier</w:t>
            </w:r>
            <w:proofErr w:type="spellEnd"/>
            <w:r w:rsidRPr="006206CD">
              <w:rPr>
                <w:color w:val="000000"/>
              </w:rPr>
              <w:t xml:space="preserve">" », et </w:t>
            </w:r>
            <w:proofErr w:type="spellStart"/>
            <w:r w:rsidRPr="006206CD">
              <w:rPr>
                <w:color w:val="000000"/>
              </w:rPr>
              <w:t>avoir</w:t>
            </w:r>
            <w:proofErr w:type="spellEnd"/>
            <w:r w:rsidRPr="006206CD">
              <w:rPr>
                <w:color w:val="000000"/>
              </w:rPr>
              <w:t xml:space="preserve"> </w:t>
            </w:r>
            <w:proofErr w:type="spellStart"/>
            <w:r w:rsidRPr="006206CD">
              <w:rPr>
                <w:color w:val="000000"/>
              </w:rPr>
              <w:t>une</w:t>
            </w:r>
            <w:proofErr w:type="spellEnd"/>
            <w:r w:rsidRPr="006206CD">
              <w:rPr>
                <w:color w:val="000000"/>
              </w:rPr>
              <w:t xml:space="preserve"> résistance au </w:t>
            </w:r>
            <w:proofErr w:type="spellStart"/>
            <w:r w:rsidRPr="006206CD">
              <w:rPr>
                <w:color w:val="000000"/>
              </w:rPr>
              <w:t>déchirement</w:t>
            </w:r>
            <w:proofErr w:type="spellEnd"/>
            <w:r w:rsidRPr="006206CD">
              <w:rPr>
                <w:color w:val="000000"/>
              </w:rPr>
              <w:t xml:space="preserve"> </w:t>
            </w:r>
            <w:proofErr w:type="spellStart"/>
            <w:r w:rsidRPr="006206CD">
              <w:rPr>
                <w:color w:val="000000"/>
              </w:rPr>
              <w:t>d’au</w:t>
            </w:r>
            <w:proofErr w:type="spellEnd"/>
            <w:r w:rsidRPr="006206CD">
              <w:rPr>
                <w:color w:val="000000"/>
              </w:rPr>
              <w:t xml:space="preserve"> </w:t>
            </w:r>
            <w:proofErr w:type="spellStart"/>
            <w:r w:rsidRPr="006206CD">
              <w:rPr>
                <w:color w:val="000000"/>
              </w:rPr>
              <w:t>moins</w:t>
            </w:r>
            <w:proofErr w:type="spellEnd"/>
            <w:r w:rsidRPr="006206CD">
              <w:rPr>
                <w:color w:val="000000"/>
              </w:rPr>
              <w:t xml:space="preserve"> 480 g </w:t>
            </w:r>
            <w:proofErr w:type="spellStart"/>
            <w:r w:rsidRPr="006206CD">
              <w:rPr>
                <w:color w:val="000000"/>
              </w:rPr>
              <w:t>sur</w:t>
            </w:r>
            <w:proofErr w:type="spellEnd"/>
            <w:r w:rsidRPr="006206CD">
              <w:rPr>
                <w:color w:val="000000"/>
              </w:rPr>
              <w:t xml:space="preserve"> des plans </w:t>
            </w:r>
            <w:proofErr w:type="spellStart"/>
            <w:r w:rsidRPr="006206CD">
              <w:rPr>
                <w:color w:val="000000"/>
              </w:rPr>
              <w:t>parallèles</w:t>
            </w:r>
            <w:proofErr w:type="spellEnd"/>
            <w:r w:rsidRPr="006206CD">
              <w:rPr>
                <w:color w:val="000000"/>
              </w:rPr>
              <w:t xml:space="preserve"> et </w:t>
            </w:r>
            <w:proofErr w:type="spellStart"/>
            <w:r w:rsidRPr="006206CD">
              <w:rPr>
                <w:color w:val="000000"/>
              </w:rPr>
              <w:t>perpendiculaires</w:t>
            </w:r>
            <w:proofErr w:type="spellEnd"/>
            <w:r w:rsidRPr="006206CD">
              <w:rPr>
                <w:color w:val="000000"/>
              </w:rPr>
              <w:t xml:space="preserve"> au plan longitudinal du sac, </w:t>
            </w:r>
            <w:proofErr w:type="spellStart"/>
            <w:r w:rsidRPr="006206CD">
              <w:rPr>
                <w:color w:val="000000"/>
              </w:rPr>
              <w:t>conformément</w:t>
            </w:r>
            <w:proofErr w:type="spellEnd"/>
            <w:r w:rsidRPr="006206CD">
              <w:rPr>
                <w:color w:val="000000"/>
              </w:rPr>
              <w:t xml:space="preserve"> à la </w:t>
            </w:r>
            <w:proofErr w:type="spellStart"/>
            <w:r w:rsidRPr="006206CD">
              <w:rPr>
                <w:color w:val="000000"/>
              </w:rPr>
              <w:t>norme</w:t>
            </w:r>
            <w:proofErr w:type="spellEnd"/>
            <w:r w:rsidRPr="006206CD">
              <w:rPr>
                <w:color w:val="000000"/>
              </w:rPr>
              <w:t> ISO 6383</w:t>
            </w:r>
            <w:r w:rsidRPr="006206CD">
              <w:rPr>
                <w:color w:val="000000"/>
              </w:rPr>
              <w:noBreakHyphen/>
              <w:t>2:1983, « </w:t>
            </w:r>
            <w:proofErr w:type="spellStart"/>
            <w:r w:rsidRPr="006206CD">
              <w:rPr>
                <w:color w:val="000000"/>
              </w:rPr>
              <w:t>Plastiques</w:t>
            </w:r>
            <w:proofErr w:type="spellEnd"/>
            <w:r w:rsidRPr="006206CD">
              <w:rPr>
                <w:color w:val="000000"/>
              </w:rPr>
              <w:t xml:space="preserve"> – Film et </w:t>
            </w:r>
            <w:proofErr w:type="spellStart"/>
            <w:r w:rsidRPr="006206CD">
              <w:rPr>
                <w:color w:val="000000"/>
              </w:rPr>
              <w:t>feuille</w:t>
            </w:r>
            <w:proofErr w:type="spellEnd"/>
            <w:r w:rsidRPr="006206CD">
              <w:rPr>
                <w:color w:val="000000"/>
              </w:rPr>
              <w:t xml:space="preserve"> – </w:t>
            </w:r>
            <w:proofErr w:type="spellStart"/>
            <w:r w:rsidRPr="006206CD">
              <w:rPr>
                <w:color w:val="000000"/>
              </w:rPr>
              <w:t>Détermination</w:t>
            </w:r>
            <w:proofErr w:type="spellEnd"/>
            <w:r w:rsidRPr="006206CD">
              <w:rPr>
                <w:color w:val="000000"/>
              </w:rPr>
              <w:t xml:space="preserve"> de la résistance au </w:t>
            </w:r>
            <w:proofErr w:type="spellStart"/>
            <w:r w:rsidRPr="006206CD">
              <w:rPr>
                <w:color w:val="000000"/>
              </w:rPr>
              <w:t>déchirement</w:t>
            </w:r>
            <w:proofErr w:type="spellEnd"/>
            <w:r w:rsidRPr="006206CD">
              <w:rPr>
                <w:color w:val="000000"/>
              </w:rPr>
              <w:t xml:space="preserve"> – </w:t>
            </w:r>
            <w:proofErr w:type="spellStart"/>
            <w:r w:rsidRPr="006206CD">
              <w:rPr>
                <w:color w:val="000000"/>
              </w:rPr>
              <w:t>Partie</w:t>
            </w:r>
            <w:proofErr w:type="spellEnd"/>
            <w:r w:rsidRPr="006206CD">
              <w:rPr>
                <w:color w:val="000000"/>
              </w:rPr>
              <w:t xml:space="preserve"> 2 : </w:t>
            </w:r>
            <w:proofErr w:type="spellStart"/>
            <w:r w:rsidRPr="006206CD">
              <w:rPr>
                <w:color w:val="000000"/>
              </w:rPr>
              <w:t>Méthode</w:t>
            </w:r>
            <w:proofErr w:type="spellEnd"/>
            <w:r w:rsidRPr="006206CD">
              <w:rPr>
                <w:color w:val="000000"/>
              </w:rPr>
              <w:t xml:space="preserve"> Elmendorf ». La masse brute d’un sac en </w:t>
            </w:r>
            <w:proofErr w:type="spellStart"/>
            <w:r w:rsidRPr="006206CD">
              <w:rPr>
                <w:color w:val="000000"/>
              </w:rPr>
              <w:t>plastique</w:t>
            </w:r>
            <w:proofErr w:type="spellEnd"/>
            <w:r w:rsidRPr="006206CD">
              <w:rPr>
                <w:color w:val="000000"/>
              </w:rPr>
              <w:t xml:space="preserve"> </w:t>
            </w:r>
            <w:proofErr w:type="spellStart"/>
            <w:r w:rsidRPr="006206CD">
              <w:rPr>
                <w:color w:val="000000"/>
              </w:rPr>
              <w:t>fermé</w:t>
            </w:r>
            <w:proofErr w:type="spellEnd"/>
            <w:r>
              <w:rPr>
                <w:color w:val="000000"/>
              </w:rPr>
              <w:t xml:space="preserve"> </w:t>
            </w:r>
            <w:proofErr w:type="spellStart"/>
            <w:r>
              <w:rPr>
                <w:color w:val="000000"/>
              </w:rPr>
              <w:t>utilisé</w:t>
            </w:r>
            <w:proofErr w:type="spellEnd"/>
            <w:r>
              <w:rPr>
                <w:color w:val="000000"/>
              </w:rPr>
              <w:t xml:space="preserve"> </w:t>
            </w:r>
            <w:proofErr w:type="spellStart"/>
            <w:r>
              <w:rPr>
                <w:color w:val="000000"/>
              </w:rPr>
              <w:t>comme</w:t>
            </w:r>
            <w:proofErr w:type="spellEnd"/>
            <w:r>
              <w:rPr>
                <w:color w:val="000000"/>
              </w:rPr>
              <w:t xml:space="preserve"> </w:t>
            </w:r>
            <w:proofErr w:type="spellStart"/>
            <w:r>
              <w:rPr>
                <w:color w:val="000000"/>
              </w:rPr>
              <w:t>emballage</w:t>
            </w:r>
            <w:proofErr w:type="spellEnd"/>
            <w:r>
              <w:rPr>
                <w:color w:val="000000"/>
              </w:rPr>
              <w:t xml:space="preserve"> </w:t>
            </w:r>
            <w:proofErr w:type="spellStart"/>
            <w:r>
              <w:rPr>
                <w:color w:val="000000"/>
              </w:rPr>
              <w:t>primaire</w:t>
            </w:r>
            <w:proofErr w:type="spellEnd"/>
            <w:r w:rsidRPr="006206CD">
              <w:rPr>
                <w:color w:val="000000"/>
              </w:rPr>
              <w:t xml:space="preserve"> ne </w:t>
            </w:r>
            <w:proofErr w:type="spellStart"/>
            <w:r w:rsidRPr="006206CD">
              <w:rPr>
                <w:color w:val="000000"/>
              </w:rPr>
              <w:t>doit</w:t>
            </w:r>
            <w:proofErr w:type="spellEnd"/>
            <w:r w:rsidRPr="006206CD">
              <w:rPr>
                <w:color w:val="000000"/>
              </w:rPr>
              <w:t xml:space="preserve"> pas </w:t>
            </w:r>
            <w:proofErr w:type="spellStart"/>
            <w:r w:rsidRPr="006206CD">
              <w:rPr>
                <w:color w:val="000000"/>
              </w:rPr>
              <w:t>dépasser</w:t>
            </w:r>
            <w:proofErr w:type="spellEnd"/>
            <w:r w:rsidRPr="006206CD">
              <w:rPr>
                <w:color w:val="000000"/>
              </w:rPr>
              <w:t xml:space="preserve"> 10 kg.</w:t>
            </w:r>
          </w:p>
          <w:p w:rsidR="007E20AC" w:rsidRPr="006206CD" w:rsidRDefault="007E20AC" w:rsidP="00415AA8">
            <w:pPr>
              <w:spacing w:before="60" w:after="60" w:line="240" w:lineRule="auto"/>
              <w:ind w:left="230"/>
              <w:rPr>
                <w:color w:val="000000"/>
              </w:rPr>
            </w:pPr>
          </w:p>
          <w:p w:rsidR="007E20AC" w:rsidRPr="006206CD" w:rsidRDefault="007E20AC" w:rsidP="007E20AC">
            <w:pPr>
              <w:numPr>
                <w:ilvl w:val="0"/>
                <w:numId w:val="43"/>
              </w:numPr>
              <w:spacing w:before="60" w:after="60" w:line="240" w:lineRule="auto"/>
              <w:ind w:left="230" w:hanging="230"/>
              <w:rPr>
                <w:color w:val="000000"/>
              </w:rPr>
            </w:pPr>
            <w:r>
              <w:rPr>
                <w:color w:val="000000"/>
              </w:rPr>
              <w:t xml:space="preserve">Si </w:t>
            </w:r>
            <w:proofErr w:type="spellStart"/>
            <w:r>
              <w:rPr>
                <w:color w:val="000000"/>
              </w:rPr>
              <w:t>l’on</w:t>
            </w:r>
            <w:proofErr w:type="spellEnd"/>
            <w:r w:rsidRPr="006206CD">
              <w:rPr>
                <w:color w:val="000000"/>
              </w:rPr>
              <w:t xml:space="preserve"> ne </w:t>
            </w:r>
            <w:proofErr w:type="spellStart"/>
            <w:r w:rsidRPr="006206CD">
              <w:rPr>
                <w:color w:val="000000"/>
              </w:rPr>
              <w:t>peut</w:t>
            </w:r>
            <w:proofErr w:type="spellEnd"/>
            <w:r w:rsidRPr="006206CD">
              <w:rPr>
                <w:color w:val="000000"/>
              </w:rPr>
              <w:t xml:space="preserve"> </w:t>
            </w:r>
            <w:proofErr w:type="spellStart"/>
            <w:r w:rsidRPr="006206CD">
              <w:rPr>
                <w:color w:val="000000"/>
              </w:rPr>
              <w:t>exclure</w:t>
            </w:r>
            <w:proofErr w:type="spellEnd"/>
            <w:r w:rsidRPr="006206CD">
              <w:rPr>
                <w:color w:val="000000"/>
              </w:rPr>
              <w:t xml:space="preserve"> la </w:t>
            </w:r>
            <w:proofErr w:type="spellStart"/>
            <w:r w:rsidRPr="006206CD">
              <w:rPr>
                <w:color w:val="000000"/>
              </w:rPr>
              <w:t>présence</w:t>
            </w:r>
            <w:proofErr w:type="spellEnd"/>
            <w:r w:rsidRPr="006206CD">
              <w:rPr>
                <w:color w:val="000000"/>
              </w:rPr>
              <w:t xml:space="preserve"> de </w:t>
            </w:r>
            <w:proofErr w:type="spellStart"/>
            <w:r w:rsidRPr="006206CD">
              <w:rPr>
                <w:color w:val="000000"/>
              </w:rPr>
              <w:t>liquide</w:t>
            </w:r>
            <w:proofErr w:type="spellEnd"/>
            <w:r w:rsidRPr="006206CD">
              <w:rPr>
                <w:color w:val="000000"/>
              </w:rPr>
              <w:t xml:space="preserve"> </w:t>
            </w:r>
            <w:proofErr w:type="spellStart"/>
            <w:r w:rsidRPr="006206CD">
              <w:rPr>
                <w:color w:val="000000"/>
              </w:rPr>
              <w:t>résiduel</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l’emballage</w:t>
            </w:r>
            <w:proofErr w:type="spellEnd"/>
            <w:r w:rsidRPr="006206CD">
              <w:rPr>
                <w:color w:val="000000"/>
              </w:rPr>
              <w:t xml:space="preserve"> </w:t>
            </w:r>
            <w:proofErr w:type="spellStart"/>
            <w:r w:rsidRPr="006206CD">
              <w:rPr>
                <w:color w:val="000000"/>
              </w:rPr>
              <w:t>primaire</w:t>
            </w:r>
            <w:proofErr w:type="spellEnd"/>
            <w:r w:rsidRPr="006206CD">
              <w:rPr>
                <w:color w:val="000000"/>
              </w:rPr>
              <w:t xml:space="preserve">, du </w:t>
            </w:r>
            <w:proofErr w:type="spellStart"/>
            <w:r w:rsidRPr="006206CD">
              <w:rPr>
                <w:color w:val="000000"/>
              </w:rPr>
              <w:t>matériau</w:t>
            </w:r>
            <w:proofErr w:type="spellEnd"/>
            <w:r w:rsidRPr="006206CD">
              <w:rPr>
                <w:color w:val="000000"/>
              </w:rPr>
              <w:t xml:space="preserve"> </w:t>
            </w:r>
            <w:proofErr w:type="spellStart"/>
            <w:r w:rsidRPr="006206CD">
              <w:rPr>
                <w:color w:val="000000"/>
              </w:rPr>
              <w:t>absorbant</w:t>
            </w:r>
            <w:proofErr w:type="spellEnd"/>
            <w:r w:rsidRPr="006206CD">
              <w:rPr>
                <w:color w:val="000000"/>
              </w:rPr>
              <w:t xml:space="preserve"> en </w:t>
            </w:r>
            <w:proofErr w:type="spellStart"/>
            <w:r w:rsidRPr="006206CD">
              <w:rPr>
                <w:color w:val="000000"/>
              </w:rPr>
              <w:t>quantité</w:t>
            </w:r>
            <w:proofErr w:type="spellEnd"/>
            <w:r w:rsidRPr="006206CD">
              <w:rPr>
                <w:color w:val="000000"/>
              </w:rPr>
              <w:t xml:space="preserve"> </w:t>
            </w:r>
            <w:proofErr w:type="spellStart"/>
            <w:r w:rsidRPr="006206CD">
              <w:rPr>
                <w:color w:val="000000"/>
              </w:rPr>
              <w:t>suffisante</w:t>
            </w:r>
            <w:proofErr w:type="spellEnd"/>
            <w:r w:rsidRPr="006206CD">
              <w:rPr>
                <w:color w:val="000000"/>
              </w:rPr>
              <w:t xml:space="preserve"> pour absorber la </w:t>
            </w:r>
            <w:proofErr w:type="spellStart"/>
            <w:r w:rsidRPr="006206CD">
              <w:rPr>
                <w:color w:val="000000"/>
              </w:rPr>
              <w:t>totalité</w:t>
            </w:r>
            <w:proofErr w:type="spellEnd"/>
            <w:r w:rsidRPr="006206CD">
              <w:rPr>
                <w:color w:val="000000"/>
              </w:rPr>
              <w:t xml:space="preserve"> du </w:t>
            </w:r>
            <w:proofErr w:type="spellStart"/>
            <w:r w:rsidRPr="006206CD">
              <w:rPr>
                <w:color w:val="000000"/>
              </w:rPr>
              <w:t>liquide</w:t>
            </w:r>
            <w:proofErr w:type="spellEnd"/>
            <w:r w:rsidRPr="006206CD">
              <w:rPr>
                <w:color w:val="000000"/>
              </w:rPr>
              <w:t xml:space="preserve"> qui </w:t>
            </w:r>
            <w:proofErr w:type="spellStart"/>
            <w:r w:rsidRPr="006206CD">
              <w:rPr>
                <w:color w:val="000000"/>
              </w:rPr>
              <w:t>pourrait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présent</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inséré</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l’emballage</w:t>
            </w:r>
            <w:proofErr w:type="spellEnd"/>
            <w:r w:rsidRPr="006206CD">
              <w:rPr>
                <w:color w:val="000000"/>
              </w:rPr>
              <w:t xml:space="preserve"> </w:t>
            </w:r>
            <w:proofErr w:type="spellStart"/>
            <w:r w:rsidRPr="006206CD">
              <w:rPr>
                <w:color w:val="000000"/>
              </w:rPr>
              <w:t>extérieur</w:t>
            </w:r>
            <w:proofErr w:type="spellEnd"/>
            <w:r w:rsidRPr="006206CD">
              <w:rPr>
                <w:color w:val="000000"/>
              </w:rPr>
              <w:t xml:space="preserve">. </w:t>
            </w:r>
          </w:p>
          <w:p w:rsidR="007E20AC" w:rsidRPr="006206CD" w:rsidRDefault="007E20AC" w:rsidP="00415AA8">
            <w:pPr>
              <w:spacing w:before="60" w:after="60" w:line="240" w:lineRule="auto"/>
              <w:ind w:left="230"/>
              <w:rPr>
                <w:color w:val="000000"/>
              </w:rPr>
            </w:pPr>
          </w:p>
        </w:tc>
      </w:tr>
      <w:tr w:rsidR="007E20AC" w:rsidRPr="006206CD" w:rsidTr="00415AA8">
        <w:trPr>
          <w:trHeight w:val="244"/>
        </w:trPr>
        <w:tc>
          <w:tcPr>
            <w:tcW w:w="9641" w:type="dxa"/>
            <w:gridSpan w:val="3"/>
            <w:tcBorders>
              <w:top w:val="single" w:sz="4" w:space="0" w:color="000000"/>
              <w:bottom w:val="nil"/>
            </w:tcBorders>
          </w:tcPr>
          <w:p w:rsidR="007E20AC" w:rsidRPr="006206CD" w:rsidRDefault="007E20AC" w:rsidP="00415AA8">
            <w:pPr>
              <w:spacing w:before="60" w:after="60" w:line="240" w:lineRule="auto"/>
              <w:rPr>
                <w:color w:val="000000"/>
              </w:rPr>
            </w:pPr>
            <w:r w:rsidRPr="006206CD">
              <w:rPr>
                <w:b/>
                <w:color w:val="000000"/>
              </w:rPr>
              <w:t xml:space="preserve">Dispositions </w:t>
            </w:r>
            <w:proofErr w:type="spellStart"/>
            <w:r w:rsidRPr="006206CD">
              <w:rPr>
                <w:b/>
                <w:color w:val="000000"/>
              </w:rPr>
              <w:t>supplémentaires</w:t>
            </w:r>
            <w:proofErr w:type="spellEnd"/>
            <w:r w:rsidRPr="006206CD">
              <w:rPr>
                <w:b/>
                <w:color w:val="000000"/>
              </w:rPr>
              <w:t> :</w:t>
            </w:r>
          </w:p>
        </w:tc>
      </w:tr>
      <w:tr w:rsidR="007E20AC" w:rsidRPr="006206CD" w:rsidTr="00415AA8">
        <w:trPr>
          <w:trHeight w:val="360"/>
        </w:trPr>
        <w:tc>
          <w:tcPr>
            <w:tcW w:w="9641" w:type="dxa"/>
            <w:gridSpan w:val="3"/>
            <w:tcBorders>
              <w:top w:val="nil"/>
            </w:tcBorders>
            <w:vAlign w:val="center"/>
          </w:tcPr>
          <w:p w:rsidR="007E20AC" w:rsidRPr="006206CD" w:rsidRDefault="007E20AC" w:rsidP="00415AA8">
            <w:pPr>
              <w:spacing w:before="60" w:after="60" w:line="240" w:lineRule="auto"/>
              <w:rPr>
                <w:color w:val="000000"/>
              </w:rPr>
            </w:pPr>
            <w:r w:rsidRPr="006206CD">
              <w:rPr>
                <w:color w:val="000000"/>
              </w:rPr>
              <w:t xml:space="preserve">1. La </w:t>
            </w:r>
            <w:proofErr w:type="spellStart"/>
            <w:r w:rsidRPr="006206CD">
              <w:rPr>
                <w:color w:val="000000"/>
              </w:rPr>
              <w:t>mise</w:t>
            </w:r>
            <w:proofErr w:type="spellEnd"/>
            <w:r w:rsidRPr="006206CD">
              <w:rPr>
                <w:color w:val="000000"/>
              </w:rPr>
              <w:t xml:space="preserve"> en </w:t>
            </w:r>
            <w:proofErr w:type="spellStart"/>
            <w:r w:rsidRPr="006206CD">
              <w:rPr>
                <w:color w:val="000000"/>
              </w:rPr>
              <w:t>œuvre</w:t>
            </w:r>
            <w:proofErr w:type="spellEnd"/>
            <w:r w:rsidRPr="006206CD">
              <w:rPr>
                <w:color w:val="000000"/>
              </w:rPr>
              <w:t xml:space="preserve"> </w:t>
            </w:r>
            <w:proofErr w:type="spellStart"/>
            <w:r w:rsidRPr="006206CD">
              <w:rPr>
                <w:color w:val="000000"/>
              </w:rPr>
              <w:t>particulière</w:t>
            </w:r>
            <w:proofErr w:type="spellEnd"/>
            <w:r w:rsidRPr="006206CD">
              <w:rPr>
                <w:color w:val="000000"/>
              </w:rPr>
              <w:t xml:space="preserve"> de </w:t>
            </w:r>
            <w:proofErr w:type="spellStart"/>
            <w:r w:rsidRPr="006206CD">
              <w:rPr>
                <w:color w:val="000000"/>
              </w:rPr>
              <w:t>cette</w:t>
            </w:r>
            <w:proofErr w:type="spellEnd"/>
            <w:r w:rsidRPr="006206CD">
              <w:rPr>
                <w:color w:val="000000"/>
              </w:rPr>
              <w:t xml:space="preserve"> instruction </w:t>
            </w:r>
            <w:proofErr w:type="spellStart"/>
            <w:r w:rsidRPr="006206CD">
              <w:rPr>
                <w:color w:val="000000"/>
              </w:rPr>
              <w:t>d’emballage</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approuvée</w:t>
            </w:r>
            <w:proofErr w:type="spellEnd"/>
            <w:r w:rsidRPr="006206CD">
              <w:rPr>
                <w:color w:val="000000"/>
              </w:rPr>
              <w:t xml:space="preserve"> </w:t>
            </w:r>
            <w:proofErr w:type="spellStart"/>
            <w:r w:rsidRPr="006206CD">
              <w:rPr>
                <w:color w:val="000000"/>
              </w:rPr>
              <w:t>par</w:t>
            </w:r>
            <w:proofErr w:type="spellEnd"/>
            <w:r w:rsidRPr="006206CD">
              <w:rPr>
                <w:color w:val="000000"/>
              </w:rPr>
              <w:t xml:space="preserve"> </w:t>
            </w:r>
            <w:proofErr w:type="spellStart"/>
            <w:r w:rsidRPr="006206CD">
              <w:rPr>
                <w:color w:val="000000"/>
              </w:rPr>
              <w:t>l’autorité</w:t>
            </w:r>
            <w:proofErr w:type="spellEnd"/>
            <w:r w:rsidRPr="006206CD">
              <w:rPr>
                <w:color w:val="000000"/>
              </w:rPr>
              <w:t xml:space="preserve"> </w:t>
            </w:r>
            <w:proofErr w:type="spellStart"/>
            <w:r w:rsidRPr="006206CD">
              <w:rPr>
                <w:color w:val="000000"/>
              </w:rPr>
              <w:t>compétente</w:t>
            </w:r>
            <w:proofErr w:type="spellEnd"/>
            <w:r w:rsidRPr="006206CD">
              <w:rPr>
                <w:color w:val="000000"/>
              </w:rPr>
              <w:t>.</w:t>
            </w:r>
          </w:p>
          <w:p w:rsidR="007E20AC" w:rsidRPr="006206CD" w:rsidRDefault="007E20AC" w:rsidP="00415AA8">
            <w:pPr>
              <w:spacing w:before="60" w:after="60" w:line="240" w:lineRule="auto"/>
              <w:rPr>
                <w:color w:val="000000"/>
              </w:rPr>
            </w:pPr>
            <w:r w:rsidRPr="006206CD">
              <w:rPr>
                <w:color w:val="000000"/>
              </w:rPr>
              <w:t xml:space="preserve">2. La surface </w:t>
            </w:r>
            <w:proofErr w:type="spellStart"/>
            <w:r w:rsidRPr="006206CD">
              <w:rPr>
                <w:color w:val="000000"/>
              </w:rPr>
              <w:t>extérieure</w:t>
            </w:r>
            <w:proofErr w:type="spellEnd"/>
            <w:r w:rsidRPr="006206CD">
              <w:rPr>
                <w:color w:val="000000"/>
              </w:rPr>
              <w:t xml:space="preserve"> des </w:t>
            </w:r>
            <w:proofErr w:type="spellStart"/>
            <w:r w:rsidRPr="006206CD">
              <w:rPr>
                <w:color w:val="000000"/>
              </w:rPr>
              <w:t>emballages</w:t>
            </w:r>
            <w:proofErr w:type="spellEnd"/>
            <w:r w:rsidRPr="006206CD">
              <w:rPr>
                <w:color w:val="000000"/>
              </w:rPr>
              <w:t xml:space="preserve"> </w:t>
            </w:r>
            <w:proofErr w:type="spellStart"/>
            <w:r w:rsidRPr="006206CD">
              <w:rPr>
                <w:color w:val="000000"/>
              </w:rPr>
              <w:t>primaire</w:t>
            </w:r>
            <w:r>
              <w:rPr>
                <w:color w:val="000000"/>
              </w:rPr>
              <w:t>s</w:t>
            </w:r>
            <w:proofErr w:type="spellEnd"/>
            <w:r w:rsidRPr="006206CD">
              <w:rPr>
                <w:color w:val="000000"/>
              </w:rPr>
              <w:t xml:space="preserve"> et </w:t>
            </w:r>
            <w:proofErr w:type="spellStart"/>
            <w:r w:rsidRPr="006206CD">
              <w:rPr>
                <w:color w:val="000000"/>
              </w:rPr>
              <w:t>secondaire</w:t>
            </w:r>
            <w:r>
              <w:rPr>
                <w:color w:val="000000"/>
              </w:rPr>
              <w:t>s</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désinfectée</w:t>
            </w:r>
            <w:proofErr w:type="spellEnd"/>
            <w:r w:rsidRPr="006206CD">
              <w:rPr>
                <w:color w:val="000000"/>
              </w:rPr>
              <w:t xml:space="preserve"> </w:t>
            </w:r>
            <w:proofErr w:type="spellStart"/>
            <w:r w:rsidRPr="006206CD">
              <w:rPr>
                <w:color w:val="000000"/>
              </w:rPr>
              <w:t>avant</w:t>
            </w:r>
            <w:proofErr w:type="spellEnd"/>
            <w:r w:rsidRPr="006206CD">
              <w:rPr>
                <w:color w:val="000000"/>
              </w:rPr>
              <w:t xml:space="preserve"> </w:t>
            </w:r>
            <w:proofErr w:type="spellStart"/>
            <w:r>
              <w:rPr>
                <w:color w:val="000000"/>
              </w:rPr>
              <w:t>que</w:t>
            </w:r>
            <w:proofErr w:type="spellEnd"/>
            <w:r>
              <w:rPr>
                <w:color w:val="000000"/>
              </w:rPr>
              <w:t xml:space="preserve"> </w:t>
            </w:r>
            <w:proofErr w:type="spellStart"/>
            <w:r>
              <w:rPr>
                <w:color w:val="000000"/>
              </w:rPr>
              <w:t>ceux</w:t>
            </w:r>
            <w:proofErr w:type="spellEnd"/>
            <w:r>
              <w:rPr>
                <w:color w:val="000000"/>
              </w:rPr>
              <w:noBreakHyphen/>
              <w:t xml:space="preserve">ci ne </w:t>
            </w:r>
            <w:proofErr w:type="spellStart"/>
            <w:r>
              <w:rPr>
                <w:color w:val="000000"/>
              </w:rPr>
              <w:t>soient</w:t>
            </w:r>
            <w:proofErr w:type="spellEnd"/>
            <w:r w:rsidRPr="006206CD">
              <w:rPr>
                <w:color w:val="000000"/>
              </w:rPr>
              <w:t xml:space="preserve"> </w:t>
            </w:r>
            <w:r>
              <w:rPr>
                <w:color w:val="000000"/>
              </w:rPr>
              <w:t xml:space="preserve">chargés </w:t>
            </w:r>
            <w:proofErr w:type="spellStart"/>
            <w:r>
              <w:rPr>
                <w:color w:val="000000"/>
              </w:rPr>
              <w:t>dans</w:t>
            </w:r>
            <w:proofErr w:type="spellEnd"/>
            <w:r>
              <w:rPr>
                <w:color w:val="000000"/>
              </w:rPr>
              <w:t xml:space="preserve"> </w:t>
            </w:r>
            <w:proofErr w:type="spellStart"/>
            <w:r>
              <w:rPr>
                <w:color w:val="000000"/>
              </w:rPr>
              <w:t>l’emballage</w:t>
            </w:r>
            <w:proofErr w:type="spellEnd"/>
            <w:r>
              <w:rPr>
                <w:color w:val="000000"/>
              </w:rPr>
              <w:t xml:space="preserve"> </w:t>
            </w:r>
            <w:proofErr w:type="spellStart"/>
            <w:r>
              <w:rPr>
                <w:color w:val="000000"/>
              </w:rPr>
              <w:t>extérieur</w:t>
            </w:r>
            <w:proofErr w:type="spellEnd"/>
            <w:r w:rsidRPr="006206CD">
              <w:rPr>
                <w:color w:val="000000"/>
              </w:rPr>
              <w:t xml:space="preserve">. Les </w:t>
            </w:r>
            <w:proofErr w:type="spellStart"/>
            <w:r w:rsidRPr="006206CD">
              <w:rPr>
                <w:color w:val="000000"/>
              </w:rPr>
              <w:t>emballages</w:t>
            </w:r>
            <w:proofErr w:type="spellEnd"/>
            <w:r w:rsidRPr="006206CD">
              <w:rPr>
                <w:color w:val="000000"/>
              </w:rPr>
              <w:t xml:space="preserve"> </w:t>
            </w:r>
            <w:proofErr w:type="spellStart"/>
            <w:r w:rsidRPr="006206CD">
              <w:rPr>
                <w:color w:val="000000"/>
              </w:rPr>
              <w:t>extérieurs</w:t>
            </w:r>
            <w:proofErr w:type="spellEnd"/>
            <w:r w:rsidRPr="006206CD">
              <w:rPr>
                <w:color w:val="000000"/>
              </w:rPr>
              <w:t xml:space="preserve"> </w:t>
            </w:r>
            <w:proofErr w:type="spellStart"/>
            <w:r w:rsidRPr="006206CD">
              <w:rPr>
                <w:color w:val="000000"/>
              </w:rPr>
              <w:t>doivent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désinfectés</w:t>
            </w:r>
            <w:proofErr w:type="spellEnd"/>
            <w:r w:rsidRPr="006206CD">
              <w:rPr>
                <w:color w:val="000000"/>
              </w:rPr>
              <w:t xml:space="preserve"> </w:t>
            </w:r>
            <w:proofErr w:type="spellStart"/>
            <w:r w:rsidRPr="006206CD">
              <w:rPr>
                <w:color w:val="000000"/>
              </w:rPr>
              <w:t>avant</w:t>
            </w:r>
            <w:proofErr w:type="spellEnd"/>
            <w:r w:rsidRPr="006206CD">
              <w:rPr>
                <w:color w:val="000000"/>
              </w:rPr>
              <w:t xml:space="preserve"> d’être </w:t>
            </w:r>
            <w:proofErr w:type="spellStart"/>
            <w:r w:rsidRPr="006206CD">
              <w:rPr>
                <w:color w:val="000000"/>
              </w:rPr>
              <w:t>réutilisés</w:t>
            </w:r>
            <w:proofErr w:type="spellEnd"/>
            <w:r w:rsidRPr="006206CD">
              <w:rPr>
                <w:color w:val="000000"/>
              </w:rPr>
              <w:t xml:space="preserve">. La </w:t>
            </w:r>
            <w:proofErr w:type="spellStart"/>
            <w:r w:rsidRPr="006206CD">
              <w:rPr>
                <w:color w:val="000000"/>
              </w:rPr>
              <w:t>désinfection</w:t>
            </w:r>
            <w:proofErr w:type="spellEnd"/>
            <w:r w:rsidRPr="006206CD">
              <w:rPr>
                <w:color w:val="000000"/>
              </w:rPr>
              <w:t xml:space="preserve"> </w:t>
            </w:r>
            <w:proofErr w:type="spellStart"/>
            <w:r w:rsidRPr="006206CD">
              <w:rPr>
                <w:color w:val="000000"/>
              </w:rPr>
              <w:t>doit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réalisée</w:t>
            </w:r>
            <w:proofErr w:type="spellEnd"/>
            <w:r w:rsidRPr="006206CD">
              <w:rPr>
                <w:color w:val="000000"/>
              </w:rPr>
              <w:t xml:space="preserve"> </w:t>
            </w:r>
            <w:proofErr w:type="spellStart"/>
            <w:r w:rsidRPr="006206CD">
              <w:rPr>
                <w:color w:val="000000"/>
              </w:rPr>
              <w:t>conformément</w:t>
            </w:r>
            <w:proofErr w:type="spellEnd"/>
            <w:r w:rsidRPr="006206CD">
              <w:rPr>
                <w:color w:val="000000"/>
              </w:rPr>
              <w:t xml:space="preserve"> aux </w:t>
            </w:r>
            <w:proofErr w:type="spellStart"/>
            <w:r w:rsidRPr="006206CD">
              <w:rPr>
                <w:color w:val="000000"/>
              </w:rPr>
              <w:t>recommandations</w:t>
            </w:r>
            <w:proofErr w:type="spellEnd"/>
            <w:r w:rsidRPr="006206CD">
              <w:rPr>
                <w:color w:val="000000"/>
              </w:rPr>
              <w:t xml:space="preserve"> de </w:t>
            </w:r>
            <w:proofErr w:type="spellStart"/>
            <w:r w:rsidRPr="006206CD">
              <w:rPr>
                <w:color w:val="000000"/>
              </w:rPr>
              <w:t>l’autorité</w:t>
            </w:r>
            <w:proofErr w:type="spellEnd"/>
            <w:r w:rsidRPr="006206CD">
              <w:rPr>
                <w:color w:val="000000"/>
              </w:rPr>
              <w:t xml:space="preserve"> </w:t>
            </w:r>
            <w:proofErr w:type="spellStart"/>
            <w:r w:rsidRPr="006206CD">
              <w:rPr>
                <w:color w:val="000000"/>
              </w:rPr>
              <w:t>compétente</w:t>
            </w:r>
            <w:proofErr w:type="spellEnd"/>
            <w:r w:rsidRPr="006206CD">
              <w:rPr>
                <w:color w:val="000000"/>
              </w:rPr>
              <w:t xml:space="preserve"> en </w:t>
            </w:r>
            <w:proofErr w:type="spellStart"/>
            <w:r w:rsidRPr="006206CD">
              <w:rPr>
                <w:color w:val="000000"/>
              </w:rPr>
              <w:t>matière</w:t>
            </w:r>
            <w:proofErr w:type="spellEnd"/>
            <w:r w:rsidRPr="006206CD">
              <w:rPr>
                <w:color w:val="000000"/>
              </w:rPr>
              <w:t xml:space="preserve"> de santé </w:t>
            </w:r>
            <w:proofErr w:type="spellStart"/>
            <w:r w:rsidRPr="006206CD">
              <w:rPr>
                <w:color w:val="000000"/>
              </w:rPr>
              <w:t>publique</w:t>
            </w:r>
            <w:proofErr w:type="spellEnd"/>
            <w:r w:rsidRPr="006206CD">
              <w:rPr>
                <w:color w:val="000000"/>
              </w:rPr>
              <w:t xml:space="preserve">. </w:t>
            </w:r>
          </w:p>
          <w:p w:rsidR="007E20AC" w:rsidRPr="006206CD" w:rsidRDefault="007E20AC" w:rsidP="00415AA8">
            <w:pPr>
              <w:spacing w:before="60" w:after="60" w:line="240" w:lineRule="auto"/>
              <w:rPr>
                <w:b/>
                <w:color w:val="000000"/>
              </w:rPr>
            </w:pPr>
            <w:r w:rsidRPr="006206CD">
              <w:rPr>
                <w:color w:val="000000"/>
              </w:rPr>
              <w:t xml:space="preserve">3. Avant d’être </w:t>
            </w:r>
            <w:proofErr w:type="spellStart"/>
            <w:r w:rsidRPr="006206CD">
              <w:rPr>
                <w:color w:val="000000"/>
              </w:rPr>
              <w:t>placés</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w:t>
            </w:r>
            <w:proofErr w:type="spellStart"/>
            <w:r w:rsidRPr="006206CD">
              <w:rPr>
                <w:color w:val="000000"/>
              </w:rPr>
              <w:t>l’emballage</w:t>
            </w:r>
            <w:proofErr w:type="spellEnd"/>
            <w:r w:rsidRPr="006206CD">
              <w:rPr>
                <w:color w:val="000000"/>
              </w:rPr>
              <w:t xml:space="preserve"> </w:t>
            </w:r>
            <w:proofErr w:type="spellStart"/>
            <w:r w:rsidRPr="006206CD">
              <w:rPr>
                <w:color w:val="000000"/>
              </w:rPr>
              <w:t>primaire</w:t>
            </w:r>
            <w:proofErr w:type="spellEnd"/>
            <w:r w:rsidRPr="006206CD">
              <w:rPr>
                <w:color w:val="000000"/>
              </w:rPr>
              <w:t xml:space="preserve">, les </w:t>
            </w:r>
            <w:proofErr w:type="spellStart"/>
            <w:r w:rsidRPr="006206CD">
              <w:rPr>
                <w:color w:val="000000"/>
              </w:rPr>
              <w:t>objets</w:t>
            </w:r>
            <w:proofErr w:type="spellEnd"/>
            <w:r w:rsidRPr="006206CD">
              <w:rPr>
                <w:color w:val="000000"/>
              </w:rPr>
              <w:t xml:space="preserve"> </w:t>
            </w:r>
            <w:proofErr w:type="spellStart"/>
            <w:r w:rsidRPr="006206CD">
              <w:rPr>
                <w:color w:val="000000"/>
              </w:rPr>
              <w:t>pointus</w:t>
            </w:r>
            <w:proofErr w:type="spellEnd"/>
            <w:r w:rsidRPr="006206CD">
              <w:rPr>
                <w:color w:val="000000"/>
              </w:rPr>
              <w:t xml:space="preserve"> et </w:t>
            </w:r>
            <w:proofErr w:type="spellStart"/>
            <w:r w:rsidRPr="006206CD">
              <w:rPr>
                <w:color w:val="000000"/>
              </w:rPr>
              <w:t>tranchants</w:t>
            </w:r>
            <w:proofErr w:type="spellEnd"/>
            <w:r w:rsidRPr="006206CD">
              <w:rPr>
                <w:color w:val="000000"/>
              </w:rPr>
              <w:t xml:space="preserve"> </w:t>
            </w:r>
            <w:proofErr w:type="spellStart"/>
            <w:r w:rsidRPr="006206CD">
              <w:rPr>
                <w:color w:val="000000"/>
              </w:rPr>
              <w:t>tels</w:t>
            </w:r>
            <w:proofErr w:type="spellEnd"/>
            <w:r w:rsidRPr="006206CD">
              <w:rPr>
                <w:color w:val="000000"/>
              </w:rPr>
              <w:t xml:space="preserve"> </w:t>
            </w:r>
            <w:proofErr w:type="spellStart"/>
            <w:r w:rsidRPr="006206CD">
              <w:rPr>
                <w:color w:val="000000"/>
              </w:rPr>
              <w:t>que</w:t>
            </w:r>
            <w:proofErr w:type="spellEnd"/>
            <w:r w:rsidRPr="006206CD">
              <w:rPr>
                <w:color w:val="000000"/>
              </w:rPr>
              <w:t xml:space="preserve"> du </w:t>
            </w:r>
            <w:proofErr w:type="spellStart"/>
            <w:r w:rsidRPr="006206CD">
              <w:rPr>
                <w:color w:val="000000"/>
              </w:rPr>
              <w:t>verre</w:t>
            </w:r>
            <w:proofErr w:type="spellEnd"/>
            <w:r w:rsidRPr="006206CD">
              <w:rPr>
                <w:color w:val="000000"/>
              </w:rPr>
              <w:t xml:space="preserve"> </w:t>
            </w:r>
            <w:proofErr w:type="spellStart"/>
            <w:r w:rsidRPr="006206CD">
              <w:rPr>
                <w:color w:val="000000"/>
              </w:rPr>
              <w:t>brisé</w:t>
            </w:r>
            <w:proofErr w:type="spellEnd"/>
            <w:r w:rsidRPr="006206CD">
              <w:rPr>
                <w:color w:val="000000"/>
              </w:rPr>
              <w:t xml:space="preserve"> et des aiguilles </w:t>
            </w:r>
            <w:proofErr w:type="spellStart"/>
            <w:r w:rsidRPr="006206CD">
              <w:rPr>
                <w:color w:val="000000"/>
              </w:rPr>
              <w:t>doivent</w:t>
            </w:r>
            <w:proofErr w:type="spellEnd"/>
            <w:r w:rsidRPr="006206CD">
              <w:rPr>
                <w:color w:val="000000"/>
              </w:rPr>
              <w:t xml:space="preserve"> </w:t>
            </w:r>
            <w:proofErr w:type="spellStart"/>
            <w:r w:rsidRPr="006206CD">
              <w:rPr>
                <w:color w:val="000000"/>
              </w:rPr>
              <w:t>être</w:t>
            </w:r>
            <w:proofErr w:type="spellEnd"/>
            <w:r w:rsidRPr="006206CD">
              <w:rPr>
                <w:color w:val="000000"/>
              </w:rPr>
              <w:t xml:space="preserve"> </w:t>
            </w:r>
            <w:proofErr w:type="spellStart"/>
            <w:r w:rsidRPr="006206CD">
              <w:rPr>
                <w:color w:val="000000"/>
              </w:rPr>
              <w:t>contenus</w:t>
            </w:r>
            <w:proofErr w:type="spellEnd"/>
            <w:r w:rsidRPr="006206CD">
              <w:rPr>
                <w:color w:val="000000"/>
              </w:rPr>
              <w:t xml:space="preserve"> </w:t>
            </w:r>
            <w:proofErr w:type="spellStart"/>
            <w:r w:rsidRPr="006206CD">
              <w:rPr>
                <w:color w:val="000000"/>
              </w:rPr>
              <w:t>dans</w:t>
            </w:r>
            <w:proofErr w:type="spellEnd"/>
            <w:r w:rsidRPr="006206CD">
              <w:rPr>
                <w:color w:val="000000"/>
              </w:rPr>
              <w:t xml:space="preserve"> des </w:t>
            </w:r>
            <w:proofErr w:type="spellStart"/>
            <w:r w:rsidRPr="006206CD">
              <w:rPr>
                <w:color w:val="000000"/>
              </w:rPr>
              <w:t>emballages</w:t>
            </w:r>
            <w:proofErr w:type="spellEnd"/>
            <w:r w:rsidRPr="006206CD">
              <w:rPr>
                <w:color w:val="000000"/>
              </w:rPr>
              <w:t xml:space="preserve"> </w:t>
            </w:r>
            <w:proofErr w:type="spellStart"/>
            <w:r w:rsidRPr="006206CD">
              <w:rPr>
                <w:color w:val="000000"/>
              </w:rPr>
              <w:t>résistants</w:t>
            </w:r>
            <w:proofErr w:type="spellEnd"/>
            <w:r w:rsidRPr="006206CD">
              <w:rPr>
                <w:color w:val="000000"/>
              </w:rPr>
              <w:t xml:space="preserve"> à la perforation </w:t>
            </w:r>
            <w:proofErr w:type="spellStart"/>
            <w:r w:rsidRPr="006206CD">
              <w:rPr>
                <w:color w:val="000000"/>
              </w:rPr>
              <w:t>capables</w:t>
            </w:r>
            <w:proofErr w:type="spellEnd"/>
            <w:r w:rsidRPr="006206CD">
              <w:rPr>
                <w:color w:val="000000"/>
              </w:rPr>
              <w:t xml:space="preserve"> de </w:t>
            </w:r>
            <w:proofErr w:type="spellStart"/>
            <w:r w:rsidRPr="006206CD">
              <w:rPr>
                <w:color w:val="000000"/>
              </w:rPr>
              <w:t>retenir</w:t>
            </w:r>
            <w:proofErr w:type="spellEnd"/>
            <w:r w:rsidRPr="006206CD">
              <w:rPr>
                <w:color w:val="000000"/>
              </w:rPr>
              <w:t xml:space="preserve"> les </w:t>
            </w:r>
            <w:proofErr w:type="spellStart"/>
            <w:r w:rsidRPr="006206CD">
              <w:rPr>
                <w:color w:val="000000"/>
              </w:rPr>
              <w:t>liquides</w:t>
            </w:r>
            <w:proofErr w:type="spellEnd"/>
            <w:r w:rsidRPr="006206CD">
              <w:rPr>
                <w:color w:val="000000"/>
              </w:rPr>
              <w:t xml:space="preserve"> </w:t>
            </w:r>
            <w:proofErr w:type="spellStart"/>
            <w:r w:rsidRPr="006206CD">
              <w:rPr>
                <w:color w:val="000000"/>
              </w:rPr>
              <w:t>conformément</w:t>
            </w:r>
            <w:proofErr w:type="spellEnd"/>
            <w:r w:rsidRPr="006206CD">
              <w:rPr>
                <w:color w:val="000000"/>
              </w:rPr>
              <w:t xml:space="preserve"> aux conditions </w:t>
            </w:r>
            <w:proofErr w:type="spellStart"/>
            <w:r w:rsidRPr="006206CD">
              <w:rPr>
                <w:color w:val="000000"/>
              </w:rPr>
              <w:t>d’épreuve</w:t>
            </w:r>
            <w:proofErr w:type="spellEnd"/>
            <w:r w:rsidRPr="006206CD">
              <w:rPr>
                <w:color w:val="000000"/>
              </w:rPr>
              <w:t xml:space="preserve"> du </w:t>
            </w:r>
            <w:proofErr w:type="spellStart"/>
            <w:r w:rsidRPr="006206CD">
              <w:rPr>
                <w:color w:val="000000"/>
              </w:rPr>
              <w:t>chapitre</w:t>
            </w:r>
            <w:proofErr w:type="spellEnd"/>
            <w:r w:rsidRPr="006206CD">
              <w:rPr>
                <w:color w:val="000000"/>
              </w:rPr>
              <w:t> 6.1.</w:t>
            </w:r>
          </w:p>
        </w:tc>
      </w:tr>
    </w:tbl>
    <w:p w:rsidR="005B17D0" w:rsidRPr="007E20AC" w:rsidRDefault="007E20AC" w:rsidP="007E20AC">
      <w:pPr>
        <w:pStyle w:val="SingleTxtG"/>
        <w:spacing w:before="240" w:after="0"/>
        <w:jc w:val="center"/>
        <w:rPr>
          <w:u w:val="single"/>
          <w:lang w:val="fr-CA"/>
        </w:rPr>
      </w:pPr>
      <w:r>
        <w:rPr>
          <w:u w:val="single"/>
          <w:lang w:val="fr-CA"/>
        </w:rPr>
        <w:tab/>
      </w:r>
      <w:r>
        <w:rPr>
          <w:u w:val="single"/>
          <w:lang w:val="fr-CA"/>
        </w:rPr>
        <w:tab/>
      </w:r>
      <w:r>
        <w:rPr>
          <w:u w:val="single"/>
          <w:lang w:val="fr-CA"/>
        </w:rPr>
        <w:tab/>
      </w:r>
    </w:p>
    <w:p w:rsidR="005B17D0" w:rsidRDefault="005B17D0" w:rsidP="00E93F14">
      <w:pPr>
        <w:pStyle w:val="SingleTxtG"/>
        <w:rPr>
          <w:lang w:val="fr-CA"/>
        </w:rPr>
      </w:pPr>
    </w:p>
    <w:p w:rsidR="005B17D0" w:rsidRDefault="005B17D0" w:rsidP="00E93F14">
      <w:pPr>
        <w:pStyle w:val="SingleTxtG"/>
        <w:rPr>
          <w:lang w:val="fr-CA"/>
        </w:rPr>
      </w:pPr>
    </w:p>
    <w:p w:rsidR="005B17D0" w:rsidRDefault="005B17D0" w:rsidP="00E93F14">
      <w:pPr>
        <w:pStyle w:val="SingleTxtG"/>
        <w:rPr>
          <w:lang w:val="fr-CA"/>
        </w:rPr>
      </w:pPr>
    </w:p>
    <w:p w:rsidR="005B17D0" w:rsidRPr="00E93F14" w:rsidRDefault="005B17D0" w:rsidP="00E93F14">
      <w:pPr>
        <w:pStyle w:val="SingleTxtG"/>
        <w:rPr>
          <w:lang w:val="fr-CA"/>
        </w:rPr>
      </w:pPr>
    </w:p>
    <w:sectPr w:rsidR="005B17D0" w:rsidRPr="00E93F14"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D6" w:rsidRDefault="00125DD6"/>
  </w:endnote>
  <w:endnote w:type="continuationSeparator" w:id="0">
    <w:p w:rsidR="00125DD6" w:rsidRDefault="00125DD6"/>
  </w:endnote>
  <w:endnote w:type="continuationNotice" w:id="1">
    <w:p w:rsidR="00125DD6" w:rsidRDefault="00125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C90686">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C90686">
      <w:rPr>
        <w:b/>
        <w:noProof/>
        <w:sz w:val="18"/>
      </w:rPr>
      <w:t>3</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D6" w:rsidRPr="000B175B" w:rsidRDefault="00125DD6" w:rsidP="000B175B">
      <w:pPr>
        <w:tabs>
          <w:tab w:val="right" w:pos="2155"/>
        </w:tabs>
        <w:spacing w:after="80"/>
        <w:ind w:left="680"/>
        <w:rPr>
          <w:u w:val="single"/>
        </w:rPr>
      </w:pPr>
      <w:r>
        <w:rPr>
          <w:u w:val="single"/>
        </w:rPr>
        <w:tab/>
      </w:r>
    </w:p>
  </w:footnote>
  <w:footnote w:type="continuationSeparator" w:id="0">
    <w:p w:rsidR="00125DD6" w:rsidRPr="00FC68B7" w:rsidRDefault="00125DD6" w:rsidP="00FC68B7">
      <w:pPr>
        <w:tabs>
          <w:tab w:val="left" w:pos="2155"/>
        </w:tabs>
        <w:spacing w:after="80"/>
        <w:ind w:left="680"/>
        <w:rPr>
          <w:u w:val="single"/>
        </w:rPr>
      </w:pPr>
      <w:r>
        <w:rPr>
          <w:u w:val="single"/>
        </w:rPr>
        <w:tab/>
      </w:r>
    </w:p>
  </w:footnote>
  <w:footnote w:type="continuationNotice" w:id="1">
    <w:p w:rsidR="00125DD6" w:rsidRDefault="00125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4C6E3D" w:rsidP="00F54DDA">
    <w:pPr>
      <w:pStyle w:val="Header"/>
      <w:rPr>
        <w:lang w:val="fr-CA"/>
      </w:rPr>
    </w:pPr>
    <w:r w:rsidRPr="00DA5A3D">
      <w:rPr>
        <w:noProof/>
        <w:lang w:val="fr-CA"/>
      </w:rPr>
      <w:t>UN/SCETDG/4</w:t>
    </w:r>
    <w:r w:rsidR="00FC7852" w:rsidRPr="00DA5A3D">
      <w:rPr>
        <w:noProof/>
        <w:lang w:val="fr-CA"/>
      </w:rPr>
      <w:t>9</w:t>
    </w:r>
    <w:r w:rsidR="0094085C" w:rsidRPr="00DA5A3D">
      <w:rPr>
        <w:noProof/>
        <w:lang w:val="fr-CA"/>
      </w:rPr>
      <w:t>/INF.</w:t>
    </w:r>
    <w:r w:rsidR="00B760BD">
      <w:rPr>
        <w:noProof/>
        <w:lang w:val="fr-CA"/>
      </w:rPr>
      <w:t>10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B760BD" w:rsidP="0005570C">
    <w:pPr>
      <w:pStyle w:val="Header"/>
      <w:jc w:val="right"/>
      <w:rPr>
        <w:lang w:val="fr-CA"/>
      </w:rPr>
    </w:pPr>
    <w:r>
      <w:rPr>
        <w:lang w:val="fr-CA"/>
      </w:rPr>
      <w:t>UN/SCETDG/49</w:t>
    </w:r>
    <w:r w:rsidR="004C6E3D" w:rsidRPr="00FC7852">
      <w:rPr>
        <w:lang w:val="fr-CA"/>
      </w:rPr>
      <w:t>/</w:t>
    </w:r>
    <w:r w:rsidRPr="00B760BD">
      <w:rPr>
        <w:lang w:val="fr-CA"/>
      </w:rPr>
      <w:t>INF.10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44B84"/>
    <w:multiLevelType w:val="hybridMultilevel"/>
    <w:tmpl w:val="81DC493A"/>
    <w:lvl w:ilvl="0" w:tplc="CE96D52A">
      <w:start w:val="1"/>
      <w:numFmt w:val="decimal"/>
      <w:pStyle w:val="UNPara"/>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642807"/>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6">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7">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1FB0B5C"/>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nsid w:val="778336AF"/>
    <w:multiLevelType w:val="hybridMultilevel"/>
    <w:tmpl w:val="7F3493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7FBD374D"/>
    <w:multiLevelType w:val="hybridMultilevel"/>
    <w:tmpl w:val="7F3493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2"/>
  </w:num>
  <w:num w:numId="13">
    <w:abstractNumId w:val="10"/>
  </w:num>
  <w:num w:numId="14">
    <w:abstractNumId w:val="34"/>
  </w:num>
  <w:num w:numId="15">
    <w:abstractNumId w:val="17"/>
  </w:num>
  <w:num w:numId="16">
    <w:abstractNumId w:val="13"/>
  </w:num>
  <w:num w:numId="17">
    <w:abstractNumId w:val="39"/>
  </w:num>
  <w:num w:numId="18">
    <w:abstractNumId w:val="28"/>
  </w:num>
  <w:num w:numId="19">
    <w:abstractNumId w:val="15"/>
  </w:num>
  <w:num w:numId="20">
    <w:abstractNumId w:val="31"/>
  </w:num>
  <w:num w:numId="21">
    <w:abstractNumId w:val="19"/>
  </w:num>
  <w:num w:numId="22">
    <w:abstractNumId w:val="16"/>
  </w:num>
  <w:num w:numId="23">
    <w:abstractNumId w:val="18"/>
  </w:num>
  <w:num w:numId="24">
    <w:abstractNumId w:val="30"/>
  </w:num>
  <w:num w:numId="25">
    <w:abstractNumId w:val="32"/>
  </w:num>
  <w:num w:numId="26">
    <w:abstractNumId w:val="33"/>
  </w:num>
  <w:num w:numId="27">
    <w:abstractNumId w:val="42"/>
  </w:num>
  <w:num w:numId="28">
    <w:abstractNumId w:val="29"/>
  </w:num>
  <w:num w:numId="29">
    <w:abstractNumId w:val="23"/>
  </w:num>
  <w:num w:numId="30">
    <w:abstractNumId w:val="40"/>
  </w:num>
  <w:num w:numId="31">
    <w:abstractNumId w:val="20"/>
  </w:num>
  <w:num w:numId="32">
    <w:abstractNumId w:val="25"/>
  </w:num>
  <w:num w:numId="33">
    <w:abstractNumId w:val="12"/>
  </w:num>
  <w:num w:numId="34">
    <w:abstractNumId w:val="21"/>
  </w:num>
  <w:num w:numId="35">
    <w:abstractNumId w:val="37"/>
  </w:num>
  <w:num w:numId="36">
    <w:abstractNumId w:val="26"/>
  </w:num>
  <w:num w:numId="37">
    <w:abstractNumId w:val="36"/>
  </w:num>
  <w:num w:numId="38">
    <w:abstractNumId w:val="24"/>
  </w:num>
  <w:num w:numId="39">
    <w:abstractNumId w:val="11"/>
  </w:num>
  <w:num w:numId="40">
    <w:abstractNumId w:val="14"/>
  </w:num>
  <w:num w:numId="41">
    <w:abstractNumId w:val="43"/>
  </w:num>
  <w:num w:numId="42">
    <w:abstractNumId w:val="35"/>
  </w:num>
  <w:num w:numId="43">
    <w:abstractNumId w:val="38"/>
  </w:num>
  <w:num w:numId="44">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43C8"/>
    <w:rsid w:val="000E0415"/>
    <w:rsid w:val="000E572A"/>
    <w:rsid w:val="000E6D5E"/>
    <w:rsid w:val="000F0909"/>
    <w:rsid w:val="000F143A"/>
    <w:rsid w:val="000F5FF7"/>
    <w:rsid w:val="00103C0E"/>
    <w:rsid w:val="00107AD9"/>
    <w:rsid w:val="00114E72"/>
    <w:rsid w:val="00117787"/>
    <w:rsid w:val="00120F5D"/>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6795"/>
    <w:rsid w:val="00266C11"/>
    <w:rsid w:val="002722E5"/>
    <w:rsid w:val="002725CA"/>
    <w:rsid w:val="00274700"/>
    <w:rsid w:val="00274F33"/>
    <w:rsid w:val="00280D2B"/>
    <w:rsid w:val="00280EB7"/>
    <w:rsid w:val="002817F4"/>
    <w:rsid w:val="00281BE2"/>
    <w:rsid w:val="0029280A"/>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2F440C"/>
    <w:rsid w:val="00302963"/>
    <w:rsid w:val="00303816"/>
    <w:rsid w:val="003043E3"/>
    <w:rsid w:val="00307C8F"/>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741B"/>
    <w:rsid w:val="004179D7"/>
    <w:rsid w:val="004325CB"/>
    <w:rsid w:val="00434B5A"/>
    <w:rsid w:val="00437F3F"/>
    <w:rsid w:val="0044017E"/>
    <w:rsid w:val="00442686"/>
    <w:rsid w:val="0044679E"/>
    <w:rsid w:val="00446C28"/>
    <w:rsid w:val="00446DE4"/>
    <w:rsid w:val="004479B5"/>
    <w:rsid w:val="0045002A"/>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329B"/>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02E7"/>
    <w:rsid w:val="00571C38"/>
    <w:rsid w:val="0057509F"/>
    <w:rsid w:val="00581B62"/>
    <w:rsid w:val="00581C11"/>
    <w:rsid w:val="00590144"/>
    <w:rsid w:val="005A1FEB"/>
    <w:rsid w:val="005A37A2"/>
    <w:rsid w:val="005A77C6"/>
    <w:rsid w:val="005B17D0"/>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3330C"/>
    <w:rsid w:val="00633C10"/>
    <w:rsid w:val="0063419C"/>
    <w:rsid w:val="00634398"/>
    <w:rsid w:val="00640B26"/>
    <w:rsid w:val="00641876"/>
    <w:rsid w:val="00647621"/>
    <w:rsid w:val="00650267"/>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273E4"/>
    <w:rsid w:val="007428A0"/>
    <w:rsid w:val="00743F34"/>
    <w:rsid w:val="0075177E"/>
    <w:rsid w:val="00757A17"/>
    <w:rsid w:val="00765640"/>
    <w:rsid w:val="0077383A"/>
    <w:rsid w:val="00776830"/>
    <w:rsid w:val="00784FFC"/>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20AC"/>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828BD"/>
    <w:rsid w:val="008900F3"/>
    <w:rsid w:val="0089467C"/>
    <w:rsid w:val="008979B1"/>
    <w:rsid w:val="008A2299"/>
    <w:rsid w:val="008A6B25"/>
    <w:rsid w:val="008A6C4F"/>
    <w:rsid w:val="008A7362"/>
    <w:rsid w:val="008B0C07"/>
    <w:rsid w:val="008B2E94"/>
    <w:rsid w:val="008C1535"/>
    <w:rsid w:val="008C48A9"/>
    <w:rsid w:val="008D1C3A"/>
    <w:rsid w:val="008D44E2"/>
    <w:rsid w:val="008E0E46"/>
    <w:rsid w:val="008E1D4C"/>
    <w:rsid w:val="008F36A7"/>
    <w:rsid w:val="008F42F2"/>
    <w:rsid w:val="008F65D0"/>
    <w:rsid w:val="00905AEA"/>
    <w:rsid w:val="00910229"/>
    <w:rsid w:val="00910E37"/>
    <w:rsid w:val="009145E5"/>
    <w:rsid w:val="00915E24"/>
    <w:rsid w:val="009174F9"/>
    <w:rsid w:val="009178F6"/>
    <w:rsid w:val="00920726"/>
    <w:rsid w:val="00924330"/>
    <w:rsid w:val="0092549E"/>
    <w:rsid w:val="0093457E"/>
    <w:rsid w:val="0094085C"/>
    <w:rsid w:val="00945A5D"/>
    <w:rsid w:val="0094761C"/>
    <w:rsid w:val="00947A9D"/>
    <w:rsid w:val="009561ED"/>
    <w:rsid w:val="00963CBA"/>
    <w:rsid w:val="00965ACC"/>
    <w:rsid w:val="00970D90"/>
    <w:rsid w:val="0097150D"/>
    <w:rsid w:val="00971B0B"/>
    <w:rsid w:val="00972131"/>
    <w:rsid w:val="00972910"/>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7B0D"/>
    <w:rsid w:val="00A12045"/>
    <w:rsid w:val="00A12267"/>
    <w:rsid w:val="00A1427D"/>
    <w:rsid w:val="00A15DCA"/>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10153"/>
    <w:rsid w:val="00B2292E"/>
    <w:rsid w:val="00B30179"/>
    <w:rsid w:val="00B32399"/>
    <w:rsid w:val="00B3317B"/>
    <w:rsid w:val="00B34A94"/>
    <w:rsid w:val="00B35770"/>
    <w:rsid w:val="00B45379"/>
    <w:rsid w:val="00B62799"/>
    <w:rsid w:val="00B65BD4"/>
    <w:rsid w:val="00B742AE"/>
    <w:rsid w:val="00B7575E"/>
    <w:rsid w:val="00B75B87"/>
    <w:rsid w:val="00B760BD"/>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90686"/>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4639"/>
    <w:rsid w:val="00CF6553"/>
    <w:rsid w:val="00CF7C69"/>
    <w:rsid w:val="00CF7FCE"/>
    <w:rsid w:val="00D00E69"/>
    <w:rsid w:val="00D01A50"/>
    <w:rsid w:val="00D01ACC"/>
    <w:rsid w:val="00D02365"/>
    <w:rsid w:val="00D04934"/>
    <w:rsid w:val="00D0609D"/>
    <w:rsid w:val="00D11828"/>
    <w:rsid w:val="00D13382"/>
    <w:rsid w:val="00D2031B"/>
    <w:rsid w:val="00D2387E"/>
    <w:rsid w:val="00D25FE2"/>
    <w:rsid w:val="00D37949"/>
    <w:rsid w:val="00D41099"/>
    <w:rsid w:val="00D42146"/>
    <w:rsid w:val="00D43252"/>
    <w:rsid w:val="00D44AE0"/>
    <w:rsid w:val="00D44EFC"/>
    <w:rsid w:val="00D5171D"/>
    <w:rsid w:val="00D606BB"/>
    <w:rsid w:val="00D625F5"/>
    <w:rsid w:val="00D668CA"/>
    <w:rsid w:val="00D72869"/>
    <w:rsid w:val="00D753D8"/>
    <w:rsid w:val="00D77FB6"/>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67039"/>
    <w:rsid w:val="00E7260F"/>
    <w:rsid w:val="00E8535A"/>
    <w:rsid w:val="00E92301"/>
    <w:rsid w:val="00E93F14"/>
    <w:rsid w:val="00E96630"/>
    <w:rsid w:val="00EA5271"/>
    <w:rsid w:val="00EB0D77"/>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UNPara">
    <w:name w:val="UN Para"/>
    <w:basedOn w:val="Normal"/>
    <w:link w:val="UNParaChar"/>
    <w:qFormat/>
    <w:rsid w:val="00E93F14"/>
    <w:pPr>
      <w:numPr>
        <w:numId w:val="39"/>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E93F14"/>
    <w:rPr>
      <w:color w:val="000000"/>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UNPara">
    <w:name w:val="UN Para"/>
    <w:basedOn w:val="Normal"/>
    <w:link w:val="UNParaChar"/>
    <w:qFormat/>
    <w:rsid w:val="00E93F14"/>
    <w:pPr>
      <w:numPr>
        <w:numId w:val="39"/>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E93F14"/>
    <w:rPr>
      <w:color w:val="000000"/>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1890A-56D3-4CB4-B5DE-46445694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1568</Words>
  <Characters>9202</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2016-04-19T07:54:00Z</cp:lastPrinted>
  <dcterms:created xsi:type="dcterms:W3CDTF">2016-05-09T06:37:00Z</dcterms:created>
  <dcterms:modified xsi:type="dcterms:W3CDTF">2016-05-12T08:41:00Z</dcterms:modified>
</cp:coreProperties>
</file>