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D9763A" w:rsidP="002B4757">
            <w:pPr>
              <w:jc w:val="right"/>
            </w:pPr>
            <w:r w:rsidRPr="00D9763A">
              <w:rPr>
                <w:sz w:val="40"/>
              </w:rPr>
              <w:t>ST</w:t>
            </w:r>
            <w:r>
              <w:t>/SG/AC.10/C.3/100/Add.1</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0980308A" wp14:editId="15D2D74E">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D9763A" w:rsidP="00D9763A">
            <w:pPr>
              <w:spacing w:before="240" w:line="240" w:lineRule="exact"/>
            </w:pPr>
            <w:r>
              <w:t>Distr.: General</w:t>
            </w:r>
          </w:p>
          <w:p w:rsidR="00D9763A" w:rsidRDefault="00057D5D" w:rsidP="00D9763A">
            <w:pPr>
              <w:spacing w:line="240" w:lineRule="exact"/>
            </w:pPr>
            <w:r>
              <w:t>2 February</w:t>
            </w:r>
            <w:r w:rsidR="00D9763A">
              <w:t xml:space="preserve"> 2017</w:t>
            </w:r>
          </w:p>
          <w:p w:rsidR="00D9763A" w:rsidRDefault="001E2CF7" w:rsidP="00D9763A">
            <w:pPr>
              <w:spacing w:line="240" w:lineRule="exact"/>
            </w:pPr>
            <w:r>
              <w:t>English</w:t>
            </w:r>
          </w:p>
          <w:p w:rsidR="00D9763A" w:rsidRDefault="00D9763A" w:rsidP="00D9763A">
            <w:pPr>
              <w:spacing w:line="240" w:lineRule="exact"/>
            </w:pPr>
            <w:r>
              <w:t>Original: English</w:t>
            </w:r>
            <w:r w:rsidR="001E2CF7">
              <w:t xml:space="preserve"> and French</w:t>
            </w:r>
          </w:p>
        </w:tc>
      </w:tr>
    </w:tbl>
    <w:p w:rsidR="001E2CF7" w:rsidRPr="0004101D" w:rsidRDefault="001E2CF7" w:rsidP="001E2CF7">
      <w:pPr>
        <w:spacing w:before="120"/>
        <w:rPr>
          <w:b/>
          <w:sz w:val="24"/>
          <w:szCs w:val="24"/>
        </w:rPr>
      </w:pPr>
      <w:r w:rsidRPr="0004101D">
        <w:rPr>
          <w:b/>
          <w:sz w:val="24"/>
          <w:szCs w:val="24"/>
        </w:rPr>
        <w:t>Committee of Experts on the Transport of</w:t>
      </w:r>
      <w:r>
        <w:rPr>
          <w:b/>
          <w:sz w:val="24"/>
          <w:szCs w:val="24"/>
        </w:rPr>
        <w:t xml:space="preserve"> </w:t>
      </w:r>
      <w:r w:rsidRPr="0004101D">
        <w:rPr>
          <w:b/>
          <w:sz w:val="24"/>
          <w:szCs w:val="24"/>
        </w:rPr>
        <w:t xml:space="preserve">Dangerous Goods </w:t>
      </w:r>
      <w:r>
        <w:rPr>
          <w:b/>
          <w:sz w:val="24"/>
          <w:szCs w:val="24"/>
        </w:rPr>
        <w:br/>
      </w:r>
      <w:r w:rsidRPr="0004101D">
        <w:rPr>
          <w:b/>
          <w:sz w:val="24"/>
          <w:szCs w:val="24"/>
        </w:rPr>
        <w:t>and on the Globally</w:t>
      </w:r>
      <w:r>
        <w:rPr>
          <w:b/>
          <w:sz w:val="24"/>
          <w:szCs w:val="24"/>
        </w:rPr>
        <w:t xml:space="preserve"> </w:t>
      </w:r>
      <w:r w:rsidRPr="0004101D">
        <w:rPr>
          <w:b/>
          <w:sz w:val="24"/>
          <w:szCs w:val="24"/>
        </w:rPr>
        <w:t xml:space="preserve">Harmonized System of Classification </w:t>
      </w:r>
      <w:r>
        <w:rPr>
          <w:b/>
          <w:sz w:val="24"/>
          <w:szCs w:val="24"/>
        </w:rPr>
        <w:br/>
      </w:r>
      <w:r w:rsidRPr="0004101D">
        <w:rPr>
          <w:b/>
          <w:sz w:val="24"/>
          <w:szCs w:val="24"/>
        </w:rPr>
        <w:t>and</w:t>
      </w:r>
      <w:r>
        <w:rPr>
          <w:b/>
          <w:sz w:val="24"/>
          <w:szCs w:val="24"/>
        </w:rPr>
        <w:t xml:space="preserve"> </w:t>
      </w:r>
      <w:r w:rsidRPr="0004101D">
        <w:rPr>
          <w:b/>
          <w:sz w:val="24"/>
          <w:szCs w:val="24"/>
        </w:rPr>
        <w:t>Labelling of Chemicals</w:t>
      </w:r>
    </w:p>
    <w:p w:rsidR="001E2CF7" w:rsidRPr="0004101D" w:rsidRDefault="001E2CF7" w:rsidP="001E2CF7">
      <w:pPr>
        <w:tabs>
          <w:tab w:val="left" w:pos="0"/>
          <w:tab w:val="left" w:pos="6361"/>
          <w:tab w:val="left" w:pos="6939"/>
        </w:tabs>
        <w:spacing w:before="120"/>
        <w:outlineLvl w:val="0"/>
        <w:rPr>
          <w:b/>
        </w:rPr>
      </w:pPr>
      <w:r w:rsidRPr="0004101D">
        <w:rPr>
          <w:b/>
        </w:rPr>
        <w:t xml:space="preserve">Sub-Committee of Experts on the Transport of Dangerous Goods </w:t>
      </w:r>
    </w:p>
    <w:p w:rsidR="001E2CF7" w:rsidRPr="00E40772" w:rsidRDefault="001E2CF7" w:rsidP="001E2CF7">
      <w:pPr>
        <w:pStyle w:val="HChG"/>
        <w:spacing w:before="240" w:after="120"/>
      </w:pPr>
      <w:r>
        <w:tab/>
      </w:r>
      <w:r>
        <w:tab/>
        <w:t>Report of the Sub-Committee of Experts on the Transport of Dangerous Goods on its fiftieth session</w:t>
      </w:r>
    </w:p>
    <w:p w:rsidR="001E2CF7" w:rsidRDefault="001E2CF7" w:rsidP="001E2CF7">
      <w:pPr>
        <w:pStyle w:val="H23G"/>
        <w:spacing w:before="120" w:after="240"/>
        <w:rPr>
          <w:b w:val="0"/>
        </w:rPr>
      </w:pPr>
      <w:r>
        <w:tab/>
      </w:r>
      <w:r>
        <w:tab/>
      </w:r>
      <w:r>
        <w:rPr>
          <w:b w:val="0"/>
        </w:rPr>
        <w:t>held in Geneva from 28 November to 6 December 2016</w:t>
      </w:r>
    </w:p>
    <w:p w:rsidR="001E2CF7" w:rsidRDefault="001E2CF7" w:rsidP="001E2CF7">
      <w:pPr>
        <w:pStyle w:val="H23G"/>
      </w:pPr>
      <w:r w:rsidRPr="00EF2646">
        <w:tab/>
      </w:r>
      <w:r w:rsidRPr="00EF2646">
        <w:tab/>
        <w:t>Addendum</w:t>
      </w:r>
    </w:p>
    <w:p w:rsidR="001E2CF7" w:rsidRPr="00BB7154" w:rsidRDefault="001E2CF7" w:rsidP="001E2CF7">
      <w:pPr>
        <w:spacing w:line="200" w:lineRule="atLeast"/>
        <w:rPr>
          <w:sz w:val="28"/>
          <w:lang w:val="fr-CH"/>
        </w:rPr>
      </w:pPr>
      <w:r w:rsidRPr="00BB7154">
        <w:rPr>
          <w:sz w:val="28"/>
          <w:lang w:val="fr-CH"/>
        </w:rPr>
        <w:t>Contents</w:t>
      </w:r>
    </w:p>
    <w:p w:rsidR="001E2CF7" w:rsidRPr="00EF2646" w:rsidRDefault="001E2CF7" w:rsidP="001E2CF7">
      <w:pPr>
        <w:tabs>
          <w:tab w:val="right" w:pos="8929"/>
          <w:tab w:val="right" w:pos="9638"/>
        </w:tabs>
        <w:spacing w:after="120"/>
        <w:ind w:left="283"/>
      </w:pPr>
      <w:r w:rsidRPr="00EF2646">
        <w:rPr>
          <w:i/>
          <w:sz w:val="18"/>
        </w:rPr>
        <w:tab/>
        <w:t>Page</w:t>
      </w:r>
    </w:p>
    <w:p w:rsidR="004B0E4F" w:rsidRPr="00EF2646" w:rsidRDefault="004B0E4F" w:rsidP="004B0E4F">
      <w:pPr>
        <w:pStyle w:val="SingleTxtG"/>
        <w:spacing w:after="60"/>
        <w:ind w:left="0"/>
      </w:pPr>
      <w:r w:rsidRPr="00EF2646">
        <w:t>Annexes</w:t>
      </w:r>
    </w:p>
    <w:p w:rsidR="001E2CF7" w:rsidRPr="00EF2646" w:rsidRDefault="001E2CF7" w:rsidP="00057D5D">
      <w:pPr>
        <w:tabs>
          <w:tab w:val="right" w:pos="850"/>
          <w:tab w:val="left" w:pos="1134"/>
          <w:tab w:val="left" w:pos="1559"/>
          <w:tab w:val="left" w:pos="1984"/>
          <w:tab w:val="left" w:leader="dot" w:pos="7654"/>
          <w:tab w:val="right" w:pos="8929"/>
          <w:tab w:val="right" w:pos="9638"/>
        </w:tabs>
        <w:spacing w:before="120" w:after="120" w:line="240" w:lineRule="auto"/>
        <w:ind w:left="1134" w:hanging="567"/>
      </w:pPr>
      <w:r w:rsidRPr="00EF2646">
        <w:t>I</w:t>
      </w:r>
      <w:r>
        <w:t>I</w:t>
      </w:r>
      <w:r w:rsidRPr="00EF2646">
        <w:t>.</w:t>
      </w:r>
      <w:r w:rsidRPr="00EF2646">
        <w:tab/>
      </w:r>
      <w:r w:rsidRPr="00EF2646">
        <w:tab/>
      </w:r>
      <w:r>
        <w:t xml:space="preserve">Corrections to the sixth revised edition of the Recommendations </w:t>
      </w:r>
      <w:r>
        <w:br/>
        <w:t>on the Transport of Dangerous Goods, Manual of Tests and Criteria</w:t>
      </w:r>
      <w:r>
        <w:br/>
        <w:t>(ST/SG/AC.10/11/Rev.6)</w:t>
      </w:r>
      <w:r w:rsidRPr="00EF2646">
        <w:t>….....................</w:t>
      </w:r>
      <w:r w:rsidRPr="00EF2646">
        <w:tab/>
      </w:r>
      <w:r>
        <w:tab/>
      </w:r>
      <w:r w:rsidRPr="00EF2646">
        <w:t>2</w:t>
      </w:r>
    </w:p>
    <w:p w:rsidR="001E2CF7" w:rsidRPr="00EF2646" w:rsidRDefault="001E2CF7" w:rsidP="00057D5D">
      <w:pPr>
        <w:tabs>
          <w:tab w:val="right" w:pos="850"/>
          <w:tab w:val="left" w:pos="1134"/>
          <w:tab w:val="left" w:pos="1559"/>
          <w:tab w:val="left" w:pos="1984"/>
          <w:tab w:val="left" w:leader="dot" w:pos="7654"/>
          <w:tab w:val="right" w:pos="8929"/>
          <w:tab w:val="right" w:pos="9638"/>
        </w:tabs>
        <w:spacing w:before="120" w:after="120" w:line="240" w:lineRule="auto"/>
        <w:ind w:left="1134" w:hanging="567"/>
      </w:pPr>
      <w:r w:rsidRPr="00EF2646">
        <w:t>II</w:t>
      </w:r>
      <w:r>
        <w:t>I</w:t>
      </w:r>
      <w:r w:rsidRPr="00EF2646">
        <w:t>.</w:t>
      </w:r>
      <w:r w:rsidRPr="00EF2646">
        <w:tab/>
      </w:r>
      <w:r w:rsidRPr="00EF2646">
        <w:tab/>
      </w:r>
      <w:r>
        <w:t>Amendments to the Guiding Principles for the development</w:t>
      </w:r>
      <w:r>
        <w:br/>
        <w:t>of the Model Regulations</w:t>
      </w:r>
      <w:r w:rsidRPr="00EF2646">
        <w:t xml:space="preserve"> ………………..</w:t>
      </w:r>
      <w:r w:rsidRPr="00EF2646">
        <w:tab/>
      </w:r>
      <w:r>
        <w:tab/>
        <w:t>6</w:t>
      </w:r>
    </w:p>
    <w:p w:rsidR="001E2CF7" w:rsidRPr="00EF2646" w:rsidRDefault="001E2CF7" w:rsidP="001E2CF7">
      <w:pPr>
        <w:tabs>
          <w:tab w:val="right" w:pos="850"/>
          <w:tab w:val="left" w:pos="1134"/>
          <w:tab w:val="left" w:pos="1559"/>
          <w:tab w:val="left" w:pos="1984"/>
          <w:tab w:val="left" w:leader="dot" w:pos="7654"/>
          <w:tab w:val="right" w:pos="8929"/>
          <w:tab w:val="right" w:pos="9638"/>
        </w:tabs>
        <w:spacing w:line="240" w:lineRule="auto"/>
        <w:ind w:left="1134" w:hanging="567"/>
      </w:pPr>
      <w:r w:rsidRPr="00EF2646">
        <w:t>IV.</w:t>
      </w:r>
      <w:r w:rsidRPr="00EF2646">
        <w:tab/>
      </w:r>
      <w:r w:rsidRPr="00EF2646">
        <w:tab/>
      </w:r>
      <w:r>
        <w:t>Corrections to the nineteenth revised edition of the Recommendations</w:t>
      </w:r>
      <w:r>
        <w:br/>
        <w:t xml:space="preserve">on the Transport of Dangerous Goods, Model Regulations </w:t>
      </w:r>
      <w:r>
        <w:br/>
        <w:t>(ST/SG/AC.10/1/Rev.19)</w:t>
      </w:r>
      <w:r>
        <w:tab/>
        <w:t xml:space="preserve"> </w:t>
      </w:r>
      <w:r>
        <w:tab/>
      </w:r>
      <w:r w:rsidR="00246745">
        <w:t>8</w:t>
      </w:r>
    </w:p>
    <w:p w:rsidR="001E2CF7" w:rsidRPr="00EF2646" w:rsidRDefault="001E2CF7" w:rsidP="001E2CF7">
      <w:pPr>
        <w:pStyle w:val="H1G"/>
        <w:rPr>
          <w:u w:val="single"/>
        </w:rPr>
      </w:pPr>
      <w:r w:rsidRPr="00EF2646">
        <w:rPr>
          <w:u w:val="single"/>
        </w:rPr>
        <w:br w:type="page"/>
      </w:r>
    </w:p>
    <w:p w:rsidR="001E2CF7" w:rsidRDefault="001E2CF7" w:rsidP="001E2CF7">
      <w:pPr>
        <w:pStyle w:val="HChG"/>
      </w:pPr>
      <w:r w:rsidRPr="00EF2646">
        <w:lastRenderedPageBreak/>
        <w:t>Annex I</w:t>
      </w:r>
      <w:r>
        <w:t>I</w:t>
      </w:r>
    </w:p>
    <w:p w:rsidR="001E2CF7" w:rsidRDefault="001E2CF7" w:rsidP="001E2CF7">
      <w:pPr>
        <w:pStyle w:val="H1G"/>
      </w:pPr>
      <w:r>
        <w:tab/>
      </w:r>
      <w:r>
        <w:tab/>
        <w:t xml:space="preserve">Corrections to the sixth revised edition of the Recommendations </w:t>
      </w:r>
      <w:r>
        <w:br/>
        <w:t>on the Transport of Dangerous Goods, Manual of Tests and Criteria</w:t>
      </w:r>
      <w:r>
        <w:br/>
        <w:t>(ST/SG/AC.10/11/Rev.6)</w:t>
      </w:r>
    </w:p>
    <w:p w:rsidR="00442AC9" w:rsidRPr="002F2F86" w:rsidRDefault="002B4757" w:rsidP="00442AC9">
      <w:pPr>
        <w:pStyle w:val="H23G"/>
      </w:pPr>
      <w:r>
        <w:tab/>
        <w:t>1.</w:t>
      </w:r>
      <w:r>
        <w:tab/>
        <w:t>Section 1, Table 1.2, for Test series 3, under “T</w:t>
      </w:r>
      <w:r w:rsidR="00442AC9" w:rsidRPr="002F2F86">
        <w:t>est code”</w:t>
      </w:r>
    </w:p>
    <w:p w:rsidR="00442AC9" w:rsidRPr="002F2F86" w:rsidRDefault="00442AC9" w:rsidP="00442AC9">
      <w:pPr>
        <w:pStyle w:val="SingleTxtG"/>
      </w:pPr>
      <w:r w:rsidRPr="00FF1113">
        <w:rPr>
          <w:i/>
        </w:rPr>
        <w:t>For</w:t>
      </w:r>
      <w:r w:rsidR="00FF1113">
        <w:t xml:space="preserve"> 3 (c)</w:t>
      </w:r>
      <w:r w:rsidRPr="002F2F86">
        <w:t xml:space="preserve"> </w:t>
      </w:r>
      <w:r w:rsidRPr="00FF1113">
        <w:rPr>
          <w:i/>
        </w:rPr>
        <w:t>read</w:t>
      </w:r>
      <w:r w:rsidR="00FF1113">
        <w:t xml:space="preserve"> 3 (c)</w:t>
      </w:r>
      <w:r w:rsidR="002F473C">
        <w:t xml:space="preserve"> </w:t>
      </w:r>
      <w:r w:rsidR="00FF1113">
        <w:t>(i)</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2F2F86" w:rsidRDefault="00442AC9" w:rsidP="00442AC9">
      <w:pPr>
        <w:pStyle w:val="H23G"/>
      </w:pPr>
      <w:r w:rsidRPr="002F2F86">
        <w:tab/>
        <w:t>2</w:t>
      </w:r>
      <w:r w:rsidR="005E2BB2">
        <w:t>.</w:t>
      </w:r>
      <w:r w:rsidR="005E2BB2">
        <w:tab/>
        <w:t xml:space="preserve">Table of contents of Part I, </w:t>
      </w:r>
      <w:r w:rsidR="00A916E5">
        <w:t xml:space="preserve">for </w:t>
      </w:r>
      <w:r w:rsidRPr="002F2F86">
        <w:t>Test 3 (c) (i</w:t>
      </w:r>
      <w:r>
        <w:t>i</w:t>
      </w:r>
      <w:r w:rsidR="005E2BB2">
        <w:t>)</w:t>
      </w:r>
      <w:r w:rsidRPr="002F2F86">
        <w:t xml:space="preserve"> </w:t>
      </w:r>
    </w:p>
    <w:p w:rsidR="00442AC9" w:rsidRPr="002F2F86" w:rsidRDefault="00442AC9" w:rsidP="00442AC9">
      <w:pPr>
        <w:pStyle w:val="SingleTxtG"/>
      </w:pPr>
      <w:r w:rsidRPr="00FF1113">
        <w:rPr>
          <w:i/>
        </w:rPr>
        <w:t>For</w:t>
      </w:r>
      <w:r w:rsidR="00FF1113">
        <w:t xml:space="preserve"> 13.6.1</w:t>
      </w:r>
      <w:r w:rsidRPr="002F2F86">
        <w:t xml:space="preserve"> </w:t>
      </w:r>
      <w:r w:rsidRPr="00FF1113">
        <w:rPr>
          <w:i/>
        </w:rPr>
        <w:t>read</w:t>
      </w:r>
      <w:r w:rsidR="00FF1113">
        <w:t xml:space="preserve"> 13.6.2</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2F2F86" w:rsidRDefault="002B4757" w:rsidP="00442AC9">
      <w:pPr>
        <w:pStyle w:val="H23G"/>
      </w:pPr>
      <w:r>
        <w:tab/>
        <w:t>3.</w:t>
      </w:r>
      <w:r>
        <w:tab/>
        <w:t>Section 10, F</w:t>
      </w:r>
      <w:r w:rsidR="00A916E5">
        <w:t>igure 10.3</w:t>
      </w:r>
    </w:p>
    <w:p w:rsidR="00475973" w:rsidRPr="002F2F86" w:rsidRDefault="00475973" w:rsidP="00442AC9">
      <w:pPr>
        <w:pStyle w:val="SingleTxtG"/>
      </w:pPr>
      <w:r w:rsidRPr="00A916E5">
        <w:t>Replace the vertical line leading to box 19 by a downward arrow.</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2F2F86" w:rsidRDefault="00442AC9" w:rsidP="002B4757">
      <w:pPr>
        <w:pStyle w:val="H23G"/>
      </w:pPr>
      <w:r w:rsidRPr="002F2F86">
        <w:tab/>
        <w:t>4.</w:t>
      </w:r>
      <w:r w:rsidRPr="002F2F86">
        <w:tab/>
        <w:t xml:space="preserve">Section 10, </w:t>
      </w:r>
      <w:r w:rsidR="002B4757">
        <w:t>Figure 10.8, item 6 (B</w:t>
      </w:r>
      <w:r w:rsidRPr="002F2F86">
        <w:t>ox 32)</w:t>
      </w:r>
      <w:r w:rsidRPr="002F2F86">
        <w:tab/>
      </w:r>
    </w:p>
    <w:p w:rsidR="00FF1113" w:rsidRDefault="00442AC9" w:rsidP="00442AC9">
      <w:pPr>
        <w:pStyle w:val="SingleTxtG"/>
      </w:pPr>
      <w:r w:rsidRPr="00FF1113">
        <w:rPr>
          <w:i/>
        </w:rPr>
        <w:t>For</w:t>
      </w:r>
      <w:r w:rsidR="00FF1113">
        <w:t xml:space="preserve"> </w:t>
      </w:r>
      <w:r w:rsidRPr="002F2F86">
        <w:t>Is there nevertheless a small hazard in the e</w:t>
      </w:r>
      <w:r w:rsidR="00FF1113">
        <w:t>vent of ignition or initiation?</w:t>
      </w:r>
      <w:r w:rsidRPr="002F2F86">
        <w:t xml:space="preserve"> </w:t>
      </w:r>
    </w:p>
    <w:p w:rsidR="00442AC9" w:rsidRPr="002F2F86" w:rsidRDefault="00442AC9" w:rsidP="00442AC9">
      <w:pPr>
        <w:pStyle w:val="SingleTxtG"/>
      </w:pPr>
      <w:r w:rsidRPr="00FF1113">
        <w:rPr>
          <w:i/>
        </w:rPr>
        <w:t>read</w:t>
      </w:r>
      <w:r w:rsidR="00FF1113">
        <w:t xml:space="preserve"> </w:t>
      </w:r>
      <w:r w:rsidRPr="002F2F86">
        <w:t>Would the hazard hinder fire-figh</w:t>
      </w:r>
      <w:r w:rsidR="00FF1113">
        <w:t>ting in the immediate vicinity?</w:t>
      </w:r>
    </w:p>
    <w:p w:rsidR="00442AC9" w:rsidRDefault="00442AC9" w:rsidP="00442AC9">
      <w:pPr>
        <w:pStyle w:val="SingleTxtG"/>
        <w:rPr>
          <w:i/>
          <w:iCs/>
        </w:rPr>
      </w:pPr>
      <w:r w:rsidRPr="00162D8F">
        <w:rPr>
          <w:i/>
          <w:iCs/>
        </w:rPr>
        <w:t>(Reference document:</w:t>
      </w:r>
      <w:r>
        <w:rPr>
          <w:i/>
          <w:iCs/>
        </w:rPr>
        <w:t xml:space="preserve"> informal document INF.36)</w:t>
      </w:r>
    </w:p>
    <w:p w:rsidR="001E2CF7" w:rsidRPr="00E422E6" w:rsidRDefault="00EE6107" w:rsidP="00EE6107">
      <w:pPr>
        <w:pStyle w:val="H23G"/>
      </w:pPr>
      <w:r>
        <w:tab/>
      </w:r>
      <w:r w:rsidR="00FF1113">
        <w:t>5.</w:t>
      </w:r>
      <w:r w:rsidR="00FF1113">
        <w:tab/>
      </w:r>
      <w:r w:rsidR="001E2CF7" w:rsidRPr="00E422E6">
        <w:t>Section 11</w:t>
      </w:r>
      <w:r>
        <w:t>, 11</w:t>
      </w:r>
      <w:r w:rsidRPr="00E422E6">
        <w:t>.5.1.2.2</w:t>
      </w:r>
      <w:r>
        <w:t xml:space="preserve">, </w:t>
      </w:r>
      <w:r w:rsidRPr="00E422E6">
        <w:t>fourth sentence</w:t>
      </w:r>
    </w:p>
    <w:p w:rsidR="001E2CF7" w:rsidRPr="00E422E6" w:rsidRDefault="00EE6107" w:rsidP="001E2CF7">
      <w:pPr>
        <w:pStyle w:val="SingleTxtG"/>
      </w:pPr>
      <w:r>
        <w:t xml:space="preserve">For the existing text, </w:t>
      </w:r>
      <w:r w:rsidRPr="00EE6107">
        <w:rPr>
          <w:i/>
        </w:rPr>
        <w:t>substitute</w:t>
      </w:r>
    </w:p>
    <w:p w:rsidR="001E2CF7" w:rsidRPr="00E422E6" w:rsidRDefault="001E2CF7" w:rsidP="001E2CF7">
      <w:pPr>
        <w:pStyle w:val="SingleTxtG"/>
      </w:pPr>
      <w:r w:rsidRPr="00E422E6">
        <w:t>Calibration involves heating a tube (fitted with a 1.5 mm orifice plate) filled with 27 cm</w:t>
      </w:r>
      <w:r w:rsidRPr="00EE6107">
        <w:rPr>
          <w:vertAlign w:val="superscript"/>
        </w:rPr>
        <w:t>3</w:t>
      </w:r>
      <w:r w:rsidRPr="00E422E6">
        <w:t xml:space="preserve"> of dibutyl phthalate or silicone oil of apparent density 0.96 ± 0.02 at 20</w:t>
      </w:r>
      <w:r w:rsidR="00EE6107">
        <w:t> </w:t>
      </w:r>
      <w:r w:rsidRPr="00E422E6">
        <w:t>°C and heat capacity 1.46 ± 0.02 J/g.K at 25</w:t>
      </w:r>
      <w:r w:rsidR="00EE6107">
        <w:t> </w:t>
      </w:r>
      <w:r w:rsidRPr="00E422E6">
        <w:t>°C.</w:t>
      </w:r>
    </w:p>
    <w:p w:rsidR="001E2CF7" w:rsidRDefault="001E2CF7" w:rsidP="001E2CF7">
      <w:pPr>
        <w:pStyle w:val="SingleTxtG"/>
        <w:rPr>
          <w:i/>
          <w:iCs/>
        </w:rPr>
      </w:pPr>
      <w:r w:rsidRPr="00162D8F">
        <w:rPr>
          <w:i/>
          <w:iCs/>
        </w:rPr>
        <w:t>(Reference document:</w:t>
      </w:r>
      <w:r>
        <w:rPr>
          <w:i/>
          <w:iCs/>
        </w:rPr>
        <w:t xml:space="preserve"> </w:t>
      </w:r>
      <w:r w:rsidR="00EE6107">
        <w:rPr>
          <w:i/>
          <w:iCs/>
        </w:rPr>
        <w:t>i</w:t>
      </w:r>
      <w:r>
        <w:rPr>
          <w:i/>
          <w:iCs/>
        </w:rPr>
        <w:t xml:space="preserve">nformal document INF.59, </w:t>
      </w:r>
      <w:r w:rsidR="00EE6107">
        <w:rPr>
          <w:i/>
          <w:iCs/>
        </w:rPr>
        <w:t>a</w:t>
      </w:r>
      <w:r>
        <w:rPr>
          <w:i/>
          <w:iCs/>
        </w:rPr>
        <w:t>nnex 3, amendment 1)</w:t>
      </w:r>
    </w:p>
    <w:p w:rsidR="001E2CF7" w:rsidRPr="00EE6107" w:rsidRDefault="00EE6107" w:rsidP="00EE6107">
      <w:pPr>
        <w:pStyle w:val="H23G"/>
      </w:pPr>
      <w:r>
        <w:tab/>
      </w:r>
      <w:r w:rsidR="00FF1113">
        <w:t>6.</w:t>
      </w:r>
      <w:r w:rsidR="00FF1113">
        <w:tab/>
      </w:r>
      <w:r w:rsidR="001E2CF7" w:rsidRPr="00EE6107">
        <w:t>Section 12</w:t>
      </w:r>
      <w:r>
        <w:t xml:space="preserve">, </w:t>
      </w:r>
      <w:r w:rsidRPr="00D065F8">
        <w:t>12.5.1.2.2</w:t>
      </w:r>
      <w:r>
        <w:t xml:space="preserve">, </w:t>
      </w:r>
      <w:r w:rsidRPr="00D065F8">
        <w:t>fourth sentence</w:t>
      </w:r>
    </w:p>
    <w:p w:rsidR="00EE6107" w:rsidRPr="00E422E6" w:rsidRDefault="00EE6107" w:rsidP="00EE6107">
      <w:pPr>
        <w:pStyle w:val="SingleTxtG"/>
      </w:pPr>
      <w:r>
        <w:t xml:space="preserve">For the existing text, </w:t>
      </w:r>
      <w:r w:rsidRPr="00EE6107">
        <w:rPr>
          <w:i/>
        </w:rPr>
        <w:t>substitute</w:t>
      </w:r>
    </w:p>
    <w:p w:rsidR="001E2CF7" w:rsidRPr="00D065F8" w:rsidRDefault="001E2CF7" w:rsidP="00EE6107">
      <w:pPr>
        <w:pStyle w:val="SingleTxtG"/>
      </w:pPr>
      <w:r w:rsidRPr="00D065F8">
        <w:t>Calibration involves heating a tube (fitted with a 1.5 mm orifice plate) filled with 27 cm</w:t>
      </w:r>
      <w:r w:rsidRPr="00EE6107">
        <w:rPr>
          <w:vertAlign w:val="superscript"/>
        </w:rPr>
        <w:t>3</w:t>
      </w:r>
      <w:r w:rsidRPr="00D065F8">
        <w:t xml:space="preserve"> of dibutyl phthalate or silicone oil of apparent density 0.96 ± 0.02 at 20</w:t>
      </w:r>
      <w:r w:rsidR="00EE6107">
        <w:t> </w:t>
      </w:r>
      <w:r w:rsidRPr="00D065F8">
        <w:t>°C and heat capacity 1.46 ± 0.02 J/g.K at 25</w:t>
      </w:r>
      <w:r w:rsidR="00EE6107">
        <w:t> </w:t>
      </w:r>
      <w:r w:rsidRPr="00D065F8">
        <w:t>°C.</w:t>
      </w:r>
    </w:p>
    <w:p w:rsidR="001E2CF7" w:rsidRDefault="001E2CF7" w:rsidP="001E2CF7">
      <w:pPr>
        <w:pStyle w:val="SingleTxtG"/>
        <w:rPr>
          <w:i/>
          <w:iCs/>
        </w:rPr>
      </w:pPr>
      <w:r w:rsidRPr="00162D8F">
        <w:rPr>
          <w:i/>
          <w:iCs/>
        </w:rPr>
        <w:t>(Reference document:</w:t>
      </w:r>
      <w:r>
        <w:rPr>
          <w:i/>
          <w:iCs/>
        </w:rPr>
        <w:t xml:space="preserve"> </w:t>
      </w:r>
      <w:r w:rsidR="00EE6107">
        <w:rPr>
          <w:i/>
          <w:iCs/>
        </w:rPr>
        <w:t>i</w:t>
      </w:r>
      <w:r>
        <w:rPr>
          <w:i/>
          <w:iCs/>
        </w:rPr>
        <w:t xml:space="preserve">nformal document INF.59, </w:t>
      </w:r>
      <w:r w:rsidR="00EE6107">
        <w:rPr>
          <w:i/>
          <w:iCs/>
        </w:rPr>
        <w:t>a</w:t>
      </w:r>
      <w:r>
        <w:rPr>
          <w:i/>
          <w:iCs/>
        </w:rPr>
        <w:t>nnex 3, amendment 2)</w:t>
      </w:r>
    </w:p>
    <w:p w:rsidR="00442AC9" w:rsidRPr="00FF1113" w:rsidRDefault="00FF1113" w:rsidP="00FF1113">
      <w:pPr>
        <w:pStyle w:val="H23G"/>
      </w:pPr>
      <w:r>
        <w:tab/>
      </w:r>
      <w:r w:rsidRPr="00FF1113">
        <w:t>7</w:t>
      </w:r>
      <w:r w:rsidR="00442AC9" w:rsidRPr="002F2F86">
        <w:t>.</w:t>
      </w:r>
      <w:r w:rsidR="00442AC9" w:rsidRPr="002F2F86">
        <w:tab/>
        <w:t xml:space="preserve">Sub-section 13.4, table under paragraph 13.4.6.5.2, heading of </w:t>
      </w:r>
      <w:r w:rsidR="007D0952">
        <w:t xml:space="preserve">the second </w:t>
      </w:r>
      <w:r w:rsidR="00442AC9" w:rsidRPr="002F2F86">
        <w:t>column</w:t>
      </w:r>
    </w:p>
    <w:p w:rsidR="00442AC9" w:rsidRPr="002F2F86" w:rsidRDefault="00442AC9" w:rsidP="00442AC9">
      <w:pPr>
        <w:pStyle w:val="SingleTxtG"/>
      </w:pPr>
      <w:r w:rsidRPr="00FF1113">
        <w:rPr>
          <w:i/>
        </w:rPr>
        <w:t>For</w:t>
      </w:r>
      <w:r w:rsidR="00FF1113">
        <w:t xml:space="preserve"> </w:t>
      </w:r>
      <w:r w:rsidRPr="002F2F86">
        <w:t xml:space="preserve">in </w:t>
      </w:r>
      <w:r w:rsidR="00FF1113">
        <w:t>assembly 2</w:t>
      </w:r>
      <w:r w:rsidRPr="002F2F86">
        <w:t xml:space="preserve"> </w:t>
      </w:r>
      <w:r w:rsidRPr="00FF1113">
        <w:rPr>
          <w:i/>
        </w:rPr>
        <w:t>read</w:t>
      </w:r>
      <w:r w:rsidR="00FF1113">
        <w:t xml:space="preserve"> in assembly 3</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Pr="00FF1113">
        <w:t>8</w:t>
      </w:r>
      <w:r w:rsidR="00442AC9" w:rsidRPr="002F2F86">
        <w:t>.</w:t>
      </w:r>
      <w:r w:rsidR="00442AC9" w:rsidRPr="002F2F86">
        <w:tab/>
        <w:t>Sub-section 13.</w:t>
      </w:r>
      <w:r w:rsidR="00442AC9">
        <w:t>5</w:t>
      </w:r>
      <w:r w:rsidR="00442AC9" w:rsidRPr="002F2F86">
        <w:t>, paragraph 13.5.1.3.4, paragraph number and heading</w:t>
      </w:r>
    </w:p>
    <w:p w:rsidR="00FF1113" w:rsidRDefault="00442AC9" w:rsidP="00442AC9">
      <w:pPr>
        <w:pStyle w:val="SingleTxtG"/>
      </w:pPr>
      <w:r w:rsidRPr="00FF1113">
        <w:rPr>
          <w:i/>
        </w:rPr>
        <w:t>For</w:t>
      </w:r>
      <w:r w:rsidR="00FF1113">
        <w:t xml:space="preserve"> </w:t>
      </w:r>
      <w:r w:rsidRPr="002F2F86">
        <w:t>13.5.1.3.4 Test criteria a</w:t>
      </w:r>
      <w:r w:rsidR="00FF1113">
        <w:t>nd method of assessing results</w:t>
      </w:r>
    </w:p>
    <w:p w:rsidR="00442AC9" w:rsidRPr="002F2F86" w:rsidRDefault="00442AC9" w:rsidP="00442AC9">
      <w:pPr>
        <w:pStyle w:val="SingleTxtG"/>
      </w:pPr>
      <w:r w:rsidRPr="00FF1113">
        <w:rPr>
          <w:i/>
        </w:rPr>
        <w:lastRenderedPageBreak/>
        <w:t>read</w:t>
      </w:r>
      <w:r w:rsidR="00FF1113">
        <w:t xml:space="preserve"> </w:t>
      </w:r>
      <w:r w:rsidRPr="002F2F86">
        <w:t xml:space="preserve">13.5.1.4 </w:t>
      </w:r>
      <w:r w:rsidRPr="00551496">
        <w:rPr>
          <w:i/>
        </w:rPr>
        <w:t>Test criteria and method of assessing results</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Pr="00FF1113">
        <w:t>9</w:t>
      </w:r>
      <w:r w:rsidR="00442AC9" w:rsidRPr="002F2F86">
        <w:t>.</w:t>
      </w:r>
      <w:r w:rsidR="00442AC9" w:rsidRPr="002F2F86">
        <w:tab/>
        <w:t>Sub-section 13.6, paragraph 13.6.1.3.2, third sentence</w:t>
      </w:r>
    </w:p>
    <w:p w:rsidR="00442AC9" w:rsidRPr="002F2F86" w:rsidRDefault="00442AC9" w:rsidP="00442AC9">
      <w:pPr>
        <w:pStyle w:val="SingleTxtG"/>
        <w:keepNext/>
        <w:keepLines/>
      </w:pPr>
      <w:r w:rsidRPr="00FF1113">
        <w:rPr>
          <w:i/>
        </w:rPr>
        <w:t>For</w:t>
      </w:r>
      <w:r w:rsidR="00FF1113">
        <w:t xml:space="preserve"> procedure given in should</w:t>
      </w:r>
      <w:r w:rsidRPr="002F2F86">
        <w:t xml:space="preserve"> </w:t>
      </w:r>
      <w:r w:rsidRPr="00FF1113">
        <w:rPr>
          <w:i/>
        </w:rPr>
        <w:t>read</w:t>
      </w:r>
      <w:r w:rsidR="00FF1113">
        <w:t xml:space="preserve"> </w:t>
      </w:r>
      <w:r w:rsidRPr="002F2F86">
        <w:t>proce</w:t>
      </w:r>
      <w:r w:rsidR="00FF1113">
        <w:t>dure given in 13.6.1.3.3 should</w:t>
      </w:r>
    </w:p>
    <w:p w:rsidR="00442AC9" w:rsidRDefault="00442AC9" w:rsidP="002B4757">
      <w:pPr>
        <w:pStyle w:val="SingleTxtG"/>
        <w:ind w:hanging="1134"/>
        <w:rPr>
          <w:i/>
          <w:iCs/>
        </w:rPr>
      </w:pPr>
      <w:r w:rsidRPr="002F2F86">
        <w:rPr>
          <w:i/>
        </w:rPr>
        <w:tab/>
      </w:r>
      <w:r w:rsidRPr="00162D8F">
        <w:rPr>
          <w:i/>
          <w:iCs/>
        </w:rPr>
        <w:t>(Reference document:</w:t>
      </w:r>
      <w:r>
        <w:rPr>
          <w:i/>
          <w:iCs/>
        </w:rPr>
        <w:t xml:space="preserve"> informal document INF.36)</w:t>
      </w:r>
    </w:p>
    <w:p w:rsidR="00442AC9" w:rsidRPr="002F2F86" w:rsidRDefault="00442AC9" w:rsidP="00442AC9">
      <w:pPr>
        <w:pStyle w:val="H23G"/>
      </w:pPr>
      <w:r w:rsidRPr="002F2F86">
        <w:rPr>
          <w:i/>
        </w:rPr>
        <w:tab/>
      </w:r>
      <w:r w:rsidR="00FF1113">
        <w:t>10</w:t>
      </w:r>
      <w:r w:rsidRPr="002F2F86">
        <w:rPr>
          <w:i/>
        </w:rPr>
        <w:t>.</w:t>
      </w:r>
      <w:r w:rsidRPr="002F2F86">
        <w:rPr>
          <w:i/>
        </w:rPr>
        <w:tab/>
      </w:r>
      <w:r w:rsidRPr="002F2F86">
        <w:t>Section 16.7, paragraph 16.7.1.4 (b)</w:t>
      </w:r>
    </w:p>
    <w:p w:rsidR="00442AC9" w:rsidRPr="002F2F86" w:rsidRDefault="00442AC9" w:rsidP="00442AC9">
      <w:pPr>
        <w:pStyle w:val="SingleTxtG"/>
        <w:keepNext/>
        <w:keepLines/>
      </w:pPr>
      <w:r w:rsidRPr="00FF1113">
        <w:rPr>
          <w:i/>
        </w:rPr>
        <w:t>For</w:t>
      </w:r>
      <w:r w:rsidR="00FF1113">
        <w:t xml:space="preserve"> 80 ± 3 g/m²</w:t>
      </w:r>
      <w:r w:rsidRPr="002F2F86">
        <w:t xml:space="preserve"> </w:t>
      </w:r>
      <w:r w:rsidRPr="00FF1113">
        <w:rPr>
          <w:i/>
        </w:rPr>
        <w:t>read</w:t>
      </w:r>
      <w:r w:rsidR="00FF1113">
        <w:t xml:space="preserve"> 80 ± 10 g/m²</w:t>
      </w:r>
    </w:p>
    <w:p w:rsidR="00442AC9" w:rsidRPr="002F2F86" w:rsidRDefault="00442AC9" w:rsidP="00442AC9">
      <w:pPr>
        <w:pStyle w:val="SingleTxtG"/>
        <w:ind w:hanging="1134"/>
        <w:rPr>
          <w:i/>
        </w:rPr>
      </w:pPr>
      <w:r w:rsidRPr="002F2F86">
        <w:rPr>
          <w:i/>
        </w:rPr>
        <w:tab/>
      </w:r>
      <w:r w:rsidRPr="002F2F86">
        <w:rPr>
          <w:i/>
          <w:iCs/>
          <w:color w:val="000000"/>
          <w:lang w:eastAsia="zh-CN"/>
        </w:rPr>
        <w:t>(For the English version, correction already included in ST/SG/AC.10/11/Rev.6/Corr.1)</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Pr="00FF1113">
        <w:t>11</w:t>
      </w:r>
      <w:r w:rsidR="00442AC9" w:rsidRPr="00FF1113">
        <w:t>.</w:t>
      </w:r>
      <w:r w:rsidR="00442AC9" w:rsidRPr="00FF1113">
        <w:tab/>
        <w:t>Section 17, table 17.1, third column</w:t>
      </w:r>
      <w:r>
        <w:t>,</w:t>
      </w:r>
      <w:r w:rsidRPr="00FF1113">
        <w:t xml:space="preserve"> </w:t>
      </w:r>
      <w:r>
        <w:t>i</w:t>
      </w:r>
      <w:r w:rsidRPr="002F2F86">
        <w:t>n the section number for 7 (k)</w:t>
      </w:r>
    </w:p>
    <w:p w:rsidR="00442AC9" w:rsidRPr="002F2F86" w:rsidRDefault="00FF1113" w:rsidP="00442AC9">
      <w:pPr>
        <w:pStyle w:val="SingleTxtG"/>
        <w:keepNext/>
        <w:keepLines/>
      </w:pPr>
      <w:r w:rsidRPr="00FF1113">
        <w:rPr>
          <w:i/>
        </w:rPr>
        <w:t>F</w:t>
      </w:r>
      <w:r w:rsidR="00442AC9" w:rsidRPr="00FF1113">
        <w:rPr>
          <w:i/>
        </w:rPr>
        <w:t>or</w:t>
      </w:r>
      <w:r>
        <w:t xml:space="preserve"> 17.13.2</w:t>
      </w:r>
      <w:r w:rsidR="00442AC9" w:rsidRPr="002F2F86">
        <w:t xml:space="preserve"> </w:t>
      </w:r>
      <w:r w:rsidR="00442AC9" w:rsidRPr="00FF1113">
        <w:rPr>
          <w:i/>
        </w:rPr>
        <w:t>read</w:t>
      </w:r>
      <w:r>
        <w:t xml:space="preserve"> 17.13.1</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00442AC9" w:rsidRPr="00FF1113">
        <w:t>1</w:t>
      </w:r>
      <w:r w:rsidRPr="00FF1113">
        <w:t>2</w:t>
      </w:r>
      <w:r w:rsidR="00442AC9" w:rsidRPr="00FF1113">
        <w:t>.</w:t>
      </w:r>
      <w:r w:rsidR="00442AC9" w:rsidRPr="00FF1113">
        <w:tab/>
        <w:t>Sub-section 18.6, paragraph 18.6.1.1</w:t>
      </w:r>
    </w:p>
    <w:p w:rsidR="00FF1113" w:rsidRDefault="00FF1113" w:rsidP="00442AC9">
      <w:pPr>
        <w:pStyle w:val="SingleTxtG"/>
      </w:pPr>
      <w:r>
        <w:rPr>
          <w:i/>
        </w:rPr>
        <w:t>For</w:t>
      </w:r>
      <w:r>
        <w:t xml:space="preserve"> </w:t>
      </w:r>
      <w:r w:rsidR="00442AC9" w:rsidRPr="002F2F86">
        <w:t xml:space="preserve">of a candidate ammonium nitrate emulsion </w:t>
      </w:r>
      <w:r w:rsidR="00A916E5">
        <w:t>or</w:t>
      </w:r>
      <w:r w:rsidR="00A916E5" w:rsidRPr="002F2F86">
        <w:t xml:space="preserve"> </w:t>
      </w:r>
      <w:r w:rsidR="00442AC9" w:rsidRPr="002F2F86">
        <w:t>suspension or gel, inter</w:t>
      </w:r>
      <w:r>
        <w:t>mediate for blasting explosives</w:t>
      </w:r>
    </w:p>
    <w:p w:rsidR="00442AC9" w:rsidRDefault="00FF1113" w:rsidP="002B4757">
      <w:pPr>
        <w:pStyle w:val="SingleTxtG"/>
      </w:pPr>
      <w:r w:rsidRPr="00FF1113">
        <w:rPr>
          <w:i/>
        </w:rPr>
        <w:t>read</w:t>
      </w:r>
      <w:r>
        <w:t xml:space="preserve"> </w:t>
      </w:r>
      <w:r w:rsidR="00442AC9" w:rsidRPr="002F2F86">
        <w:t>of a candidate for “ammonium nitrate emulsion</w:t>
      </w:r>
      <w:r w:rsidR="00A916E5" w:rsidRPr="002F2F86">
        <w:t>,</w:t>
      </w:r>
      <w:r w:rsidR="002B4757">
        <w:t xml:space="preserve"> </w:t>
      </w:r>
      <w:r w:rsidR="00442AC9" w:rsidRPr="002F2F86">
        <w:t>suspension or gel, inter</w:t>
      </w:r>
      <w:r>
        <w:t>mediate for blasting explosives</w:t>
      </w:r>
      <w:r w:rsidR="00A916E5">
        <w:t>”</w:t>
      </w:r>
    </w:p>
    <w:p w:rsidR="00442AC9" w:rsidRDefault="00442AC9" w:rsidP="00442AC9">
      <w:pPr>
        <w:pStyle w:val="SingleTxtG"/>
        <w:rPr>
          <w:i/>
          <w:iCs/>
        </w:rPr>
      </w:pPr>
      <w:r w:rsidRPr="00162D8F">
        <w:rPr>
          <w:i/>
          <w:iCs/>
        </w:rPr>
        <w:t>(Reference document:</w:t>
      </w:r>
      <w:r>
        <w:rPr>
          <w:i/>
          <w:iCs/>
        </w:rPr>
        <w:t xml:space="preserve"> informal document INF.36)</w:t>
      </w:r>
    </w:p>
    <w:p w:rsidR="001E2CF7" w:rsidRPr="00FF1113" w:rsidRDefault="00EE6107" w:rsidP="00EE6107">
      <w:pPr>
        <w:pStyle w:val="H23G"/>
      </w:pPr>
      <w:r w:rsidRPr="00FF1113">
        <w:tab/>
      </w:r>
      <w:r w:rsidR="00FF1113" w:rsidRPr="00FF1113">
        <w:t>13.</w:t>
      </w:r>
      <w:r w:rsidR="00FF1113" w:rsidRPr="00FF1113">
        <w:tab/>
      </w:r>
      <w:r w:rsidR="001E2CF7" w:rsidRPr="00FF1113">
        <w:t>Section 18</w:t>
      </w:r>
      <w:r w:rsidRPr="00FF1113">
        <w:t>, 18.6.1.2.2, fourth sentence</w:t>
      </w:r>
    </w:p>
    <w:p w:rsidR="00EE6107" w:rsidRPr="00E422E6" w:rsidRDefault="00EE6107" w:rsidP="00EE6107">
      <w:pPr>
        <w:pStyle w:val="SingleTxtG"/>
      </w:pPr>
      <w:r>
        <w:t xml:space="preserve">For the existing text, </w:t>
      </w:r>
      <w:r w:rsidRPr="00EE6107">
        <w:rPr>
          <w:i/>
        </w:rPr>
        <w:t>substitute</w:t>
      </w:r>
    </w:p>
    <w:p w:rsidR="001E2CF7" w:rsidRPr="00D065F8" w:rsidRDefault="001E2CF7" w:rsidP="00EE6107">
      <w:pPr>
        <w:pStyle w:val="SingleTxtG"/>
      </w:pPr>
      <w:r w:rsidRPr="00D065F8">
        <w:t>Calibration involves heating a tube (fitted with a 1.5 mm orifice plate) filled with 27 cm</w:t>
      </w:r>
      <w:r w:rsidRPr="00EE6107">
        <w:rPr>
          <w:vertAlign w:val="superscript"/>
        </w:rPr>
        <w:t>3</w:t>
      </w:r>
      <w:r w:rsidRPr="00D065F8">
        <w:t xml:space="preserve"> of dibutyl phthalate or equivalent silicone oil of apparent density 0.96 ± 0.02 at 20</w:t>
      </w:r>
      <w:r w:rsidR="00EE6107">
        <w:t> </w:t>
      </w:r>
      <w:r w:rsidRPr="00D065F8">
        <w:t>°C and heat capacity 1.46 ± 0.02 J/g.K at 25</w:t>
      </w:r>
      <w:r w:rsidR="00EE6107">
        <w:t> </w:t>
      </w:r>
      <w:r w:rsidRPr="00D065F8">
        <w:t>°C.</w:t>
      </w:r>
    </w:p>
    <w:p w:rsidR="001E2CF7" w:rsidRDefault="001E2CF7" w:rsidP="001E2CF7">
      <w:pPr>
        <w:pStyle w:val="SingleTxtG"/>
        <w:rPr>
          <w:i/>
          <w:iCs/>
        </w:rPr>
      </w:pPr>
      <w:r w:rsidRPr="00162D8F">
        <w:rPr>
          <w:i/>
          <w:iCs/>
        </w:rPr>
        <w:t>(Reference document:</w:t>
      </w:r>
      <w:r>
        <w:rPr>
          <w:i/>
          <w:iCs/>
        </w:rPr>
        <w:t xml:space="preserve"> </w:t>
      </w:r>
      <w:r w:rsidR="00EE6107">
        <w:rPr>
          <w:i/>
          <w:iCs/>
        </w:rPr>
        <w:t>i</w:t>
      </w:r>
      <w:r>
        <w:rPr>
          <w:i/>
          <w:iCs/>
        </w:rPr>
        <w:t xml:space="preserve">nformal document INF.59, </w:t>
      </w:r>
      <w:r w:rsidR="00EE6107">
        <w:rPr>
          <w:i/>
          <w:iCs/>
        </w:rPr>
        <w:t>a</w:t>
      </w:r>
      <w:r>
        <w:rPr>
          <w:i/>
          <w:iCs/>
        </w:rPr>
        <w:t>nnex 3, amendment 3)</w:t>
      </w:r>
    </w:p>
    <w:p w:rsidR="00442AC9" w:rsidRPr="00FF1113" w:rsidRDefault="00FF1113" w:rsidP="00FF1113">
      <w:pPr>
        <w:pStyle w:val="H23G"/>
      </w:pPr>
      <w:r>
        <w:tab/>
      </w:r>
      <w:r w:rsidR="00442AC9">
        <w:t>1</w:t>
      </w:r>
      <w:r w:rsidRPr="00FF1113">
        <w:t>4</w:t>
      </w:r>
      <w:r w:rsidR="00442AC9" w:rsidRPr="002F2F86">
        <w:t>.</w:t>
      </w:r>
      <w:r w:rsidR="00442AC9" w:rsidRPr="002F2F86">
        <w:tab/>
      </w:r>
      <w:r w:rsidRPr="00FF1113">
        <w:t>Section 18</w:t>
      </w:r>
      <w:r>
        <w:t>,</w:t>
      </w:r>
      <w:r w:rsidR="00442AC9" w:rsidRPr="002F2F86">
        <w:t xml:space="preserve"> </w:t>
      </w:r>
      <w:r w:rsidR="00442AC9" w:rsidRPr="00FF1113">
        <w:t>18.6.1.2.3, last but one sentence</w:t>
      </w:r>
    </w:p>
    <w:p w:rsidR="00442AC9" w:rsidRPr="002F2F86" w:rsidRDefault="00442AC9" w:rsidP="00442AC9">
      <w:pPr>
        <w:pStyle w:val="SingleTxtG"/>
      </w:pPr>
      <w:r w:rsidRPr="00FF1113">
        <w:rPr>
          <w:i/>
        </w:rPr>
        <w:t>For</w:t>
      </w:r>
      <w:r w:rsidR="00FF1113">
        <w:t xml:space="preserve"> any draughts does</w:t>
      </w:r>
      <w:r w:rsidRPr="002F2F86">
        <w:t xml:space="preserve"> </w:t>
      </w:r>
      <w:r w:rsidRPr="00FF1113">
        <w:rPr>
          <w:i/>
        </w:rPr>
        <w:t>read</w:t>
      </w:r>
      <w:r w:rsidR="00FF1113">
        <w:t xml:space="preserve"> any draught does</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00442AC9">
        <w:t>1</w:t>
      </w:r>
      <w:r w:rsidRPr="00FF1113">
        <w:t>5</w:t>
      </w:r>
      <w:r w:rsidR="00442AC9" w:rsidRPr="002F2F86">
        <w:t>.</w:t>
      </w:r>
      <w:r w:rsidR="00442AC9" w:rsidRPr="002F2F86">
        <w:tab/>
        <w:t>Section 20, paragraph 20.2.6</w:t>
      </w:r>
    </w:p>
    <w:p w:rsidR="00442AC9" w:rsidRPr="002F2F86" w:rsidRDefault="00442AC9" w:rsidP="00442AC9">
      <w:pPr>
        <w:pStyle w:val="SingleTxtG"/>
      </w:pPr>
      <w:r w:rsidRPr="00FF1113">
        <w:rPr>
          <w:i/>
        </w:rPr>
        <w:t>For</w:t>
      </w:r>
      <w:r w:rsidR="00FF1113">
        <w:t xml:space="preserve"> see section 32.5.2</w:t>
      </w:r>
      <w:r w:rsidRPr="002F2F86">
        <w:t xml:space="preserve"> </w:t>
      </w:r>
      <w:r w:rsidRPr="00FF1113">
        <w:rPr>
          <w:i/>
        </w:rPr>
        <w:t>read</w:t>
      </w:r>
      <w:r w:rsidR="00FF1113">
        <w:t xml:space="preserve"> see section 33.3</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FF1113" w:rsidRDefault="00FF1113" w:rsidP="00FF1113">
      <w:pPr>
        <w:pStyle w:val="H23G"/>
      </w:pPr>
      <w:r>
        <w:tab/>
      </w:r>
      <w:r w:rsidR="00442AC9" w:rsidRPr="002F2F86">
        <w:t>1</w:t>
      </w:r>
      <w:r w:rsidRPr="00FF1113">
        <w:t>6</w:t>
      </w:r>
      <w:r w:rsidR="00442AC9" w:rsidRPr="002F2F86">
        <w:t>.</w:t>
      </w:r>
      <w:r w:rsidR="00442AC9" w:rsidRPr="002F2F86">
        <w:tab/>
        <w:t>Section 20, figure 20.1 (b)</w:t>
      </w:r>
    </w:p>
    <w:p w:rsidR="00442AC9" w:rsidRPr="002F2F86" w:rsidRDefault="00442AC9" w:rsidP="00442AC9">
      <w:pPr>
        <w:pStyle w:val="SingleTxtG"/>
      </w:pPr>
      <w:r w:rsidRPr="00FF1113">
        <w:rPr>
          <w:i/>
        </w:rPr>
        <w:t>For</w:t>
      </w:r>
      <w:r w:rsidR="00FF1113">
        <w:t xml:space="preserve"> 12.1 Significative</w:t>
      </w:r>
      <w:r w:rsidRPr="002F2F86">
        <w:t xml:space="preserve"> </w:t>
      </w:r>
      <w:r w:rsidRPr="00FF1113">
        <w:rPr>
          <w:i/>
        </w:rPr>
        <w:t>read</w:t>
      </w:r>
      <w:r w:rsidR="00FF1113">
        <w:t xml:space="preserve"> 12.1 Not low</w:t>
      </w:r>
    </w:p>
    <w:p w:rsidR="00442AC9" w:rsidRDefault="00442AC9" w:rsidP="00442AC9">
      <w:pPr>
        <w:pStyle w:val="SingleTxtG"/>
        <w:rPr>
          <w:i/>
          <w:iCs/>
        </w:rPr>
      </w:pPr>
      <w:r w:rsidRPr="00162D8F">
        <w:rPr>
          <w:i/>
          <w:iCs/>
        </w:rPr>
        <w:t>(Reference document:</w:t>
      </w:r>
      <w:r>
        <w:rPr>
          <w:i/>
          <w:iCs/>
        </w:rPr>
        <w:t xml:space="preserve"> informal document INF.36)</w:t>
      </w:r>
    </w:p>
    <w:p w:rsidR="001E2CF7" w:rsidRPr="00EE6107" w:rsidRDefault="00EE6107" w:rsidP="00EE6107">
      <w:pPr>
        <w:pStyle w:val="H23G"/>
      </w:pPr>
      <w:r>
        <w:lastRenderedPageBreak/>
        <w:tab/>
      </w:r>
      <w:r w:rsidR="00FF1113">
        <w:t>17.</w:t>
      </w:r>
      <w:r w:rsidR="00FF1113">
        <w:tab/>
      </w:r>
      <w:r w:rsidR="001E2CF7" w:rsidRPr="00EE6107">
        <w:t>Section 25</w:t>
      </w:r>
      <w:r>
        <w:t xml:space="preserve">, </w:t>
      </w:r>
      <w:r w:rsidRPr="005D1E70">
        <w:t>25.4.1.2.2</w:t>
      </w:r>
      <w:r>
        <w:t xml:space="preserve">, </w:t>
      </w:r>
      <w:r w:rsidRPr="005D1E70">
        <w:t>fourth sentence</w:t>
      </w:r>
    </w:p>
    <w:p w:rsidR="00EE6107" w:rsidRDefault="00EE6107" w:rsidP="00EE6107">
      <w:pPr>
        <w:pStyle w:val="SingleTxtG"/>
      </w:pPr>
      <w:r>
        <w:t xml:space="preserve">For the existing text, </w:t>
      </w:r>
      <w:r w:rsidRPr="00EE6107">
        <w:rPr>
          <w:i/>
        </w:rPr>
        <w:t>substitute</w:t>
      </w:r>
    </w:p>
    <w:p w:rsidR="001E2CF7" w:rsidRPr="005D1E70" w:rsidRDefault="001E2CF7" w:rsidP="00EE6107">
      <w:pPr>
        <w:pStyle w:val="SingleTxtG"/>
      </w:pPr>
      <w:r w:rsidRPr="005D1E70">
        <w:t>Calibration involves heating a tube (fitted with a 1.5 mm orifice plate) filled with 27 cm</w:t>
      </w:r>
      <w:r w:rsidRPr="00EE6107">
        <w:rPr>
          <w:vertAlign w:val="superscript"/>
        </w:rPr>
        <w:t>3</w:t>
      </w:r>
      <w:r w:rsidRPr="005D1E70">
        <w:t xml:space="preserve"> of dibutyl phthalate or equivalent silicone oil of apparent density 0.96 ± 0.02 at 20</w:t>
      </w:r>
      <w:r w:rsidR="00EE6107">
        <w:t> </w:t>
      </w:r>
      <w:r w:rsidRPr="005D1E70">
        <w:t>°C and heat capacity 1.46 ± 0.02 J/g.K at 25</w:t>
      </w:r>
      <w:r w:rsidR="00EE6107">
        <w:t> </w:t>
      </w:r>
      <w:r w:rsidRPr="005D1E70">
        <w:t>°C.</w:t>
      </w:r>
    </w:p>
    <w:p w:rsidR="001E2CF7" w:rsidRPr="00273D86" w:rsidRDefault="001E2CF7" w:rsidP="001E2CF7">
      <w:pPr>
        <w:pStyle w:val="SingleTxtG"/>
      </w:pPr>
      <w:r w:rsidRPr="00162D8F">
        <w:rPr>
          <w:i/>
          <w:iCs/>
        </w:rPr>
        <w:t>(Reference document:</w:t>
      </w:r>
      <w:r>
        <w:rPr>
          <w:i/>
          <w:iCs/>
        </w:rPr>
        <w:t xml:space="preserve"> </w:t>
      </w:r>
      <w:r w:rsidR="00EE6107">
        <w:rPr>
          <w:i/>
          <w:iCs/>
        </w:rPr>
        <w:t>i</w:t>
      </w:r>
      <w:r>
        <w:rPr>
          <w:i/>
          <w:iCs/>
        </w:rPr>
        <w:t xml:space="preserve">nformal document INF.59, </w:t>
      </w:r>
      <w:r w:rsidR="00EE6107">
        <w:rPr>
          <w:i/>
          <w:iCs/>
        </w:rPr>
        <w:t>a</w:t>
      </w:r>
      <w:r>
        <w:rPr>
          <w:i/>
          <w:iCs/>
        </w:rPr>
        <w:t>nnex 3, amendment 4)</w:t>
      </w:r>
    </w:p>
    <w:p w:rsidR="00442AC9" w:rsidRPr="00573AF8" w:rsidRDefault="00573AF8" w:rsidP="00573AF8">
      <w:pPr>
        <w:pStyle w:val="H23G"/>
      </w:pPr>
      <w:r>
        <w:tab/>
      </w:r>
      <w:r w:rsidR="00442AC9" w:rsidRPr="002F2F86">
        <w:t>1</w:t>
      </w:r>
      <w:r w:rsidR="00FF1113">
        <w:t>8</w:t>
      </w:r>
      <w:r w:rsidR="00442AC9" w:rsidRPr="002F2F86">
        <w:t>.</w:t>
      </w:r>
      <w:r w:rsidR="00442AC9" w:rsidRPr="002F2F86">
        <w:tab/>
        <w:t>Section 25, paragraph 25.4.1.3.5</w:t>
      </w:r>
      <w:r w:rsidR="007264D9">
        <w:t xml:space="preserve">, </w:t>
      </w:r>
      <w:r w:rsidR="007264D9" w:rsidRPr="007264D9">
        <w:t>at the end of the first sentence</w:t>
      </w:r>
    </w:p>
    <w:p w:rsidR="00442AC9" w:rsidRPr="002F2F86" w:rsidRDefault="007264D9" w:rsidP="00442AC9">
      <w:pPr>
        <w:pStyle w:val="SingleTxtG"/>
      </w:pPr>
      <w:r w:rsidRPr="007264D9">
        <w:rPr>
          <w:i/>
        </w:rPr>
        <w:t>D</w:t>
      </w:r>
      <w:r w:rsidR="00442AC9" w:rsidRPr="007264D9">
        <w:rPr>
          <w:i/>
        </w:rPr>
        <w:t>elete</w:t>
      </w:r>
      <w:r>
        <w:t xml:space="preserve"> mm</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442AC9" w:rsidRPr="002F2F86">
        <w:t>1</w:t>
      </w:r>
      <w:r w:rsidR="00FF1113">
        <w:t>9</w:t>
      </w:r>
      <w:r w:rsidR="00442AC9" w:rsidRPr="002F2F86">
        <w:t>.</w:t>
      </w:r>
      <w:r w:rsidR="00442AC9" w:rsidRPr="002F2F86">
        <w:tab/>
        <w:t>Section 31, paragraph 31.1.3, definition of “aerosol”</w:t>
      </w:r>
    </w:p>
    <w:p w:rsidR="00442AC9" w:rsidRPr="002F2F86" w:rsidRDefault="00442AC9" w:rsidP="00442AC9">
      <w:pPr>
        <w:pStyle w:val="SingleTxtG"/>
      </w:pPr>
      <w:r w:rsidRPr="007264D9">
        <w:rPr>
          <w:i/>
        </w:rPr>
        <w:t>For</w:t>
      </w:r>
      <w:r w:rsidR="007264D9">
        <w:t xml:space="preserve"> made of metal glass</w:t>
      </w:r>
      <w:r w:rsidRPr="002F2F86">
        <w:t xml:space="preserve"> </w:t>
      </w:r>
      <w:r w:rsidRPr="007264D9">
        <w:rPr>
          <w:i/>
        </w:rPr>
        <w:t>read</w:t>
      </w:r>
      <w:r w:rsidR="007264D9">
        <w:t xml:space="preserve"> made of metal, glass</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FF1113">
        <w:t>20</w:t>
      </w:r>
      <w:r w:rsidR="00442AC9" w:rsidRPr="002F2F86">
        <w:t>.</w:t>
      </w:r>
      <w:r w:rsidR="00442AC9" w:rsidRPr="002F2F86">
        <w:tab/>
        <w:t xml:space="preserve">Section 33, paragraph </w:t>
      </w:r>
      <w:r w:rsidR="00442AC9" w:rsidRPr="00573AF8">
        <w:t>33.2.1.4.4.1</w:t>
      </w:r>
    </w:p>
    <w:p w:rsidR="00442AC9" w:rsidRPr="002F2F86" w:rsidRDefault="00442AC9" w:rsidP="00442AC9">
      <w:pPr>
        <w:pStyle w:val="SingleTxtG"/>
        <w:rPr>
          <w:rStyle w:val="SingleTxtGCar"/>
        </w:rPr>
      </w:pPr>
      <w:r w:rsidRPr="007264D9">
        <w:rPr>
          <w:rStyle w:val="SingleTxtGCar"/>
          <w:i/>
        </w:rPr>
        <w:t>For</w:t>
      </w:r>
      <w:r w:rsidR="007264D9">
        <w:rPr>
          <w:rStyle w:val="SingleTxtGCar"/>
        </w:rPr>
        <w:t xml:space="preserve"> 33.2.1.3.4.2</w:t>
      </w:r>
      <w:r w:rsidRPr="002F2F86">
        <w:rPr>
          <w:rStyle w:val="SingleTxtGCar"/>
        </w:rPr>
        <w:t xml:space="preserve"> </w:t>
      </w:r>
      <w:r w:rsidRPr="007264D9">
        <w:rPr>
          <w:rStyle w:val="SingleTxtGCar"/>
          <w:i/>
        </w:rPr>
        <w:t>read</w:t>
      </w:r>
      <w:r w:rsidR="007264D9">
        <w:rPr>
          <w:rStyle w:val="SingleTxtGCar"/>
        </w:rPr>
        <w:t xml:space="preserve"> 33.2.1.4.3.2</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FF1113">
        <w:t>21</w:t>
      </w:r>
      <w:r w:rsidR="00442AC9" w:rsidRPr="002F2F86">
        <w:t>.</w:t>
      </w:r>
      <w:r w:rsidR="00442AC9" w:rsidRPr="002F2F86">
        <w:tab/>
        <w:t>Section 35, paragraph 35.4.3.2 (b)</w:t>
      </w:r>
      <w:r w:rsidR="005B4850">
        <w:t>,</w:t>
      </w:r>
      <w:r w:rsidR="005B4850" w:rsidRPr="005B4850">
        <w:t xml:space="preserve"> in the second sentence</w:t>
      </w:r>
    </w:p>
    <w:p w:rsidR="00442AC9" w:rsidRPr="002F2F86" w:rsidRDefault="005B4850" w:rsidP="00442AC9">
      <w:pPr>
        <w:pStyle w:val="SingleTxtG"/>
      </w:pPr>
      <w:r w:rsidRPr="005B4850">
        <w:rPr>
          <w:i/>
        </w:rPr>
        <w:t>For</w:t>
      </w:r>
      <w:r>
        <w:t xml:space="preserve"> 35.3.3.2 (a)</w:t>
      </w:r>
      <w:r w:rsidR="00442AC9" w:rsidRPr="002F2F86">
        <w:t xml:space="preserve"> </w:t>
      </w:r>
      <w:r w:rsidR="00442AC9" w:rsidRPr="005B4850">
        <w:rPr>
          <w:i/>
        </w:rPr>
        <w:t>read</w:t>
      </w:r>
      <w:r>
        <w:t xml:space="preserve"> 34.3.3.2 (a)</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FF1113">
        <w:t>22</w:t>
      </w:r>
      <w:r w:rsidR="00442AC9" w:rsidRPr="002F2F86">
        <w:t>.</w:t>
      </w:r>
      <w:r w:rsidR="00442AC9" w:rsidRPr="002F2F86">
        <w:tab/>
        <w:t>Section 38, paragraph 38.3.2.3, definition of mass loss</w:t>
      </w:r>
    </w:p>
    <w:p w:rsidR="00442AC9" w:rsidRPr="002F2F86" w:rsidRDefault="00442AC9" w:rsidP="00442AC9">
      <w:pPr>
        <w:pStyle w:val="SingleTxtG"/>
        <w:rPr>
          <w:rStyle w:val="SingleTxtGCar"/>
        </w:rPr>
      </w:pPr>
      <w:r w:rsidRPr="00576619">
        <w:rPr>
          <w:rStyle w:val="SingleTxtGCar"/>
          <w:i/>
        </w:rPr>
        <w:t>For</w:t>
      </w:r>
      <w:r w:rsidR="00576619">
        <w:rPr>
          <w:rStyle w:val="SingleTxtGCar"/>
        </w:rPr>
        <w:t xml:space="preserve"> Table 38.3.2.2 below</w:t>
      </w:r>
      <w:r w:rsidRPr="002F2F86">
        <w:rPr>
          <w:rStyle w:val="SingleTxtGCar"/>
        </w:rPr>
        <w:t xml:space="preserve"> </w:t>
      </w:r>
      <w:r w:rsidRPr="00576619">
        <w:rPr>
          <w:rStyle w:val="SingleTxtGCar"/>
          <w:i/>
        </w:rPr>
        <w:t>read</w:t>
      </w:r>
      <w:r w:rsidR="00576619">
        <w:rPr>
          <w:rStyle w:val="SingleTxtGCar"/>
        </w:rPr>
        <w:t xml:space="preserve"> Table 38.3.1 below</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FF1113">
        <w:t>23</w:t>
      </w:r>
      <w:r w:rsidR="00442AC9" w:rsidRPr="002F2F86">
        <w:t>.</w:t>
      </w:r>
      <w:r w:rsidR="00442AC9" w:rsidRPr="002F2F86">
        <w:tab/>
        <w:t>Section 38, paragraph 38.3.3 (c)</w:t>
      </w:r>
    </w:p>
    <w:p w:rsidR="00442AC9" w:rsidRPr="002F2F86" w:rsidRDefault="00442AC9" w:rsidP="00442AC9">
      <w:pPr>
        <w:pStyle w:val="SingleTxtG"/>
      </w:pPr>
      <w:r w:rsidRPr="002F2F86">
        <w:t>In the French text, delete the last paragraph («Dans le cas des piles prismatiques, …»)</w:t>
      </w:r>
    </w:p>
    <w:p w:rsidR="00442AC9" w:rsidRDefault="00442AC9" w:rsidP="00442AC9">
      <w:pPr>
        <w:pStyle w:val="SingleTxtG"/>
        <w:rPr>
          <w:i/>
          <w:iCs/>
        </w:rPr>
      </w:pPr>
      <w:r w:rsidRPr="00162D8F">
        <w:rPr>
          <w:i/>
          <w:iCs/>
        </w:rPr>
        <w:t>(Reference document:</w:t>
      </w:r>
      <w:r>
        <w:rPr>
          <w:i/>
          <w:iCs/>
        </w:rPr>
        <w:t xml:space="preserve"> informal document INF.36)</w:t>
      </w:r>
    </w:p>
    <w:p w:rsidR="00442AC9" w:rsidRPr="002F2F86" w:rsidRDefault="00442AC9" w:rsidP="00442AC9">
      <w:pPr>
        <w:pStyle w:val="H23G"/>
      </w:pPr>
      <w:r w:rsidRPr="002F2F86">
        <w:lastRenderedPageBreak/>
        <w:tab/>
        <w:t>2</w:t>
      </w:r>
      <w:r w:rsidR="00FF1113">
        <w:t>4</w:t>
      </w:r>
      <w:r w:rsidRPr="002F2F86">
        <w:t>.</w:t>
      </w:r>
      <w:r w:rsidRPr="002F2F86">
        <w:tab/>
        <w:t>Section 38.3, paragraph 38.3.4.4.2, Figure 38.3.4.2</w:t>
      </w:r>
    </w:p>
    <w:p w:rsidR="00442AC9" w:rsidRPr="002F2F86" w:rsidRDefault="00442AC9" w:rsidP="00442AC9">
      <w:pPr>
        <w:pStyle w:val="SingleTxtG"/>
        <w:keepNext/>
        <w:keepLines/>
      </w:pPr>
      <w:r w:rsidRPr="002F2F86">
        <w:t xml:space="preserve">Replace the existing figure with the following (the legend of the axis remains unchanged) </w:t>
      </w:r>
    </w:p>
    <w:p w:rsidR="00442AC9" w:rsidRPr="002F2F86" w:rsidRDefault="00442AC9" w:rsidP="00442AC9">
      <w:pPr>
        <w:pStyle w:val="SingleTxtG"/>
        <w:keepNext/>
        <w:keepLines/>
      </w:pPr>
      <w:r>
        <w:rPr>
          <w:noProof/>
          <w:lang w:eastAsia="en-GB"/>
        </w:rPr>
        <w:drawing>
          <wp:inline distT="0" distB="0" distL="0" distR="0" wp14:anchorId="4AE0968A" wp14:editId="24FBFCFB">
            <wp:extent cx="3592830" cy="2614295"/>
            <wp:effectExtent l="0" t="0" r="7620" b="0"/>
            <wp:docPr id="5" name="Picture 1" descr="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830" cy="2614295"/>
                    </a:xfrm>
                    <a:prstGeom prst="rect">
                      <a:avLst/>
                    </a:prstGeom>
                    <a:noFill/>
                    <a:ln>
                      <a:noFill/>
                    </a:ln>
                  </pic:spPr>
                </pic:pic>
              </a:graphicData>
            </a:graphic>
          </wp:inline>
        </w:drawing>
      </w:r>
    </w:p>
    <w:p w:rsidR="00442AC9" w:rsidRPr="002F2F86" w:rsidRDefault="00442AC9" w:rsidP="00442AC9">
      <w:pPr>
        <w:pStyle w:val="SingleTxtG"/>
        <w:ind w:hanging="1134"/>
        <w:rPr>
          <w:i/>
        </w:rPr>
      </w:pPr>
      <w:r w:rsidRPr="002F2F86">
        <w:rPr>
          <w:i/>
        </w:rPr>
        <w:tab/>
      </w:r>
      <w:r w:rsidRPr="002F2F86">
        <w:rPr>
          <w:i/>
          <w:iCs/>
          <w:color w:val="000000"/>
          <w:lang w:eastAsia="zh-CN"/>
        </w:rPr>
        <w:t>(For the English version, correction already included in ST/SG/AC.10/11/Rev.6/Corr.1)</w:t>
      </w:r>
    </w:p>
    <w:p w:rsidR="00901FED" w:rsidRDefault="00901FED" w:rsidP="00901FED">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442AC9" w:rsidRPr="002F2F86">
        <w:t>2</w:t>
      </w:r>
      <w:r w:rsidR="00FF1113">
        <w:t>5</w:t>
      </w:r>
      <w:r w:rsidR="00442AC9" w:rsidRPr="002F2F86">
        <w:t>.</w:t>
      </w:r>
      <w:r w:rsidR="00442AC9" w:rsidRPr="002F2F86">
        <w:tab/>
        <w:t>Section 51, paragraph 51.4.4.2 (g)</w:t>
      </w:r>
      <w:r w:rsidR="00576619">
        <w:t xml:space="preserve">, </w:t>
      </w:r>
      <w:r w:rsidR="00576619" w:rsidRPr="00576619">
        <w:t>in the formula</w:t>
      </w:r>
    </w:p>
    <w:p w:rsidR="00442AC9" w:rsidRPr="002F2F86" w:rsidRDefault="00576619" w:rsidP="00442AC9">
      <w:pPr>
        <w:pStyle w:val="SingleTxtG"/>
      </w:pPr>
      <w:r w:rsidRPr="00576619">
        <w:rPr>
          <w:i/>
        </w:rPr>
        <w:t>F</w:t>
      </w:r>
      <w:r w:rsidR="00442AC9" w:rsidRPr="00576619">
        <w:rPr>
          <w:i/>
        </w:rPr>
        <w:t>or</w:t>
      </w:r>
      <w:r>
        <w:t xml:space="preserve"> </w:t>
      </w:r>
      <w:r w:rsidR="00442AC9" w:rsidRPr="002F2F86">
        <w:t>A</w:t>
      </w:r>
      <w:r w:rsidR="00442AC9" w:rsidRPr="002F2F86">
        <w:rPr>
          <w:vertAlign w:val="subscript"/>
        </w:rPr>
        <w:t>10r</w:t>
      </w:r>
      <w:r>
        <w:t xml:space="preserve"> </w:t>
      </w:r>
      <w:r w:rsidRPr="00576619">
        <w:rPr>
          <w:i/>
        </w:rPr>
        <w:t>read</w:t>
      </w:r>
      <w:r>
        <w:t xml:space="preserve"> </w:t>
      </w:r>
      <w:r w:rsidR="00442AC9" w:rsidRPr="002F2F86">
        <w:t>A</w:t>
      </w:r>
      <w:r w:rsidR="00442AC9" w:rsidRPr="002F2F86">
        <w:rPr>
          <w:vertAlign w:val="subscript"/>
        </w:rPr>
        <w:t>10t</w:t>
      </w:r>
    </w:p>
    <w:p w:rsidR="00901FED" w:rsidRDefault="00901FED" w:rsidP="00901FED">
      <w:pPr>
        <w:pStyle w:val="SingleTxtG"/>
        <w:rPr>
          <w:i/>
          <w:iCs/>
        </w:rPr>
      </w:pPr>
      <w:r w:rsidRPr="00162D8F">
        <w:rPr>
          <w:i/>
          <w:iCs/>
        </w:rPr>
        <w:t>(Reference document:</w:t>
      </w:r>
      <w:r>
        <w:rPr>
          <w:i/>
          <w:iCs/>
        </w:rPr>
        <w:t xml:space="preserve"> informal document INF.36)</w:t>
      </w:r>
    </w:p>
    <w:p w:rsidR="00442AC9" w:rsidRPr="00573AF8" w:rsidRDefault="00573AF8" w:rsidP="00573AF8">
      <w:pPr>
        <w:pStyle w:val="H23G"/>
      </w:pPr>
      <w:r>
        <w:tab/>
      </w:r>
      <w:r w:rsidR="00442AC9" w:rsidRPr="002F2F86">
        <w:t>2</w:t>
      </w:r>
      <w:r w:rsidR="00FF1113">
        <w:t>6</w:t>
      </w:r>
      <w:r w:rsidR="00442AC9" w:rsidRPr="002F2F86">
        <w:t>.</w:t>
      </w:r>
      <w:r w:rsidR="00442AC9" w:rsidRPr="002F2F86">
        <w:tab/>
        <w:t>Section 51, paragraph 51.4.6</w:t>
      </w:r>
      <w:r w:rsidR="00576619">
        <w:t xml:space="preserve">, </w:t>
      </w:r>
      <w:r w:rsidR="00576619" w:rsidRPr="00576619">
        <w:t>in the last formula</w:t>
      </w:r>
    </w:p>
    <w:p w:rsidR="00442AC9" w:rsidRPr="002F2F86" w:rsidRDefault="00576619" w:rsidP="00442AC9">
      <w:pPr>
        <w:pStyle w:val="SingleTxtG"/>
      </w:pPr>
      <w:r w:rsidRPr="00576619">
        <w:rPr>
          <w:i/>
        </w:rPr>
        <w:t>For</w:t>
      </w:r>
      <w:r>
        <w:t xml:space="preserve"> </w:t>
      </w:r>
      <w:r w:rsidR="00442AC9" w:rsidRPr="002F2F86">
        <w:t>A</w:t>
      </w:r>
      <w:r w:rsidR="00442AC9" w:rsidRPr="002F2F86">
        <w:rPr>
          <w:vertAlign w:val="subscript"/>
        </w:rPr>
        <w:t>t</w:t>
      </w:r>
      <w:r w:rsidR="00442AC9" w:rsidRPr="002F2F86">
        <w:t xml:space="preserve"> </w:t>
      </w:r>
      <w:r w:rsidR="00442AC9" w:rsidRPr="00576619">
        <w:rPr>
          <w:i/>
        </w:rPr>
        <w:t>read</w:t>
      </w:r>
      <w:r>
        <w:t xml:space="preserve"> </w:t>
      </w:r>
      <w:r w:rsidR="00442AC9" w:rsidRPr="002F2F86">
        <w:t>A</w:t>
      </w:r>
      <w:r w:rsidR="00442AC9" w:rsidRPr="002F2F86">
        <w:rPr>
          <w:vertAlign w:val="subscript"/>
        </w:rPr>
        <w:t>c</w:t>
      </w:r>
    </w:p>
    <w:p w:rsidR="00901FED" w:rsidRDefault="00901FED" w:rsidP="00901FED">
      <w:pPr>
        <w:pStyle w:val="SingleTxtG"/>
        <w:rPr>
          <w:i/>
          <w:iCs/>
        </w:rPr>
      </w:pPr>
      <w:r w:rsidRPr="00162D8F">
        <w:rPr>
          <w:i/>
          <w:iCs/>
        </w:rPr>
        <w:t>(Reference document:</w:t>
      </w:r>
      <w:r>
        <w:rPr>
          <w:i/>
          <w:iCs/>
        </w:rPr>
        <w:t xml:space="preserve"> informal document INF.36)</w:t>
      </w:r>
    </w:p>
    <w:p w:rsidR="00442AC9" w:rsidRDefault="00573AF8" w:rsidP="00A916E5">
      <w:pPr>
        <w:pStyle w:val="H23G"/>
      </w:pPr>
      <w:r>
        <w:tab/>
      </w:r>
      <w:r w:rsidR="00442AC9" w:rsidRPr="00573AF8">
        <w:t>2</w:t>
      </w:r>
      <w:r w:rsidR="00FF1113" w:rsidRPr="00573AF8">
        <w:t>7</w:t>
      </w:r>
      <w:r w:rsidR="00442AC9" w:rsidRPr="00573AF8">
        <w:t>.</w:t>
      </w:r>
      <w:r w:rsidR="00442AC9" w:rsidRPr="00573AF8">
        <w:tab/>
        <w:t>Appendi</w:t>
      </w:r>
      <w:r w:rsidR="00E05716" w:rsidRPr="00573AF8">
        <w:t>ce</w:t>
      </w:r>
      <w:r w:rsidR="00442AC9" w:rsidRPr="00573AF8">
        <w:t xml:space="preserve"> 8, table</w:t>
      </w:r>
      <w:r w:rsidR="00576619" w:rsidRPr="00573AF8">
        <w:t xml:space="preserve">, </w:t>
      </w:r>
      <w:r w:rsidR="00A916E5">
        <w:t>in the third row</w:t>
      </w:r>
      <w:r w:rsidR="00A916E5" w:rsidRPr="002F2F86">
        <w:t>, under the heading “Case”</w:t>
      </w:r>
    </w:p>
    <w:p w:rsidR="002B4757" w:rsidRPr="002F2F86" w:rsidRDefault="00A916E5" w:rsidP="002B4757">
      <w:pPr>
        <w:pStyle w:val="SingleTxtG"/>
      </w:pPr>
      <w:r w:rsidRPr="00A916E5">
        <w:rPr>
          <w:i/>
        </w:rPr>
        <w:t>F</w:t>
      </w:r>
      <w:r w:rsidR="002B4757" w:rsidRPr="00A916E5">
        <w:rPr>
          <w:i/>
        </w:rPr>
        <w:t>or</w:t>
      </w:r>
      <w:r>
        <w:t xml:space="preserve"> calibration tests ¤ read calibration tests*</w:t>
      </w:r>
    </w:p>
    <w:p w:rsidR="00E05716" w:rsidRDefault="00E05716" w:rsidP="00E05716">
      <w:pPr>
        <w:pStyle w:val="SingleTxtG"/>
        <w:rPr>
          <w:i/>
          <w:iCs/>
        </w:rPr>
      </w:pPr>
      <w:r w:rsidRPr="00162D8F">
        <w:rPr>
          <w:i/>
          <w:iCs/>
        </w:rPr>
        <w:t>(Reference document:</w:t>
      </w:r>
      <w:r>
        <w:rPr>
          <w:i/>
          <w:iCs/>
        </w:rPr>
        <w:t xml:space="preserve"> informal document INF.36)</w:t>
      </w:r>
    </w:p>
    <w:p w:rsidR="00D9763A" w:rsidRDefault="00D9763A">
      <w:pPr>
        <w:suppressAutoHyphens w:val="0"/>
        <w:spacing w:line="240" w:lineRule="auto"/>
      </w:pPr>
      <w:r>
        <w:br w:type="page"/>
      </w:r>
    </w:p>
    <w:p w:rsidR="00E05716" w:rsidRDefault="00E05716" w:rsidP="00E05716">
      <w:pPr>
        <w:pStyle w:val="HChG"/>
      </w:pPr>
      <w:r w:rsidRPr="00EF2646">
        <w:lastRenderedPageBreak/>
        <w:t>Annex I</w:t>
      </w:r>
      <w:r>
        <w:t>II</w:t>
      </w:r>
    </w:p>
    <w:p w:rsidR="005D207B" w:rsidRDefault="005D207B" w:rsidP="00421EF2">
      <w:pPr>
        <w:pStyle w:val="H1G"/>
      </w:pPr>
      <w:r>
        <w:tab/>
      </w:r>
      <w:r>
        <w:tab/>
        <w:t xml:space="preserve">Amendments to the </w:t>
      </w:r>
      <w:r w:rsidR="00421EF2">
        <w:t>Guiding P</w:t>
      </w:r>
      <w:r>
        <w:t>rinciples of the Model Regulations</w:t>
      </w:r>
    </w:p>
    <w:p w:rsidR="005D207B" w:rsidRDefault="00E05716" w:rsidP="00E05716">
      <w:pPr>
        <w:pStyle w:val="H23G"/>
      </w:pPr>
      <w:r>
        <w:tab/>
      </w:r>
      <w:r>
        <w:tab/>
      </w:r>
      <w:r w:rsidR="00231F35">
        <w:t>Chapter 3.5</w:t>
      </w:r>
    </w:p>
    <w:p w:rsidR="005D207B" w:rsidRDefault="005D207B" w:rsidP="005D207B">
      <w:pPr>
        <w:pStyle w:val="SingleTxtG"/>
      </w:pPr>
      <w:r>
        <w:t>Replace the table</w:t>
      </w:r>
      <w:r w:rsidR="00231F35">
        <w:t>, table notes and sentence after the table</w:t>
      </w:r>
      <w:r>
        <w:t xml:space="preserve"> </w:t>
      </w:r>
      <w:r w:rsidR="00E4071B">
        <w:t>by</w:t>
      </w:r>
      <w:r>
        <w:t xml:space="preserve"> the following:</w:t>
      </w:r>
    </w:p>
    <w:p w:rsidR="005D207B" w:rsidRDefault="00231F35" w:rsidP="005D207B">
      <w:pPr>
        <w:spacing w:after="120"/>
        <w:jc w:val="center"/>
        <w:rPr>
          <w:b/>
        </w:rPr>
      </w:pPr>
      <w:r>
        <w:rPr>
          <w:b/>
        </w:rPr>
        <w:t>“</w:t>
      </w:r>
      <w:r w:rsidR="005D207B" w:rsidRPr="00EF58FF">
        <w:rPr>
          <w:b/>
        </w:rPr>
        <w:t>Methodology for determining excepted quantities</w:t>
      </w:r>
    </w:p>
    <w:tbl>
      <w:tblPr>
        <w:tblStyle w:val="TableGrid"/>
        <w:tblW w:w="0" w:type="auto"/>
        <w:tblInd w:w="392" w:type="dxa"/>
        <w:tblLook w:val="04A0" w:firstRow="1" w:lastRow="0" w:firstColumn="1" w:lastColumn="0" w:noHBand="0" w:noVBand="1"/>
      </w:tblPr>
      <w:tblGrid>
        <w:gridCol w:w="1428"/>
        <w:gridCol w:w="990"/>
        <w:gridCol w:w="3150"/>
        <w:gridCol w:w="2617"/>
        <w:gridCol w:w="887"/>
      </w:tblGrid>
      <w:tr w:rsidR="005D207B" w:rsidRPr="00057D5D" w:rsidTr="00DA4EA1">
        <w:trPr>
          <w:cantSplit/>
          <w:trHeight w:val="20"/>
          <w:tblHeader/>
        </w:trPr>
        <w:tc>
          <w:tcPr>
            <w:tcW w:w="1428" w:type="dxa"/>
            <w:noWrap/>
            <w:hideMark/>
          </w:tcPr>
          <w:p w:rsidR="005D207B" w:rsidRPr="00057D5D" w:rsidRDefault="005D207B" w:rsidP="004B0E4F">
            <w:pPr>
              <w:rPr>
                <w:b/>
                <w:bCs/>
                <w:sz w:val="18"/>
                <w:szCs w:val="18"/>
              </w:rPr>
            </w:pPr>
            <w:r w:rsidRPr="00057D5D">
              <w:rPr>
                <w:b/>
                <w:bCs/>
                <w:sz w:val="18"/>
                <w:szCs w:val="18"/>
              </w:rPr>
              <w:t>Class/Division</w:t>
            </w:r>
          </w:p>
        </w:tc>
        <w:tc>
          <w:tcPr>
            <w:tcW w:w="990" w:type="dxa"/>
            <w:hideMark/>
          </w:tcPr>
          <w:p w:rsidR="005D207B" w:rsidRPr="00057D5D" w:rsidRDefault="005D207B" w:rsidP="004B0E4F">
            <w:pPr>
              <w:rPr>
                <w:b/>
                <w:bCs/>
                <w:sz w:val="18"/>
                <w:szCs w:val="18"/>
              </w:rPr>
            </w:pPr>
            <w:r w:rsidRPr="00057D5D">
              <w:rPr>
                <w:b/>
                <w:bCs/>
                <w:sz w:val="18"/>
                <w:szCs w:val="18"/>
              </w:rPr>
              <w:t>Packing Group</w:t>
            </w:r>
          </w:p>
        </w:tc>
        <w:tc>
          <w:tcPr>
            <w:tcW w:w="3150" w:type="dxa"/>
            <w:hideMark/>
          </w:tcPr>
          <w:p w:rsidR="005D207B" w:rsidRPr="00057D5D" w:rsidRDefault="005D207B" w:rsidP="004B0E4F">
            <w:pPr>
              <w:rPr>
                <w:sz w:val="18"/>
                <w:szCs w:val="18"/>
              </w:rPr>
            </w:pPr>
            <w:r w:rsidRPr="00057D5D">
              <w:rPr>
                <w:b/>
                <w:bCs/>
                <w:sz w:val="18"/>
                <w:szCs w:val="18"/>
              </w:rPr>
              <w:t>Maximum net quantity per inner packaging</w:t>
            </w:r>
            <w:r w:rsidRPr="00057D5D">
              <w:rPr>
                <w:sz w:val="18"/>
                <w:szCs w:val="18"/>
              </w:rPr>
              <w:t xml:space="preserve"> (in gram</w:t>
            </w:r>
            <w:r w:rsidR="00F5083F" w:rsidRPr="00057D5D">
              <w:rPr>
                <w:sz w:val="18"/>
                <w:szCs w:val="18"/>
              </w:rPr>
              <w:t>me</w:t>
            </w:r>
            <w:r w:rsidRPr="00057D5D">
              <w:rPr>
                <w:sz w:val="18"/>
                <w:szCs w:val="18"/>
              </w:rPr>
              <w:t>s for solids and ml for liquids and gases)</w:t>
            </w:r>
          </w:p>
        </w:tc>
        <w:tc>
          <w:tcPr>
            <w:tcW w:w="2617" w:type="dxa"/>
            <w:hideMark/>
          </w:tcPr>
          <w:p w:rsidR="005D207B" w:rsidRPr="00057D5D" w:rsidRDefault="005D207B" w:rsidP="004B0E4F">
            <w:pPr>
              <w:rPr>
                <w:sz w:val="18"/>
                <w:szCs w:val="18"/>
              </w:rPr>
            </w:pPr>
            <w:r w:rsidRPr="00057D5D">
              <w:rPr>
                <w:b/>
                <w:bCs/>
                <w:sz w:val="18"/>
                <w:szCs w:val="18"/>
              </w:rPr>
              <w:t>Maximum net quantity per outer packaging</w:t>
            </w:r>
            <w:r w:rsidRPr="00057D5D">
              <w:rPr>
                <w:sz w:val="18"/>
                <w:szCs w:val="18"/>
              </w:rPr>
              <w:t xml:space="preserve"> (in gram</w:t>
            </w:r>
            <w:r w:rsidR="00F5083F" w:rsidRPr="00057D5D">
              <w:rPr>
                <w:sz w:val="18"/>
                <w:szCs w:val="18"/>
              </w:rPr>
              <w:t>me</w:t>
            </w:r>
            <w:r w:rsidRPr="00057D5D">
              <w:rPr>
                <w:sz w:val="18"/>
                <w:szCs w:val="18"/>
              </w:rPr>
              <w:t>s for solids and ml for liquids and gases, or sum of gram</w:t>
            </w:r>
            <w:r w:rsidR="00F5083F" w:rsidRPr="00057D5D">
              <w:rPr>
                <w:sz w:val="18"/>
                <w:szCs w:val="18"/>
              </w:rPr>
              <w:t>me</w:t>
            </w:r>
            <w:r w:rsidRPr="00057D5D">
              <w:rPr>
                <w:sz w:val="18"/>
                <w:szCs w:val="18"/>
              </w:rPr>
              <w:t>s and ml in the case of mixed packing)</w:t>
            </w:r>
          </w:p>
        </w:tc>
        <w:tc>
          <w:tcPr>
            <w:tcW w:w="887" w:type="dxa"/>
            <w:noWrap/>
            <w:hideMark/>
          </w:tcPr>
          <w:p w:rsidR="005D207B" w:rsidRPr="00057D5D" w:rsidRDefault="005D207B" w:rsidP="004B0E4F">
            <w:pPr>
              <w:rPr>
                <w:b/>
                <w:bCs/>
                <w:sz w:val="18"/>
                <w:szCs w:val="18"/>
              </w:rPr>
            </w:pPr>
            <w:r w:rsidRPr="00057D5D">
              <w:rPr>
                <w:b/>
                <w:bCs/>
                <w:sz w:val="18"/>
                <w:szCs w:val="18"/>
              </w:rPr>
              <w:t>E-Code</w:t>
            </w:r>
          </w:p>
        </w:tc>
      </w:tr>
      <w:tr w:rsidR="005D207B" w:rsidRPr="00057D5D" w:rsidTr="00DA4EA1">
        <w:trPr>
          <w:cantSplit/>
          <w:trHeight w:val="20"/>
        </w:trPr>
        <w:tc>
          <w:tcPr>
            <w:tcW w:w="1428" w:type="dxa"/>
            <w:hideMark/>
          </w:tcPr>
          <w:p w:rsidR="005D207B" w:rsidRPr="00057D5D" w:rsidRDefault="005D207B" w:rsidP="004B0E4F">
            <w:pPr>
              <w:rPr>
                <w:sz w:val="18"/>
                <w:szCs w:val="18"/>
              </w:rPr>
            </w:pPr>
            <w:r w:rsidRPr="00057D5D">
              <w:rPr>
                <w:sz w:val="18"/>
                <w:szCs w:val="18"/>
              </w:rPr>
              <w:t>1</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hideMark/>
          </w:tcPr>
          <w:p w:rsidR="005D207B" w:rsidRPr="00057D5D" w:rsidRDefault="005D207B" w:rsidP="004B0E4F">
            <w:pPr>
              <w:rPr>
                <w:sz w:val="18"/>
                <w:szCs w:val="18"/>
              </w:rPr>
            </w:pPr>
            <w:r w:rsidRPr="00057D5D">
              <w:rPr>
                <w:sz w:val="18"/>
                <w:szCs w:val="18"/>
              </w:rPr>
              <w:t>2.1</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hideMark/>
          </w:tcPr>
          <w:p w:rsidR="005D207B" w:rsidRPr="00057D5D" w:rsidRDefault="005D207B" w:rsidP="004B0E4F">
            <w:pPr>
              <w:rPr>
                <w:sz w:val="18"/>
                <w:szCs w:val="18"/>
                <w:vertAlign w:val="superscript"/>
              </w:rPr>
            </w:pPr>
            <w:r w:rsidRPr="00057D5D">
              <w:rPr>
                <w:sz w:val="18"/>
                <w:szCs w:val="18"/>
              </w:rPr>
              <w:t>2.2 without subsidiary hazard</w:t>
            </w:r>
            <w:r w:rsidRPr="00057D5D">
              <w:rPr>
                <w:sz w:val="18"/>
                <w:szCs w:val="18"/>
                <w:vertAlign w:val="superscript"/>
              </w:rPr>
              <w:t>a</w:t>
            </w:r>
          </w:p>
        </w:tc>
        <w:tc>
          <w:tcPr>
            <w:tcW w:w="990" w:type="dxa"/>
            <w:noWrap/>
            <w:hideMark/>
          </w:tcPr>
          <w:p w:rsidR="005D207B" w:rsidRPr="00057D5D" w:rsidRDefault="005D207B" w:rsidP="004B0E4F">
            <w:pPr>
              <w:rPr>
                <w:sz w:val="18"/>
                <w:szCs w:val="18"/>
              </w:rPr>
            </w:pPr>
            <w:r w:rsidRPr="00057D5D">
              <w:rPr>
                <w:sz w:val="18"/>
                <w:szCs w:val="18"/>
              </w:rPr>
              <w:t> </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hideMark/>
          </w:tcPr>
          <w:p w:rsidR="005D207B" w:rsidRPr="00057D5D" w:rsidRDefault="005D207B" w:rsidP="004B0E4F">
            <w:pPr>
              <w:rPr>
                <w:sz w:val="18"/>
                <w:szCs w:val="18"/>
              </w:rPr>
            </w:pPr>
            <w:r w:rsidRPr="00057D5D">
              <w:rPr>
                <w:sz w:val="18"/>
                <w:szCs w:val="18"/>
              </w:rPr>
              <w:t>2.2 with a subsidiary hazard</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single" w:sz="4" w:space="0" w:color="auto"/>
            </w:tcBorders>
            <w:hideMark/>
          </w:tcPr>
          <w:p w:rsidR="005D207B" w:rsidRPr="00057D5D" w:rsidRDefault="005D207B" w:rsidP="004B0E4F">
            <w:pPr>
              <w:rPr>
                <w:sz w:val="18"/>
                <w:szCs w:val="18"/>
              </w:rPr>
            </w:pPr>
            <w:r w:rsidRPr="00057D5D">
              <w:rPr>
                <w:sz w:val="18"/>
                <w:szCs w:val="18"/>
              </w:rPr>
              <w:t>2.3</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vertAlign w:val="superscript"/>
              </w:rPr>
            </w:pPr>
            <w:r w:rsidRPr="00057D5D">
              <w:rPr>
                <w:sz w:val="18"/>
                <w:szCs w:val="18"/>
              </w:rPr>
              <w:t>3 without a subsidiary hazard</w:t>
            </w:r>
            <w:r w:rsidRPr="00057D5D">
              <w:rPr>
                <w:sz w:val="18"/>
                <w:szCs w:val="18"/>
                <w:vertAlign w:val="superscript"/>
              </w:rPr>
              <w:t>b</w:t>
            </w:r>
          </w:p>
        </w:tc>
        <w:tc>
          <w:tcPr>
            <w:tcW w:w="990" w:type="dxa"/>
            <w:noWrap/>
            <w:hideMark/>
          </w:tcPr>
          <w:p w:rsidR="005D207B" w:rsidRPr="00057D5D" w:rsidRDefault="005D207B" w:rsidP="004B0E4F">
            <w:pPr>
              <w:rPr>
                <w:sz w:val="18"/>
                <w:szCs w:val="18"/>
              </w:rPr>
            </w:pPr>
            <w:r w:rsidRPr="00057D5D">
              <w:rPr>
                <w:sz w:val="18"/>
                <w:szCs w:val="18"/>
              </w:rPr>
              <w:t>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 xml:space="preserve">300 g / 300 ml </w:t>
            </w:r>
          </w:p>
        </w:tc>
        <w:tc>
          <w:tcPr>
            <w:tcW w:w="887" w:type="dxa"/>
            <w:noWrap/>
            <w:hideMark/>
          </w:tcPr>
          <w:p w:rsidR="005D207B" w:rsidRPr="00057D5D" w:rsidRDefault="005D207B" w:rsidP="004B0E4F">
            <w:pPr>
              <w:rPr>
                <w:sz w:val="18"/>
                <w:szCs w:val="18"/>
              </w:rPr>
            </w:pPr>
            <w:r w:rsidRPr="00057D5D">
              <w:rPr>
                <w:sz w:val="18"/>
                <w:szCs w:val="18"/>
              </w:rPr>
              <w:t>E3</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rPr>
            </w:pPr>
            <w:r w:rsidRPr="00057D5D">
              <w:rPr>
                <w:sz w:val="18"/>
                <w:szCs w:val="18"/>
              </w:rPr>
              <w:t>3 with a subsidiary hazard</w:t>
            </w:r>
            <w:r w:rsidRPr="00057D5D">
              <w:rPr>
                <w:sz w:val="18"/>
                <w:szCs w:val="18"/>
                <w:vertAlign w:val="superscript"/>
              </w:rPr>
              <w:t>c</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vertAlign w:val="superscript"/>
              </w:rPr>
            </w:pPr>
            <w:r w:rsidRPr="00057D5D">
              <w:rPr>
                <w:sz w:val="18"/>
                <w:szCs w:val="18"/>
              </w:rPr>
              <w:t>4.1</w:t>
            </w:r>
            <w:r w:rsidRPr="00057D5D">
              <w:rPr>
                <w:sz w:val="18"/>
                <w:szCs w:val="18"/>
                <w:vertAlign w:val="superscript"/>
              </w:rPr>
              <w:t>d</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rPr>
            </w:pPr>
            <w:r w:rsidRPr="00057D5D">
              <w:rPr>
                <w:sz w:val="18"/>
                <w:szCs w:val="18"/>
              </w:rPr>
              <w:t>4.2</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rPr>
            </w:pPr>
            <w:r w:rsidRPr="00057D5D">
              <w:rPr>
                <w:sz w:val="18"/>
                <w:szCs w:val="18"/>
              </w:rPr>
              <w:t>4.3</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rPr>
            </w:pPr>
            <w:r w:rsidRPr="00057D5D">
              <w:rPr>
                <w:sz w:val="18"/>
                <w:szCs w:val="18"/>
              </w:rPr>
              <w:t>5.1</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hideMark/>
          </w:tcPr>
          <w:p w:rsidR="005D207B" w:rsidRPr="00057D5D" w:rsidRDefault="005D207B" w:rsidP="004B0E4F">
            <w:pPr>
              <w:rPr>
                <w:sz w:val="18"/>
                <w:szCs w:val="18"/>
                <w:vertAlign w:val="superscript"/>
              </w:rPr>
            </w:pPr>
            <w:r w:rsidRPr="00057D5D">
              <w:rPr>
                <w:sz w:val="18"/>
                <w:szCs w:val="18"/>
              </w:rPr>
              <w:t>5.2</w:t>
            </w:r>
            <w:r w:rsidRPr="00057D5D">
              <w:rPr>
                <w:sz w:val="18"/>
                <w:szCs w:val="18"/>
                <w:vertAlign w:val="superscript"/>
              </w:rPr>
              <w:t>e</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single" w:sz="4" w:space="0" w:color="auto"/>
            </w:tcBorders>
            <w:hideMark/>
          </w:tcPr>
          <w:p w:rsidR="005D207B" w:rsidRPr="00057D5D" w:rsidRDefault="005D207B" w:rsidP="004B0E4F">
            <w:pPr>
              <w:rPr>
                <w:sz w:val="18"/>
                <w:szCs w:val="18"/>
              </w:rPr>
            </w:pPr>
            <w:r w:rsidRPr="00057D5D">
              <w:rPr>
                <w:sz w:val="18"/>
                <w:szCs w:val="18"/>
              </w:rPr>
              <w:t>6.1 Substances which are toxic by inhalation</w:t>
            </w:r>
            <w:r w:rsidRPr="00057D5D">
              <w:rPr>
                <w:sz w:val="18"/>
                <w:szCs w:val="18"/>
                <w:vertAlign w:val="superscript"/>
              </w:rPr>
              <w:t>k</w:t>
            </w:r>
            <w:r w:rsidRPr="00057D5D">
              <w:rPr>
                <w:sz w:val="18"/>
                <w:szCs w:val="18"/>
              </w:rPr>
              <w:t xml:space="preserve"> </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rPr>
            </w:pPr>
            <w:r w:rsidRPr="00057D5D">
              <w:rPr>
                <w:sz w:val="18"/>
                <w:szCs w:val="18"/>
              </w:rPr>
              <w:t>6.1</w:t>
            </w:r>
            <w:r w:rsidRPr="00057D5D">
              <w:rPr>
                <w:sz w:val="18"/>
                <w:szCs w:val="18"/>
                <w:vertAlign w:val="superscript"/>
              </w:rPr>
              <w:t>f,g</w:t>
            </w:r>
          </w:p>
        </w:tc>
        <w:tc>
          <w:tcPr>
            <w:tcW w:w="990" w:type="dxa"/>
            <w:noWrap/>
            <w:hideMark/>
          </w:tcPr>
          <w:p w:rsidR="005D207B" w:rsidRPr="00057D5D" w:rsidRDefault="005D207B" w:rsidP="004B0E4F">
            <w:pPr>
              <w:rPr>
                <w:sz w:val="18"/>
                <w:szCs w:val="18"/>
              </w:rPr>
            </w:pPr>
            <w:r w:rsidRPr="00057D5D">
              <w:rPr>
                <w:sz w:val="18"/>
                <w:szCs w:val="18"/>
              </w:rPr>
              <w:t>I</w:t>
            </w:r>
          </w:p>
        </w:tc>
        <w:tc>
          <w:tcPr>
            <w:tcW w:w="3150" w:type="dxa"/>
            <w:noWrap/>
            <w:hideMark/>
          </w:tcPr>
          <w:p w:rsidR="005D207B" w:rsidRPr="00057D5D" w:rsidRDefault="005D207B" w:rsidP="004B0E4F">
            <w:pPr>
              <w:rPr>
                <w:sz w:val="18"/>
                <w:szCs w:val="18"/>
              </w:rPr>
            </w:pPr>
            <w:r w:rsidRPr="00057D5D">
              <w:rPr>
                <w:sz w:val="18"/>
                <w:szCs w:val="18"/>
              </w:rPr>
              <w:t>1 g / 1 ml</w:t>
            </w:r>
          </w:p>
        </w:tc>
        <w:tc>
          <w:tcPr>
            <w:tcW w:w="2617" w:type="dxa"/>
            <w:noWrap/>
            <w:hideMark/>
          </w:tcPr>
          <w:p w:rsidR="005D207B" w:rsidRPr="00057D5D" w:rsidRDefault="005D207B" w:rsidP="004B0E4F">
            <w:pPr>
              <w:rPr>
                <w:sz w:val="18"/>
                <w:szCs w:val="18"/>
              </w:rPr>
            </w:pPr>
            <w:r w:rsidRPr="00057D5D">
              <w:rPr>
                <w:sz w:val="18"/>
                <w:szCs w:val="18"/>
              </w:rPr>
              <w:t>300 g / 300 ml</w:t>
            </w:r>
          </w:p>
        </w:tc>
        <w:tc>
          <w:tcPr>
            <w:tcW w:w="887" w:type="dxa"/>
            <w:noWrap/>
            <w:hideMark/>
          </w:tcPr>
          <w:p w:rsidR="005D207B" w:rsidRPr="00057D5D" w:rsidRDefault="005D207B" w:rsidP="004B0E4F">
            <w:pPr>
              <w:rPr>
                <w:sz w:val="18"/>
                <w:szCs w:val="18"/>
              </w:rPr>
            </w:pPr>
            <w:r w:rsidRPr="00057D5D">
              <w:rPr>
                <w:sz w:val="18"/>
                <w:szCs w:val="18"/>
              </w:rPr>
              <w:t>E5</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1 g / 1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E4</w:t>
            </w:r>
          </w:p>
        </w:tc>
      </w:tr>
      <w:tr w:rsidR="005D207B" w:rsidRPr="00057D5D" w:rsidTr="00DA4EA1">
        <w:trPr>
          <w:cantSplit/>
          <w:trHeight w:val="20"/>
        </w:trPr>
        <w:tc>
          <w:tcPr>
            <w:tcW w:w="1428" w:type="dxa"/>
            <w:tcBorders>
              <w:top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hideMark/>
          </w:tcPr>
          <w:p w:rsidR="005D207B" w:rsidRPr="00057D5D" w:rsidRDefault="005D207B" w:rsidP="004B0E4F">
            <w:pPr>
              <w:rPr>
                <w:sz w:val="18"/>
                <w:szCs w:val="18"/>
              </w:rPr>
            </w:pPr>
            <w:r w:rsidRPr="00057D5D">
              <w:rPr>
                <w:sz w:val="18"/>
                <w:szCs w:val="18"/>
              </w:rPr>
              <w:t>6.2</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single" w:sz="4" w:space="0" w:color="auto"/>
            </w:tcBorders>
            <w:hideMark/>
          </w:tcPr>
          <w:p w:rsidR="005D207B" w:rsidRPr="00057D5D" w:rsidRDefault="005D207B" w:rsidP="004B0E4F">
            <w:pPr>
              <w:rPr>
                <w:sz w:val="18"/>
                <w:szCs w:val="18"/>
              </w:rPr>
            </w:pPr>
            <w:r w:rsidRPr="00057D5D">
              <w:rPr>
                <w:sz w:val="18"/>
                <w:szCs w:val="18"/>
              </w:rPr>
              <w:t>7</w:t>
            </w:r>
          </w:p>
        </w:tc>
        <w:tc>
          <w:tcPr>
            <w:tcW w:w="990" w:type="dxa"/>
            <w:noWrap/>
            <w:hideMark/>
          </w:tcPr>
          <w:p w:rsidR="005D207B" w:rsidRPr="00057D5D" w:rsidRDefault="005D207B" w:rsidP="004B0E4F">
            <w:pPr>
              <w:rPr>
                <w:sz w:val="18"/>
                <w:szCs w:val="18"/>
              </w:rPr>
            </w:pPr>
            <w:r w:rsidRPr="00057D5D">
              <w:rPr>
                <w:sz w:val="18"/>
                <w:szCs w:val="18"/>
              </w:rPr>
              <w:t> </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vertAlign w:val="superscript"/>
              </w:rPr>
            </w:pPr>
            <w:r w:rsidRPr="00057D5D">
              <w:rPr>
                <w:sz w:val="18"/>
                <w:szCs w:val="18"/>
              </w:rPr>
              <w:t>8</w:t>
            </w:r>
            <w:r w:rsidRPr="00057D5D">
              <w:rPr>
                <w:sz w:val="18"/>
                <w:szCs w:val="18"/>
                <w:vertAlign w:val="superscript"/>
              </w:rPr>
              <w:t>h, i</w:t>
            </w:r>
          </w:p>
        </w:tc>
        <w:tc>
          <w:tcPr>
            <w:tcW w:w="990" w:type="dxa"/>
            <w:noWrap/>
            <w:hideMark/>
          </w:tcPr>
          <w:p w:rsidR="005D207B" w:rsidRPr="00057D5D" w:rsidRDefault="005D207B" w:rsidP="004B0E4F">
            <w:pPr>
              <w:rPr>
                <w:sz w:val="18"/>
                <w:szCs w:val="18"/>
              </w:rPr>
            </w:pPr>
            <w:r w:rsidRPr="00057D5D">
              <w:rPr>
                <w:sz w:val="18"/>
                <w:szCs w:val="18"/>
              </w:rPr>
              <w:t>I</w:t>
            </w:r>
          </w:p>
        </w:tc>
        <w:tc>
          <w:tcPr>
            <w:tcW w:w="5767" w:type="dxa"/>
            <w:gridSpan w:val="2"/>
            <w:noWrap/>
            <w:hideMark/>
          </w:tcPr>
          <w:p w:rsidR="005D207B" w:rsidRPr="00057D5D" w:rsidRDefault="005D207B" w:rsidP="004B0E4F">
            <w:pPr>
              <w:jc w:val="center"/>
              <w:rPr>
                <w:sz w:val="18"/>
                <w:szCs w:val="18"/>
              </w:rPr>
            </w:pPr>
            <w:r w:rsidRPr="00057D5D">
              <w:rPr>
                <w:sz w:val="18"/>
                <w:szCs w:val="18"/>
              </w:rPr>
              <w:t>Not permitted</w:t>
            </w:r>
          </w:p>
        </w:tc>
        <w:tc>
          <w:tcPr>
            <w:tcW w:w="887" w:type="dxa"/>
            <w:noWrap/>
            <w:hideMark/>
          </w:tcPr>
          <w:p w:rsidR="005D207B" w:rsidRPr="00057D5D" w:rsidRDefault="005D207B" w:rsidP="004B0E4F">
            <w:pPr>
              <w:rPr>
                <w:sz w:val="18"/>
                <w:szCs w:val="18"/>
              </w:rPr>
            </w:pPr>
            <w:r w:rsidRPr="00057D5D">
              <w:rPr>
                <w:sz w:val="18"/>
                <w:szCs w:val="18"/>
              </w:rPr>
              <w:t>E0</w:t>
            </w:r>
          </w:p>
        </w:tc>
      </w:tr>
      <w:tr w:rsidR="005D207B" w:rsidRPr="00057D5D" w:rsidTr="00DA4EA1">
        <w:trPr>
          <w:cantSplit/>
          <w:trHeight w:val="20"/>
        </w:trPr>
        <w:tc>
          <w:tcPr>
            <w:tcW w:w="1428" w:type="dxa"/>
            <w:tcBorders>
              <w:top w:val="nil"/>
              <w:bottom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bottom w:val="single" w:sz="4" w:space="0" w:color="auto"/>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r w:rsidR="005D207B" w:rsidRPr="00057D5D" w:rsidTr="00DA4EA1">
        <w:trPr>
          <w:cantSplit/>
          <w:trHeight w:val="20"/>
        </w:trPr>
        <w:tc>
          <w:tcPr>
            <w:tcW w:w="1428" w:type="dxa"/>
            <w:tcBorders>
              <w:bottom w:val="nil"/>
            </w:tcBorders>
            <w:hideMark/>
          </w:tcPr>
          <w:p w:rsidR="005D207B" w:rsidRPr="00057D5D" w:rsidRDefault="005D207B" w:rsidP="004B0E4F">
            <w:pPr>
              <w:rPr>
                <w:sz w:val="18"/>
                <w:szCs w:val="18"/>
                <w:vertAlign w:val="superscript"/>
              </w:rPr>
            </w:pPr>
            <w:r w:rsidRPr="00057D5D">
              <w:rPr>
                <w:sz w:val="18"/>
                <w:szCs w:val="18"/>
              </w:rPr>
              <w:t>9</w:t>
            </w:r>
            <w:r w:rsidRPr="00057D5D">
              <w:rPr>
                <w:sz w:val="18"/>
                <w:szCs w:val="18"/>
                <w:vertAlign w:val="superscript"/>
              </w:rPr>
              <w:t>j</w:t>
            </w:r>
          </w:p>
        </w:tc>
        <w:tc>
          <w:tcPr>
            <w:tcW w:w="990" w:type="dxa"/>
            <w:noWrap/>
            <w:hideMark/>
          </w:tcPr>
          <w:p w:rsidR="005D207B" w:rsidRPr="00057D5D" w:rsidRDefault="005D207B" w:rsidP="004B0E4F">
            <w:pPr>
              <w:rPr>
                <w:sz w:val="18"/>
                <w:szCs w:val="18"/>
              </w:rPr>
            </w:pPr>
            <w:r w:rsidRPr="00057D5D">
              <w:rPr>
                <w:sz w:val="18"/>
                <w:szCs w:val="18"/>
              </w:rPr>
              <w:t>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500 g / 500 ml</w:t>
            </w:r>
          </w:p>
        </w:tc>
        <w:tc>
          <w:tcPr>
            <w:tcW w:w="887" w:type="dxa"/>
            <w:noWrap/>
            <w:hideMark/>
          </w:tcPr>
          <w:p w:rsidR="005D207B" w:rsidRPr="00057D5D" w:rsidRDefault="005D207B" w:rsidP="004B0E4F">
            <w:pPr>
              <w:rPr>
                <w:sz w:val="18"/>
                <w:szCs w:val="18"/>
              </w:rPr>
            </w:pPr>
            <w:r w:rsidRPr="00057D5D">
              <w:rPr>
                <w:sz w:val="18"/>
                <w:szCs w:val="18"/>
              </w:rPr>
              <w:t>E2</w:t>
            </w:r>
          </w:p>
        </w:tc>
      </w:tr>
      <w:tr w:rsidR="005D207B" w:rsidRPr="00057D5D" w:rsidTr="00DA4EA1">
        <w:trPr>
          <w:cantSplit/>
          <w:trHeight w:val="20"/>
        </w:trPr>
        <w:tc>
          <w:tcPr>
            <w:tcW w:w="1428" w:type="dxa"/>
            <w:tcBorders>
              <w:top w:val="nil"/>
            </w:tcBorders>
            <w:hideMark/>
          </w:tcPr>
          <w:p w:rsidR="005D207B" w:rsidRPr="00057D5D" w:rsidRDefault="005D207B" w:rsidP="004B0E4F">
            <w:pPr>
              <w:rPr>
                <w:sz w:val="18"/>
                <w:szCs w:val="18"/>
              </w:rPr>
            </w:pPr>
          </w:p>
        </w:tc>
        <w:tc>
          <w:tcPr>
            <w:tcW w:w="990" w:type="dxa"/>
            <w:noWrap/>
            <w:hideMark/>
          </w:tcPr>
          <w:p w:rsidR="005D207B" w:rsidRPr="00057D5D" w:rsidRDefault="005D207B" w:rsidP="004B0E4F">
            <w:pPr>
              <w:rPr>
                <w:sz w:val="18"/>
                <w:szCs w:val="18"/>
              </w:rPr>
            </w:pPr>
            <w:r w:rsidRPr="00057D5D">
              <w:rPr>
                <w:sz w:val="18"/>
                <w:szCs w:val="18"/>
              </w:rPr>
              <w:t>III</w:t>
            </w:r>
          </w:p>
        </w:tc>
        <w:tc>
          <w:tcPr>
            <w:tcW w:w="3150" w:type="dxa"/>
            <w:noWrap/>
            <w:hideMark/>
          </w:tcPr>
          <w:p w:rsidR="005D207B" w:rsidRPr="00057D5D" w:rsidRDefault="005D207B" w:rsidP="004B0E4F">
            <w:pPr>
              <w:rPr>
                <w:sz w:val="18"/>
                <w:szCs w:val="18"/>
              </w:rPr>
            </w:pPr>
            <w:r w:rsidRPr="00057D5D">
              <w:rPr>
                <w:sz w:val="18"/>
                <w:szCs w:val="18"/>
              </w:rPr>
              <w:t>30 g / 30 ml</w:t>
            </w:r>
          </w:p>
        </w:tc>
        <w:tc>
          <w:tcPr>
            <w:tcW w:w="2617" w:type="dxa"/>
            <w:noWrap/>
            <w:hideMark/>
          </w:tcPr>
          <w:p w:rsidR="005D207B" w:rsidRPr="00057D5D" w:rsidRDefault="005D207B" w:rsidP="004B0E4F">
            <w:pPr>
              <w:rPr>
                <w:sz w:val="18"/>
                <w:szCs w:val="18"/>
              </w:rPr>
            </w:pPr>
            <w:r w:rsidRPr="00057D5D">
              <w:rPr>
                <w:sz w:val="18"/>
                <w:szCs w:val="18"/>
              </w:rPr>
              <w:t>1000 g / 1000 ml</w:t>
            </w:r>
          </w:p>
        </w:tc>
        <w:tc>
          <w:tcPr>
            <w:tcW w:w="887" w:type="dxa"/>
            <w:noWrap/>
            <w:hideMark/>
          </w:tcPr>
          <w:p w:rsidR="005D207B" w:rsidRPr="00057D5D" w:rsidRDefault="005D207B" w:rsidP="004B0E4F">
            <w:pPr>
              <w:rPr>
                <w:sz w:val="18"/>
                <w:szCs w:val="18"/>
              </w:rPr>
            </w:pPr>
            <w:r w:rsidRPr="00057D5D">
              <w:rPr>
                <w:sz w:val="18"/>
                <w:szCs w:val="18"/>
              </w:rPr>
              <w:t>E1</w:t>
            </w:r>
          </w:p>
        </w:tc>
      </w:tr>
    </w:tbl>
    <w:p w:rsidR="005D207B" w:rsidRPr="00E620B8" w:rsidRDefault="005D207B" w:rsidP="005D207B">
      <w:pPr>
        <w:pStyle w:val="SingleTxtG"/>
        <w:tabs>
          <w:tab w:val="left" w:pos="1418"/>
        </w:tabs>
        <w:spacing w:before="120"/>
        <w:rPr>
          <w:i/>
          <w:sz w:val="18"/>
          <w:szCs w:val="18"/>
          <w:lang w:val="en-US"/>
        </w:rPr>
      </w:pPr>
      <w:r w:rsidRPr="00682BBA">
        <w:rPr>
          <w:b/>
          <w:sz w:val="18"/>
          <w:szCs w:val="18"/>
          <w:vertAlign w:val="superscript"/>
        </w:rPr>
        <w:t>a</w:t>
      </w:r>
      <w:r>
        <w:rPr>
          <w:i/>
          <w:sz w:val="18"/>
          <w:szCs w:val="18"/>
        </w:rPr>
        <w:tab/>
      </w:r>
      <w:r w:rsidRPr="00E620B8">
        <w:rPr>
          <w:i/>
          <w:sz w:val="18"/>
          <w:szCs w:val="18"/>
        </w:rPr>
        <w:t xml:space="preserve">For gases, the volume indicated for inner packagings refers to the water capacity of the inner receptacle and the volume indicated for outer packagings refers to the combined water capacity of all inner packagings within a single outer package; </w:t>
      </w:r>
    </w:p>
    <w:p w:rsidR="005D207B" w:rsidRPr="00E620B8" w:rsidRDefault="005D207B" w:rsidP="005D207B">
      <w:pPr>
        <w:pStyle w:val="SingleTxtG"/>
        <w:tabs>
          <w:tab w:val="left" w:pos="1418"/>
        </w:tabs>
        <w:spacing w:before="120"/>
        <w:rPr>
          <w:i/>
          <w:sz w:val="18"/>
          <w:szCs w:val="18"/>
          <w:lang w:val="en-US"/>
        </w:rPr>
      </w:pPr>
      <w:r w:rsidRPr="00682BBA">
        <w:rPr>
          <w:b/>
          <w:sz w:val="18"/>
          <w:szCs w:val="18"/>
          <w:vertAlign w:val="superscript"/>
        </w:rPr>
        <w:t>b</w:t>
      </w:r>
      <w:r>
        <w:rPr>
          <w:i/>
          <w:sz w:val="18"/>
          <w:szCs w:val="18"/>
        </w:rPr>
        <w:tab/>
      </w:r>
      <w:r w:rsidRPr="00E620B8">
        <w:rPr>
          <w:i/>
          <w:sz w:val="18"/>
          <w:szCs w:val="18"/>
        </w:rPr>
        <w:t xml:space="preserve">Desensitized explosives and UN 3256 shall not be transported as excepted quantities; </w:t>
      </w:r>
    </w:p>
    <w:p w:rsidR="005D207B" w:rsidRPr="00E620B8" w:rsidRDefault="005D207B" w:rsidP="005D207B">
      <w:pPr>
        <w:pStyle w:val="SingleTxtG"/>
        <w:tabs>
          <w:tab w:val="left" w:pos="1418"/>
        </w:tabs>
        <w:rPr>
          <w:i/>
          <w:sz w:val="18"/>
          <w:szCs w:val="18"/>
          <w:lang w:val="en-US"/>
        </w:rPr>
      </w:pPr>
      <w:r w:rsidRPr="00682BBA">
        <w:rPr>
          <w:b/>
          <w:sz w:val="18"/>
          <w:szCs w:val="18"/>
          <w:vertAlign w:val="superscript"/>
        </w:rPr>
        <w:t>c</w:t>
      </w:r>
      <w:r>
        <w:rPr>
          <w:i/>
          <w:sz w:val="18"/>
          <w:szCs w:val="18"/>
        </w:rPr>
        <w:tab/>
      </w:r>
      <w:r w:rsidRPr="00E620B8">
        <w:rPr>
          <w:i/>
          <w:sz w:val="18"/>
          <w:szCs w:val="18"/>
        </w:rPr>
        <w:t>Chlorosilanes (UN Nos. 1162, 1196, 1250, 1298, 1305, 2985) shall not be transported as excepted quantiti</w:t>
      </w:r>
      <w:r w:rsidRPr="00E620B8">
        <w:rPr>
          <w:i/>
          <w:sz w:val="18"/>
          <w:szCs w:val="18"/>
          <w:lang w:val="en-US"/>
        </w:rPr>
        <w:t>es</w:t>
      </w:r>
      <w:r w:rsidRPr="00E620B8">
        <w:rPr>
          <w:i/>
          <w:sz w:val="18"/>
          <w:szCs w:val="18"/>
        </w:rPr>
        <w:t xml:space="preserve">. </w:t>
      </w:r>
    </w:p>
    <w:p w:rsidR="005D207B" w:rsidRPr="00E620B8" w:rsidRDefault="005D207B" w:rsidP="005D207B">
      <w:pPr>
        <w:pStyle w:val="SingleTxtG"/>
        <w:tabs>
          <w:tab w:val="left" w:pos="1418"/>
        </w:tabs>
        <w:rPr>
          <w:i/>
          <w:sz w:val="18"/>
          <w:szCs w:val="18"/>
        </w:rPr>
      </w:pPr>
      <w:r w:rsidRPr="00682BBA">
        <w:rPr>
          <w:b/>
          <w:sz w:val="18"/>
          <w:szCs w:val="18"/>
          <w:vertAlign w:val="superscript"/>
        </w:rPr>
        <w:t>d</w:t>
      </w:r>
      <w:r>
        <w:rPr>
          <w:i/>
          <w:sz w:val="18"/>
          <w:szCs w:val="18"/>
        </w:rPr>
        <w:tab/>
      </w:r>
      <w:r w:rsidRPr="00E620B8">
        <w:rPr>
          <w:i/>
          <w:sz w:val="18"/>
          <w:szCs w:val="18"/>
        </w:rPr>
        <w:t xml:space="preserve">Self-reactive substances, polymerizing substances, desensitized explosives, UN Nos. 2304, 2448, 3176 (molten substances), 3360 and 3527 shall not be transported as excepted quantities; </w:t>
      </w:r>
    </w:p>
    <w:p w:rsidR="005D207B" w:rsidRPr="00E620B8" w:rsidRDefault="005D207B" w:rsidP="005D207B">
      <w:pPr>
        <w:pStyle w:val="SingleTxtG"/>
        <w:tabs>
          <w:tab w:val="left" w:pos="1418"/>
        </w:tabs>
        <w:rPr>
          <w:i/>
          <w:sz w:val="18"/>
          <w:szCs w:val="18"/>
          <w:lang w:val="en-US"/>
        </w:rPr>
      </w:pPr>
      <w:r w:rsidRPr="00682BBA">
        <w:rPr>
          <w:b/>
          <w:sz w:val="18"/>
          <w:szCs w:val="18"/>
          <w:vertAlign w:val="superscript"/>
        </w:rPr>
        <w:t>e</w:t>
      </w:r>
      <w:r>
        <w:rPr>
          <w:i/>
          <w:sz w:val="18"/>
          <w:szCs w:val="18"/>
        </w:rPr>
        <w:tab/>
      </w:r>
      <w:r w:rsidRPr="00E620B8">
        <w:rPr>
          <w:i/>
          <w:sz w:val="18"/>
          <w:szCs w:val="18"/>
        </w:rPr>
        <w:t xml:space="preserve">Division 5.2 dangerous goods shall ONLY be transported as excepted quantities if in UN 3316, Chemical Kit or First Aid Kit; </w:t>
      </w:r>
    </w:p>
    <w:p w:rsidR="005D207B" w:rsidRPr="00E620B8" w:rsidRDefault="005D207B" w:rsidP="005D207B">
      <w:pPr>
        <w:pStyle w:val="SingleTxtG"/>
        <w:tabs>
          <w:tab w:val="left" w:pos="1418"/>
        </w:tabs>
        <w:rPr>
          <w:i/>
          <w:sz w:val="18"/>
          <w:szCs w:val="18"/>
        </w:rPr>
      </w:pPr>
      <w:r w:rsidRPr="00682BBA">
        <w:rPr>
          <w:b/>
          <w:sz w:val="18"/>
          <w:szCs w:val="18"/>
          <w:vertAlign w:val="superscript"/>
        </w:rPr>
        <w:t>f</w:t>
      </w:r>
      <w:r>
        <w:rPr>
          <w:i/>
          <w:sz w:val="18"/>
          <w:szCs w:val="18"/>
        </w:rPr>
        <w:tab/>
      </w:r>
      <w:r w:rsidRPr="00E620B8">
        <w:rPr>
          <w:i/>
          <w:sz w:val="18"/>
          <w:szCs w:val="18"/>
        </w:rPr>
        <w:t xml:space="preserve">UN Nos. 1600, 2312 and 3250 (molten substances) shall not be transported as excepted quantities; </w:t>
      </w:r>
    </w:p>
    <w:p w:rsidR="005D207B" w:rsidRPr="00E620B8" w:rsidRDefault="005D207B" w:rsidP="005D207B">
      <w:pPr>
        <w:pStyle w:val="SingleTxtG"/>
        <w:tabs>
          <w:tab w:val="left" w:pos="1418"/>
        </w:tabs>
        <w:rPr>
          <w:i/>
          <w:sz w:val="18"/>
          <w:szCs w:val="18"/>
        </w:rPr>
      </w:pPr>
      <w:r w:rsidRPr="00682BBA">
        <w:rPr>
          <w:b/>
          <w:sz w:val="18"/>
          <w:szCs w:val="18"/>
          <w:vertAlign w:val="superscript"/>
        </w:rPr>
        <w:t>g</w:t>
      </w:r>
      <w:r>
        <w:rPr>
          <w:i/>
          <w:sz w:val="18"/>
          <w:szCs w:val="18"/>
        </w:rPr>
        <w:tab/>
      </w:r>
      <w:r w:rsidRPr="00E620B8">
        <w:rPr>
          <w:i/>
          <w:sz w:val="18"/>
          <w:szCs w:val="18"/>
        </w:rPr>
        <w:t>Chlorosilanes (UN Nos. 3361, 3362) shall not be transported as excepted quantities</w:t>
      </w:r>
      <w:r w:rsidRPr="00E620B8">
        <w:rPr>
          <w:i/>
          <w:sz w:val="18"/>
          <w:szCs w:val="18"/>
          <w:lang w:val="en-US"/>
        </w:rPr>
        <w:t>;</w:t>
      </w:r>
      <w:r w:rsidRPr="00E620B8">
        <w:rPr>
          <w:i/>
          <w:sz w:val="18"/>
          <w:szCs w:val="18"/>
        </w:rPr>
        <w:t xml:space="preserve"> </w:t>
      </w:r>
    </w:p>
    <w:p w:rsidR="005D207B" w:rsidRPr="00E620B8" w:rsidRDefault="005D207B" w:rsidP="005D207B">
      <w:pPr>
        <w:pStyle w:val="SingleTxtG"/>
        <w:tabs>
          <w:tab w:val="left" w:pos="1418"/>
        </w:tabs>
        <w:rPr>
          <w:i/>
          <w:sz w:val="18"/>
          <w:szCs w:val="18"/>
        </w:rPr>
      </w:pPr>
      <w:r w:rsidRPr="00682BBA">
        <w:rPr>
          <w:b/>
          <w:sz w:val="18"/>
          <w:szCs w:val="18"/>
          <w:vertAlign w:val="superscript"/>
        </w:rPr>
        <w:t>h</w:t>
      </w:r>
      <w:r>
        <w:rPr>
          <w:i/>
          <w:sz w:val="18"/>
          <w:szCs w:val="18"/>
        </w:rPr>
        <w:tab/>
      </w:r>
      <w:r w:rsidRPr="00E620B8">
        <w:rPr>
          <w:i/>
          <w:sz w:val="18"/>
          <w:szCs w:val="18"/>
        </w:rPr>
        <w:t xml:space="preserve">UN Nos. 2215 (molten), 2576, 2803 and 2809 shall not be transported as excepted quantities; </w:t>
      </w:r>
    </w:p>
    <w:p w:rsidR="005D207B" w:rsidRPr="00E620B8" w:rsidRDefault="005D207B" w:rsidP="005D207B">
      <w:pPr>
        <w:pStyle w:val="SingleTxtG"/>
        <w:tabs>
          <w:tab w:val="left" w:pos="1418"/>
        </w:tabs>
        <w:rPr>
          <w:i/>
          <w:sz w:val="18"/>
          <w:szCs w:val="18"/>
        </w:rPr>
      </w:pPr>
      <w:r w:rsidRPr="00682BBA">
        <w:rPr>
          <w:b/>
          <w:sz w:val="18"/>
          <w:szCs w:val="18"/>
          <w:vertAlign w:val="superscript"/>
        </w:rPr>
        <w:t>i</w:t>
      </w:r>
      <w:r>
        <w:rPr>
          <w:i/>
          <w:sz w:val="18"/>
          <w:szCs w:val="18"/>
        </w:rPr>
        <w:tab/>
      </w:r>
      <w:r w:rsidRPr="00E620B8">
        <w:rPr>
          <w:i/>
          <w:sz w:val="18"/>
          <w:szCs w:val="18"/>
        </w:rPr>
        <w:t>Chlorosilanes (UN Nos. 1724, 1728, 1747, 1753, 1762, 1763, 1766, 1767, 1769, 1771, 1781, 1784, 1799, 1800, 1801, 1804, 1816, 1818, 2434, 2435, 2437, 2986, 2987) shall not be transported as excepted quantities.</w:t>
      </w:r>
    </w:p>
    <w:p w:rsidR="005D207B" w:rsidRPr="00E620B8" w:rsidRDefault="005D207B" w:rsidP="005D207B">
      <w:pPr>
        <w:pStyle w:val="SingleTxtG"/>
        <w:tabs>
          <w:tab w:val="left" w:pos="1418"/>
        </w:tabs>
        <w:rPr>
          <w:i/>
          <w:sz w:val="18"/>
          <w:szCs w:val="18"/>
          <w:lang w:val="en-US"/>
        </w:rPr>
      </w:pPr>
      <w:r w:rsidRPr="00682BBA">
        <w:rPr>
          <w:b/>
          <w:sz w:val="18"/>
          <w:szCs w:val="18"/>
          <w:vertAlign w:val="superscript"/>
        </w:rPr>
        <w:t>j</w:t>
      </w:r>
      <w:r>
        <w:rPr>
          <w:i/>
          <w:sz w:val="18"/>
          <w:szCs w:val="18"/>
        </w:rPr>
        <w:tab/>
      </w:r>
      <w:r w:rsidRPr="00E620B8">
        <w:rPr>
          <w:i/>
          <w:sz w:val="18"/>
          <w:szCs w:val="18"/>
        </w:rPr>
        <w:t xml:space="preserve">Code E1 applies for UN Nos. 3334 and 3335. UN Nos. 1845, 2807, 3245, 3257 and 3258 shall not be transported as excepted quantities; </w:t>
      </w:r>
    </w:p>
    <w:p w:rsidR="005D207B" w:rsidRPr="00E620B8" w:rsidRDefault="005D207B" w:rsidP="005D207B">
      <w:pPr>
        <w:pStyle w:val="SingleTxtG"/>
        <w:tabs>
          <w:tab w:val="left" w:pos="1418"/>
        </w:tabs>
        <w:rPr>
          <w:i/>
          <w:sz w:val="18"/>
          <w:szCs w:val="18"/>
        </w:rPr>
      </w:pPr>
      <w:r w:rsidRPr="00682BBA">
        <w:rPr>
          <w:b/>
          <w:sz w:val="18"/>
          <w:szCs w:val="18"/>
          <w:vertAlign w:val="superscript"/>
        </w:rPr>
        <w:t>k</w:t>
      </w:r>
      <w:r>
        <w:rPr>
          <w:i/>
          <w:sz w:val="18"/>
          <w:szCs w:val="18"/>
        </w:rPr>
        <w:tab/>
      </w:r>
      <w:r w:rsidRPr="00E620B8">
        <w:rPr>
          <w:i/>
          <w:sz w:val="18"/>
          <w:szCs w:val="18"/>
        </w:rPr>
        <w:t>These are substances which are assigned Special Provision 354 in column (6) of the Dangerous Goods List and “TOXIC BY INHALATION” N.O.S entries.</w:t>
      </w:r>
    </w:p>
    <w:p w:rsidR="005D207B" w:rsidRPr="00863F15" w:rsidRDefault="005D207B" w:rsidP="005D207B">
      <w:pPr>
        <w:pStyle w:val="SingleTxtG"/>
      </w:pPr>
      <w:r w:rsidRPr="00863F15">
        <w:t>The meaning of the Codes in the Table above is explained in 3.5.1 of the Model Regulations.</w:t>
      </w:r>
      <w:r w:rsidR="00231F35">
        <w:t>”.</w:t>
      </w:r>
    </w:p>
    <w:p w:rsidR="005D207B" w:rsidRDefault="005D207B" w:rsidP="005D207B">
      <w:pPr>
        <w:pStyle w:val="SingleTxtG"/>
      </w:pPr>
      <w:r w:rsidRPr="00162D8F">
        <w:rPr>
          <w:i/>
          <w:iCs/>
        </w:rPr>
        <w:t>(</w:t>
      </w:r>
      <w:r w:rsidRPr="00245144">
        <w:rPr>
          <w:i/>
          <w:iCs/>
        </w:rPr>
        <w:t>Reference document: ST/SG/AC.10/C.3/2016/78).</w:t>
      </w:r>
    </w:p>
    <w:p w:rsidR="005D207B" w:rsidRDefault="005D207B">
      <w:pPr>
        <w:suppressAutoHyphens w:val="0"/>
        <w:spacing w:line="240" w:lineRule="auto"/>
        <w:rPr>
          <w:b/>
          <w:sz w:val="24"/>
        </w:rPr>
      </w:pPr>
      <w:r>
        <w:br w:type="page"/>
      </w:r>
    </w:p>
    <w:p w:rsidR="00276FAD" w:rsidRDefault="00276FAD" w:rsidP="00276FAD">
      <w:pPr>
        <w:pStyle w:val="HChG"/>
      </w:pPr>
      <w:r w:rsidRPr="00EF2646">
        <w:lastRenderedPageBreak/>
        <w:t>Annex I</w:t>
      </w:r>
      <w:r>
        <w:t>V</w:t>
      </w:r>
    </w:p>
    <w:p w:rsidR="005D207B" w:rsidRPr="004121B7" w:rsidRDefault="005D207B" w:rsidP="005D207B">
      <w:pPr>
        <w:pStyle w:val="H1G"/>
      </w:pPr>
      <w:r>
        <w:tab/>
      </w:r>
      <w:r>
        <w:tab/>
        <w:t>Corrections</w:t>
      </w:r>
      <w:r w:rsidRPr="004121B7">
        <w:t xml:space="preserve"> to the 19th revised edition of the </w:t>
      </w:r>
      <w:r>
        <w:t>United Nations</w:t>
      </w:r>
      <w:r w:rsidRPr="004121B7">
        <w:t> Recommendations on the Transport of Dangerous Goods,</w:t>
      </w:r>
      <w:r w:rsidRPr="004121B7">
        <w:br/>
        <w:t>Model Regulations (ST/SG/AC.10/1/Rev.19)</w:t>
      </w:r>
    </w:p>
    <w:p w:rsidR="002F3135" w:rsidRPr="00273D86" w:rsidRDefault="002F3135" w:rsidP="002F3135">
      <w:pPr>
        <w:pStyle w:val="SingleTxtG"/>
      </w:pPr>
      <w:r w:rsidRPr="00162D8F">
        <w:rPr>
          <w:i/>
          <w:iCs/>
        </w:rPr>
        <w:t>(Reference document:</w:t>
      </w:r>
      <w:r>
        <w:rPr>
          <w:i/>
          <w:iCs/>
        </w:rPr>
        <w:t xml:space="preserve"> Informal document INF.28)</w:t>
      </w:r>
      <w:r>
        <w:tab/>
      </w:r>
      <w:r>
        <w:tab/>
      </w:r>
    </w:p>
    <w:p w:rsidR="00276FAD" w:rsidRDefault="00276FAD" w:rsidP="00276FAD">
      <w:pPr>
        <w:pStyle w:val="H23G"/>
      </w:pPr>
      <w:r>
        <w:tab/>
      </w:r>
      <w:r w:rsidR="00573AF8">
        <w:t>1.</w:t>
      </w:r>
      <w:r>
        <w:tab/>
        <w:t xml:space="preserve">Chapter 2.7, </w:t>
      </w:r>
      <w:r w:rsidR="005D207B" w:rsidRPr="00273D86">
        <w:t>2.7.2.3.2 (a) (ii) and 2.7.2.3.2 (b) (ii), at the end of sub-paragraph</w:t>
      </w:r>
      <w:r w:rsidR="00DE3AC9">
        <w:t>s (ii)</w:t>
      </w:r>
      <w:r w:rsidR="005D207B" w:rsidRPr="00273D86">
        <w:t xml:space="preserve"> </w:t>
      </w:r>
    </w:p>
    <w:p w:rsidR="005D207B" w:rsidRDefault="00276FAD" w:rsidP="005D207B">
      <w:pPr>
        <w:pStyle w:val="SingleTxtG"/>
        <w:rPr>
          <w:b/>
        </w:rPr>
      </w:pPr>
      <w:r w:rsidRPr="00276FAD">
        <w:rPr>
          <w:i/>
        </w:rPr>
        <w:t>For</w:t>
      </w:r>
      <w:r>
        <w:t xml:space="preserve"> or</w:t>
      </w:r>
      <w:r w:rsidR="005D207B" w:rsidRPr="00273D86">
        <w:t xml:space="preserve"> </w:t>
      </w:r>
      <w:r w:rsidRPr="00276FAD">
        <w:rPr>
          <w:i/>
        </w:rPr>
        <w:t>read</w:t>
      </w:r>
      <w:r>
        <w:t xml:space="preserve"> and</w:t>
      </w:r>
    </w:p>
    <w:p w:rsidR="005D207B" w:rsidRPr="00273D86" w:rsidRDefault="00276FAD" w:rsidP="00276FAD">
      <w:pPr>
        <w:pStyle w:val="H23G"/>
      </w:pPr>
      <w:r>
        <w:tab/>
      </w:r>
      <w:r w:rsidR="00573AF8">
        <w:t>2.</w:t>
      </w:r>
      <w:r>
        <w:tab/>
      </w:r>
      <w:r w:rsidR="005D207B" w:rsidRPr="00273D86">
        <w:t>Chapter 3.2</w:t>
      </w:r>
      <w:r>
        <w:t xml:space="preserve">, </w:t>
      </w:r>
      <w:r w:rsidR="005D207B" w:rsidRPr="00273D86">
        <w:t xml:space="preserve">Dangerous Goods List, </w:t>
      </w:r>
      <w:r>
        <w:t xml:space="preserve">for </w:t>
      </w:r>
      <w:r w:rsidRPr="00276FAD">
        <w:t>UN 2908</w:t>
      </w:r>
      <w:r>
        <w:t xml:space="preserve">, in </w:t>
      </w:r>
      <w:r w:rsidRPr="00276FAD">
        <w:t>Column (6)</w:t>
      </w:r>
    </w:p>
    <w:p w:rsidR="005D207B" w:rsidRPr="00273D86" w:rsidRDefault="005D207B" w:rsidP="005D207B">
      <w:pPr>
        <w:pStyle w:val="SingleTxtG"/>
      </w:pPr>
      <w:r w:rsidRPr="00276FAD">
        <w:rPr>
          <w:i/>
        </w:rPr>
        <w:t>Insert</w:t>
      </w:r>
      <w:r w:rsidRPr="00273D86">
        <w:t xml:space="preserve"> 368</w:t>
      </w:r>
    </w:p>
    <w:p w:rsidR="00276FAD" w:rsidRPr="00273D86" w:rsidRDefault="00276FAD" w:rsidP="00276FAD">
      <w:pPr>
        <w:pStyle w:val="H23G"/>
      </w:pPr>
      <w:r>
        <w:tab/>
      </w:r>
      <w:r w:rsidR="00573AF8">
        <w:t>3.</w:t>
      </w:r>
      <w:r>
        <w:tab/>
      </w:r>
      <w:r w:rsidRPr="00273D86">
        <w:t>Chapter 3.2</w:t>
      </w:r>
      <w:r>
        <w:t xml:space="preserve">, </w:t>
      </w:r>
      <w:r w:rsidRPr="00273D86">
        <w:t xml:space="preserve">Dangerous Goods List, </w:t>
      </w:r>
      <w:r>
        <w:t xml:space="preserve">for </w:t>
      </w:r>
      <w:r w:rsidRPr="00276FAD">
        <w:t xml:space="preserve">UN </w:t>
      </w:r>
      <w:r>
        <w:t xml:space="preserve">2913, in </w:t>
      </w:r>
      <w:r w:rsidRPr="00276FAD">
        <w:t>Column (6)</w:t>
      </w:r>
    </w:p>
    <w:p w:rsidR="005D207B" w:rsidRPr="00273D86" w:rsidRDefault="005D207B" w:rsidP="005D207B">
      <w:pPr>
        <w:pStyle w:val="SingleTxtG"/>
      </w:pPr>
      <w:r w:rsidRPr="00276FAD">
        <w:rPr>
          <w:i/>
        </w:rPr>
        <w:t>Insert</w:t>
      </w:r>
      <w:r w:rsidRPr="00273D86">
        <w:t xml:space="preserve"> 325</w:t>
      </w:r>
    </w:p>
    <w:p w:rsidR="00276FAD" w:rsidRPr="00273D86" w:rsidRDefault="00276FAD" w:rsidP="00276FAD">
      <w:pPr>
        <w:pStyle w:val="H23G"/>
      </w:pPr>
      <w:r>
        <w:tab/>
      </w:r>
      <w:r w:rsidR="00573AF8">
        <w:t>4.</w:t>
      </w:r>
      <w:r>
        <w:tab/>
      </w:r>
      <w:r w:rsidRPr="00273D86">
        <w:t>Chapter 3.2</w:t>
      </w:r>
      <w:r>
        <w:t xml:space="preserve">, </w:t>
      </w:r>
      <w:r w:rsidRPr="00273D86">
        <w:t xml:space="preserve">Dangerous Goods List, </w:t>
      </w:r>
      <w:r>
        <w:t xml:space="preserve">for </w:t>
      </w:r>
      <w:r w:rsidRPr="00276FAD">
        <w:t xml:space="preserve">UN </w:t>
      </w:r>
      <w:r w:rsidR="00F25849">
        <w:t>2913</w:t>
      </w:r>
      <w:r>
        <w:t xml:space="preserve">, in </w:t>
      </w:r>
      <w:r w:rsidRPr="00276FAD">
        <w:t>Column (6)</w:t>
      </w:r>
    </w:p>
    <w:p w:rsidR="005D207B" w:rsidRPr="00273D86" w:rsidRDefault="005D207B" w:rsidP="005D207B">
      <w:pPr>
        <w:pStyle w:val="SingleTxtG"/>
      </w:pPr>
      <w:r w:rsidRPr="00F25849">
        <w:rPr>
          <w:i/>
        </w:rPr>
        <w:t>Delete</w:t>
      </w:r>
      <w:r w:rsidRPr="00273D86">
        <w:t xml:space="preserve"> 336</w:t>
      </w:r>
    </w:p>
    <w:p w:rsidR="00F25849" w:rsidRPr="00273D86" w:rsidRDefault="00F25849" w:rsidP="00F25849">
      <w:pPr>
        <w:pStyle w:val="H23G"/>
      </w:pPr>
      <w:r>
        <w:tab/>
      </w:r>
      <w:r w:rsidR="00573AF8">
        <w:t>5.</w:t>
      </w:r>
      <w:r>
        <w:tab/>
      </w:r>
      <w:r w:rsidRPr="00273D86">
        <w:t>Chapter 3.2</w:t>
      </w:r>
      <w:r>
        <w:t xml:space="preserve">, </w:t>
      </w:r>
      <w:r w:rsidRPr="00273D86">
        <w:t xml:space="preserve">Dangerous Goods List, </w:t>
      </w:r>
      <w:r>
        <w:t xml:space="preserve">for </w:t>
      </w:r>
      <w:r w:rsidRPr="00276FAD">
        <w:t xml:space="preserve">UN </w:t>
      </w:r>
      <w:r w:rsidRPr="00273D86">
        <w:t>3326</w:t>
      </w:r>
      <w:r>
        <w:t xml:space="preserve">, in </w:t>
      </w:r>
      <w:r w:rsidRPr="00276FAD">
        <w:t>Column (6)</w:t>
      </w:r>
    </w:p>
    <w:p w:rsidR="005D207B" w:rsidRPr="00273D86" w:rsidRDefault="005D207B" w:rsidP="005D207B">
      <w:pPr>
        <w:pStyle w:val="SingleTxtG"/>
      </w:pPr>
      <w:r w:rsidRPr="00F25849">
        <w:rPr>
          <w:i/>
        </w:rPr>
        <w:t>Insert</w:t>
      </w:r>
      <w:r w:rsidRPr="00273D86">
        <w:t xml:space="preserve"> 326</w:t>
      </w:r>
    </w:p>
    <w:p w:rsidR="00F25849" w:rsidRPr="00273D86" w:rsidRDefault="00F25849" w:rsidP="00F25849">
      <w:pPr>
        <w:pStyle w:val="H23G"/>
      </w:pPr>
      <w:r>
        <w:tab/>
      </w:r>
      <w:r w:rsidR="00573AF8">
        <w:t>6.</w:t>
      </w:r>
      <w:r>
        <w:tab/>
      </w:r>
      <w:r w:rsidRPr="00273D86">
        <w:t>Chapter 3.2</w:t>
      </w:r>
      <w:r>
        <w:t xml:space="preserve">, </w:t>
      </w:r>
      <w:r w:rsidRPr="00273D86">
        <w:t xml:space="preserve">Dangerous Goods List, </w:t>
      </w:r>
      <w:r>
        <w:t xml:space="preserve">for </w:t>
      </w:r>
      <w:r w:rsidRPr="00276FAD">
        <w:t xml:space="preserve">UN </w:t>
      </w:r>
      <w:r w:rsidRPr="00273D86">
        <w:t>3326</w:t>
      </w:r>
      <w:r>
        <w:t xml:space="preserve">, in </w:t>
      </w:r>
      <w:r w:rsidRPr="00276FAD">
        <w:t>Column (6)</w:t>
      </w:r>
    </w:p>
    <w:p w:rsidR="005D207B" w:rsidRDefault="005D207B" w:rsidP="005D207B">
      <w:pPr>
        <w:pStyle w:val="SingleTxtG"/>
      </w:pPr>
      <w:r w:rsidRPr="00F25849">
        <w:rPr>
          <w:i/>
        </w:rPr>
        <w:t>Delete</w:t>
      </w:r>
      <w:r w:rsidRPr="00273D86">
        <w:t xml:space="preserve"> 336</w:t>
      </w:r>
    </w:p>
    <w:p w:rsidR="005D207B" w:rsidRPr="00273D86" w:rsidRDefault="00F25849" w:rsidP="00F25849">
      <w:pPr>
        <w:pStyle w:val="H23G"/>
      </w:pPr>
      <w:r>
        <w:tab/>
      </w:r>
      <w:r w:rsidR="00573AF8">
        <w:t>7.</w:t>
      </w:r>
      <w:r>
        <w:tab/>
        <w:t xml:space="preserve">Chapter 3.3, </w:t>
      </w:r>
      <w:r w:rsidR="005D207B" w:rsidRPr="00273D86">
        <w:t>Special Provision 369, second paragraph</w:t>
      </w:r>
      <w:r>
        <w:t>, at the end</w:t>
      </w:r>
    </w:p>
    <w:p w:rsidR="005D207B" w:rsidRDefault="00F25849" w:rsidP="005D207B">
      <w:pPr>
        <w:pStyle w:val="SingleTxtG"/>
      </w:pPr>
      <w:r>
        <w:rPr>
          <w:i/>
        </w:rPr>
        <w:t>For</w:t>
      </w:r>
      <w:r>
        <w:t xml:space="preserve"> 2.7.2.3.6</w:t>
      </w:r>
      <w:r w:rsidR="005D207B" w:rsidRPr="00273D86">
        <w:t xml:space="preserve"> </w:t>
      </w:r>
      <w:r w:rsidRPr="00F25849">
        <w:rPr>
          <w:i/>
        </w:rPr>
        <w:t>read</w:t>
      </w:r>
      <w:r>
        <w:t xml:space="preserve"> 2.7.2.3.5</w:t>
      </w:r>
    </w:p>
    <w:p w:rsidR="005D207B" w:rsidRDefault="00267F02" w:rsidP="00267F02">
      <w:pPr>
        <w:pStyle w:val="H23G"/>
      </w:pPr>
      <w:r>
        <w:tab/>
      </w:r>
      <w:r w:rsidR="00573AF8">
        <w:t>8.</w:t>
      </w:r>
      <w:r>
        <w:tab/>
      </w:r>
      <w:r w:rsidR="005D207B">
        <w:t>Chapter 4.1</w:t>
      </w:r>
      <w:r>
        <w:t xml:space="preserve">, </w:t>
      </w:r>
      <w:r w:rsidRPr="00273D86">
        <w:rPr>
          <w:bCs/>
        </w:rPr>
        <w:t>Packing Instruction P603, in the Special packing provision</w:t>
      </w:r>
    </w:p>
    <w:p w:rsidR="005D207B" w:rsidRDefault="00267F02" w:rsidP="005D207B">
      <w:pPr>
        <w:pStyle w:val="SingleTxtG"/>
      </w:pPr>
      <w:r w:rsidRPr="00267F02">
        <w:rPr>
          <w:i/>
        </w:rPr>
        <w:t>D</w:t>
      </w:r>
      <w:r w:rsidR="005D207B" w:rsidRPr="00267F02">
        <w:rPr>
          <w:i/>
        </w:rPr>
        <w:t>elete</w:t>
      </w:r>
      <w:r>
        <w:rPr>
          <w:i/>
        </w:rPr>
        <w:t xml:space="preserve"> </w:t>
      </w:r>
      <w:r>
        <w:t>and 6.4.11.2</w:t>
      </w:r>
    </w:p>
    <w:p w:rsidR="005D207B" w:rsidRDefault="00267F02" w:rsidP="00267F02">
      <w:pPr>
        <w:pStyle w:val="H23G"/>
      </w:pPr>
      <w:r>
        <w:tab/>
      </w:r>
      <w:r w:rsidR="00573AF8">
        <w:t>9.</w:t>
      </w:r>
      <w:r>
        <w:tab/>
      </w:r>
      <w:r w:rsidR="005D207B">
        <w:t>Chapter 6.4</w:t>
      </w:r>
      <w:r>
        <w:t xml:space="preserve">, </w:t>
      </w:r>
      <w:r w:rsidRPr="00267F02">
        <w:t>6.4.2.11, in the fourth line</w:t>
      </w:r>
    </w:p>
    <w:p w:rsidR="005D207B" w:rsidRDefault="00267F02" w:rsidP="005D207B">
      <w:pPr>
        <w:pStyle w:val="SingleTxtG"/>
      </w:pPr>
      <w:r w:rsidRPr="00267F02">
        <w:rPr>
          <w:bCs/>
          <w:i/>
        </w:rPr>
        <w:t>For</w:t>
      </w:r>
      <w:r>
        <w:rPr>
          <w:bCs/>
        </w:rPr>
        <w:t xml:space="preserve"> </w:t>
      </w:r>
      <w:r>
        <w:t>4.1.9.1.10 and 4.1.9.1.11</w:t>
      </w:r>
      <w:r w:rsidR="005D207B">
        <w:t xml:space="preserve"> </w:t>
      </w:r>
      <w:r>
        <w:rPr>
          <w:i/>
        </w:rPr>
        <w:t>read</w:t>
      </w:r>
      <w:r>
        <w:t xml:space="preserve"> </w:t>
      </w:r>
      <w:r w:rsidR="005D207B">
        <w:t>4.1.9.1.11 and 4.1.9.</w:t>
      </w:r>
      <w:r>
        <w:t>1.12</w:t>
      </w:r>
    </w:p>
    <w:p w:rsidR="002F3135" w:rsidRDefault="002F3135" w:rsidP="002F3135">
      <w:pPr>
        <w:pStyle w:val="H23G"/>
      </w:pPr>
      <w:r>
        <w:tab/>
      </w:r>
      <w:r w:rsidR="00573AF8">
        <w:t>10.</w:t>
      </w:r>
      <w:r>
        <w:tab/>
        <w:t xml:space="preserve">Chapter 6.4, </w:t>
      </w:r>
      <w:r w:rsidRPr="00273D86">
        <w:rPr>
          <w:bCs/>
        </w:rPr>
        <w:t>6.4.23.19</w:t>
      </w:r>
    </w:p>
    <w:p w:rsidR="005D207B" w:rsidRDefault="002F3135" w:rsidP="005D207B">
      <w:pPr>
        <w:pStyle w:val="SingleTxtG"/>
      </w:pPr>
      <w:r w:rsidRPr="002F3135">
        <w:rPr>
          <w:bCs/>
          <w:i/>
        </w:rPr>
        <w:t>For</w:t>
      </w:r>
      <w:r>
        <w:rPr>
          <w:bCs/>
        </w:rPr>
        <w:t xml:space="preserve"> </w:t>
      </w:r>
      <w:r w:rsidR="005D207B">
        <w:rPr>
          <w:bCs/>
        </w:rPr>
        <w:t>u</w:t>
      </w:r>
      <w:r w:rsidR="005D207B">
        <w:t xml:space="preserve">nder 6.4.22.2, 6.4.22.3, </w:t>
      </w:r>
      <w:r>
        <w:t>6.4.22.4, 6.4.24.2 and 6.4.24.3</w:t>
      </w:r>
      <w:r w:rsidR="005D207B">
        <w:t xml:space="preserve"> </w:t>
      </w:r>
      <w:r w:rsidRPr="002F3135">
        <w:rPr>
          <w:i/>
        </w:rPr>
        <w:t>read</w:t>
      </w:r>
      <w:r>
        <w:t xml:space="preserve"> </w:t>
      </w:r>
      <w:r w:rsidR="005D207B">
        <w:t>under</w:t>
      </w:r>
      <w:r w:rsidR="005D207B">
        <w:rPr>
          <w:i/>
        </w:rPr>
        <w:t xml:space="preserve"> </w:t>
      </w:r>
      <w:r w:rsidR="005D207B">
        <w:t>6.4.22.2, 6</w:t>
      </w:r>
      <w:r>
        <w:t>.4.22.3, 6.4.22.4 and 6.4.24.2</w:t>
      </w:r>
    </w:p>
    <w:p w:rsidR="002D2D54" w:rsidRDefault="002D2D54" w:rsidP="002D2D54">
      <w:pPr>
        <w:pStyle w:val="SingleTxtG"/>
        <w:spacing w:before="240" w:after="0"/>
        <w:jc w:val="center"/>
        <w:rPr>
          <w:iCs/>
          <w:u w:val="single"/>
          <w:lang w:val="fr-FR"/>
        </w:rPr>
      </w:pPr>
      <w:r>
        <w:rPr>
          <w:iCs/>
          <w:u w:val="single"/>
          <w:lang w:val="fr-FR"/>
        </w:rPr>
        <w:tab/>
      </w:r>
      <w:r>
        <w:rPr>
          <w:iCs/>
          <w:u w:val="single"/>
          <w:lang w:val="fr-FR"/>
        </w:rPr>
        <w:tab/>
      </w:r>
      <w:r>
        <w:rPr>
          <w:iCs/>
          <w:u w:val="single"/>
          <w:lang w:val="fr-FR"/>
        </w:rPr>
        <w:tab/>
      </w:r>
    </w:p>
    <w:p w:rsidR="00DE3AC9" w:rsidRDefault="00DE3AC9" w:rsidP="005D207B">
      <w:pPr>
        <w:pStyle w:val="SingleTxtG"/>
      </w:pPr>
    </w:p>
    <w:sectPr w:rsidR="00DE3AC9" w:rsidSect="00D9763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4F" w:rsidRDefault="004B0E4F"/>
  </w:endnote>
  <w:endnote w:type="continuationSeparator" w:id="0">
    <w:p w:rsidR="004B0E4F" w:rsidRDefault="004B0E4F"/>
  </w:endnote>
  <w:endnote w:type="continuationNotice" w:id="1">
    <w:p w:rsidR="004B0E4F" w:rsidRDefault="004B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F" w:rsidRPr="00D9763A" w:rsidRDefault="004B0E4F" w:rsidP="00D9763A">
    <w:pPr>
      <w:pStyle w:val="Footer"/>
      <w:tabs>
        <w:tab w:val="right" w:pos="9638"/>
      </w:tabs>
      <w:rPr>
        <w:sz w:val="18"/>
      </w:rPr>
    </w:pPr>
    <w:r w:rsidRPr="00D9763A">
      <w:rPr>
        <w:b/>
        <w:sz w:val="18"/>
      </w:rPr>
      <w:fldChar w:fldCharType="begin"/>
    </w:r>
    <w:r w:rsidRPr="00D9763A">
      <w:rPr>
        <w:b/>
        <w:sz w:val="18"/>
      </w:rPr>
      <w:instrText xml:space="preserve"> PAGE  \* MERGEFORMAT </w:instrText>
    </w:r>
    <w:r w:rsidRPr="00D9763A">
      <w:rPr>
        <w:b/>
        <w:sz w:val="18"/>
      </w:rPr>
      <w:fldChar w:fldCharType="separate"/>
    </w:r>
    <w:r w:rsidR="00367294">
      <w:rPr>
        <w:b/>
        <w:noProof/>
        <w:sz w:val="18"/>
      </w:rPr>
      <w:t>8</w:t>
    </w:r>
    <w:r w:rsidRPr="00D976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F" w:rsidRPr="00D9763A" w:rsidRDefault="004B0E4F" w:rsidP="00D9763A">
    <w:pPr>
      <w:pStyle w:val="Footer"/>
      <w:tabs>
        <w:tab w:val="right" w:pos="9638"/>
      </w:tabs>
      <w:rPr>
        <w:b/>
        <w:sz w:val="18"/>
      </w:rPr>
    </w:pPr>
    <w:r>
      <w:tab/>
    </w:r>
    <w:r w:rsidRPr="00D9763A">
      <w:rPr>
        <w:b/>
        <w:sz w:val="18"/>
      </w:rPr>
      <w:fldChar w:fldCharType="begin"/>
    </w:r>
    <w:r w:rsidRPr="00D9763A">
      <w:rPr>
        <w:b/>
        <w:sz w:val="18"/>
      </w:rPr>
      <w:instrText xml:space="preserve"> PAGE  \* MERGEFORMAT </w:instrText>
    </w:r>
    <w:r w:rsidRPr="00D9763A">
      <w:rPr>
        <w:b/>
        <w:sz w:val="18"/>
      </w:rPr>
      <w:fldChar w:fldCharType="separate"/>
    </w:r>
    <w:r w:rsidR="00367294">
      <w:rPr>
        <w:b/>
        <w:noProof/>
        <w:sz w:val="18"/>
      </w:rPr>
      <w:t>7</w:t>
    </w:r>
    <w:r w:rsidRPr="00D9763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4F" w:rsidRPr="000B175B" w:rsidRDefault="004B0E4F" w:rsidP="000B175B">
      <w:pPr>
        <w:tabs>
          <w:tab w:val="right" w:pos="2155"/>
        </w:tabs>
        <w:spacing w:after="80"/>
        <w:ind w:left="680"/>
        <w:rPr>
          <w:u w:val="single"/>
        </w:rPr>
      </w:pPr>
      <w:r>
        <w:rPr>
          <w:u w:val="single"/>
        </w:rPr>
        <w:tab/>
      </w:r>
    </w:p>
  </w:footnote>
  <w:footnote w:type="continuationSeparator" w:id="0">
    <w:p w:rsidR="004B0E4F" w:rsidRPr="00FC68B7" w:rsidRDefault="004B0E4F" w:rsidP="00FC68B7">
      <w:pPr>
        <w:tabs>
          <w:tab w:val="left" w:pos="2155"/>
        </w:tabs>
        <w:spacing w:after="80"/>
        <w:ind w:left="680"/>
        <w:rPr>
          <w:u w:val="single"/>
        </w:rPr>
      </w:pPr>
      <w:r>
        <w:rPr>
          <w:u w:val="single"/>
        </w:rPr>
        <w:tab/>
      </w:r>
    </w:p>
  </w:footnote>
  <w:footnote w:type="continuationNotice" w:id="1">
    <w:p w:rsidR="004B0E4F" w:rsidRDefault="004B0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F" w:rsidRPr="00D9763A" w:rsidRDefault="004B0E4F" w:rsidP="002B4757">
    <w:pPr>
      <w:pStyle w:val="Header"/>
    </w:pPr>
    <w:r>
      <w:t>ST/SG/AC.10/C.3/100/Add.1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F" w:rsidRPr="00D9763A" w:rsidRDefault="004B0E4F" w:rsidP="002B4757">
    <w:pPr>
      <w:pStyle w:val="Header"/>
      <w:jc w:val="right"/>
    </w:pPr>
    <w:r>
      <w:t>ST/SG/AC.10/C.3/100/Add.1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3A"/>
    <w:rsid w:val="00050F6B"/>
    <w:rsid w:val="00057D5D"/>
    <w:rsid w:val="00057FD8"/>
    <w:rsid w:val="00072C8C"/>
    <w:rsid w:val="00091419"/>
    <w:rsid w:val="000931C0"/>
    <w:rsid w:val="000B175B"/>
    <w:rsid w:val="000B3A0F"/>
    <w:rsid w:val="000E0415"/>
    <w:rsid w:val="0011582C"/>
    <w:rsid w:val="00117787"/>
    <w:rsid w:val="00131D42"/>
    <w:rsid w:val="001633FB"/>
    <w:rsid w:val="001B4B04"/>
    <w:rsid w:val="001C6663"/>
    <w:rsid w:val="001C7895"/>
    <w:rsid w:val="001D26DF"/>
    <w:rsid w:val="001D2FDC"/>
    <w:rsid w:val="001E2CF7"/>
    <w:rsid w:val="00211E0B"/>
    <w:rsid w:val="002309A7"/>
    <w:rsid w:val="00231F35"/>
    <w:rsid w:val="00237785"/>
    <w:rsid w:val="00241466"/>
    <w:rsid w:val="00246745"/>
    <w:rsid w:val="00267F02"/>
    <w:rsid w:val="002725CA"/>
    <w:rsid w:val="00276FAD"/>
    <w:rsid w:val="00280EB7"/>
    <w:rsid w:val="002B1CDA"/>
    <w:rsid w:val="002B4757"/>
    <w:rsid w:val="002D2D54"/>
    <w:rsid w:val="002F3135"/>
    <w:rsid w:val="002F473C"/>
    <w:rsid w:val="003107FA"/>
    <w:rsid w:val="003229D8"/>
    <w:rsid w:val="00367294"/>
    <w:rsid w:val="0039277A"/>
    <w:rsid w:val="003972E0"/>
    <w:rsid w:val="003A5F36"/>
    <w:rsid w:val="003C2CC4"/>
    <w:rsid w:val="003D4B23"/>
    <w:rsid w:val="00421EF2"/>
    <w:rsid w:val="004325CB"/>
    <w:rsid w:val="00437F3F"/>
    <w:rsid w:val="00442AC9"/>
    <w:rsid w:val="00446DE4"/>
    <w:rsid w:val="0046615A"/>
    <w:rsid w:val="00475973"/>
    <w:rsid w:val="004B0E4F"/>
    <w:rsid w:val="004B2C9D"/>
    <w:rsid w:val="00527910"/>
    <w:rsid w:val="005420F2"/>
    <w:rsid w:val="00573AF8"/>
    <w:rsid w:val="00576619"/>
    <w:rsid w:val="00590144"/>
    <w:rsid w:val="005B3DB3"/>
    <w:rsid w:val="005B4850"/>
    <w:rsid w:val="005D207B"/>
    <w:rsid w:val="005E2BB2"/>
    <w:rsid w:val="00611FC4"/>
    <w:rsid w:val="006176FB"/>
    <w:rsid w:val="0063419C"/>
    <w:rsid w:val="00640B26"/>
    <w:rsid w:val="006458DE"/>
    <w:rsid w:val="00682BBA"/>
    <w:rsid w:val="006A7392"/>
    <w:rsid w:val="006C0D34"/>
    <w:rsid w:val="006D741B"/>
    <w:rsid w:val="006E564B"/>
    <w:rsid w:val="0072632A"/>
    <w:rsid w:val="007264D9"/>
    <w:rsid w:val="00790791"/>
    <w:rsid w:val="007A1C5C"/>
    <w:rsid w:val="007B6BA5"/>
    <w:rsid w:val="007C3390"/>
    <w:rsid w:val="007C4F4B"/>
    <w:rsid w:val="007D0952"/>
    <w:rsid w:val="007F6611"/>
    <w:rsid w:val="008175E9"/>
    <w:rsid w:val="008242D7"/>
    <w:rsid w:val="0085269D"/>
    <w:rsid w:val="00856E7F"/>
    <w:rsid w:val="00871FD5"/>
    <w:rsid w:val="008979B1"/>
    <w:rsid w:val="008A6B25"/>
    <w:rsid w:val="008A6C4F"/>
    <w:rsid w:val="008E0E46"/>
    <w:rsid w:val="00901FED"/>
    <w:rsid w:val="00945A5D"/>
    <w:rsid w:val="00963CBA"/>
    <w:rsid w:val="0099124E"/>
    <w:rsid w:val="00991261"/>
    <w:rsid w:val="0099386C"/>
    <w:rsid w:val="009F0F06"/>
    <w:rsid w:val="00A1427D"/>
    <w:rsid w:val="00A56BA9"/>
    <w:rsid w:val="00A72F22"/>
    <w:rsid w:val="00A748A6"/>
    <w:rsid w:val="00A75EC9"/>
    <w:rsid w:val="00A81FD3"/>
    <w:rsid w:val="00A879A4"/>
    <w:rsid w:val="00A916E5"/>
    <w:rsid w:val="00AF67BC"/>
    <w:rsid w:val="00B30179"/>
    <w:rsid w:val="00B3317B"/>
    <w:rsid w:val="00B81E12"/>
    <w:rsid w:val="00B93068"/>
    <w:rsid w:val="00BC74E9"/>
    <w:rsid w:val="00BE618E"/>
    <w:rsid w:val="00C30446"/>
    <w:rsid w:val="00C463DD"/>
    <w:rsid w:val="00C62F76"/>
    <w:rsid w:val="00C745C3"/>
    <w:rsid w:val="00CE4A8F"/>
    <w:rsid w:val="00CF5DB3"/>
    <w:rsid w:val="00D2031B"/>
    <w:rsid w:val="00D25FE2"/>
    <w:rsid w:val="00D43252"/>
    <w:rsid w:val="00D753D8"/>
    <w:rsid w:val="00D96CC5"/>
    <w:rsid w:val="00D9763A"/>
    <w:rsid w:val="00D978C6"/>
    <w:rsid w:val="00DA4EA1"/>
    <w:rsid w:val="00DA67AD"/>
    <w:rsid w:val="00DE3AC9"/>
    <w:rsid w:val="00E05716"/>
    <w:rsid w:val="00E130AB"/>
    <w:rsid w:val="00E256E8"/>
    <w:rsid w:val="00E4071B"/>
    <w:rsid w:val="00E5644E"/>
    <w:rsid w:val="00E7260F"/>
    <w:rsid w:val="00E8535A"/>
    <w:rsid w:val="00E96630"/>
    <w:rsid w:val="00EA772F"/>
    <w:rsid w:val="00EB6832"/>
    <w:rsid w:val="00ED7A2A"/>
    <w:rsid w:val="00EE6107"/>
    <w:rsid w:val="00EF1D7F"/>
    <w:rsid w:val="00F25849"/>
    <w:rsid w:val="00F40E75"/>
    <w:rsid w:val="00F5083F"/>
    <w:rsid w:val="00F54674"/>
    <w:rsid w:val="00FC68B7"/>
    <w:rsid w:val="00FD6B2B"/>
    <w:rsid w:val="00FF03BB"/>
    <w:rsid w:val="00FF1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locked/>
    <w:rsid w:val="005D207B"/>
    <w:rPr>
      <w:b/>
      <w:sz w:val="28"/>
      <w:lang w:eastAsia="en-US"/>
    </w:rPr>
  </w:style>
  <w:style w:type="character" w:customStyle="1" w:styleId="H1GChar">
    <w:name w:val="_ H_1_G Char"/>
    <w:link w:val="H1G"/>
    <w:rsid w:val="005D207B"/>
    <w:rPr>
      <w:b/>
      <w:sz w:val="24"/>
      <w:lang w:eastAsia="en-US"/>
    </w:rPr>
  </w:style>
  <w:style w:type="character" w:customStyle="1" w:styleId="SingleTxtGChar">
    <w:name w:val="_ Single Txt_G Char"/>
    <w:link w:val="SingleTxtG"/>
    <w:qFormat/>
    <w:rsid w:val="005D207B"/>
    <w:rPr>
      <w:lang w:eastAsia="en-US"/>
    </w:rPr>
  </w:style>
  <w:style w:type="character" w:customStyle="1" w:styleId="H23GChar">
    <w:name w:val="_ H_2/3_G Char"/>
    <w:link w:val="H23G"/>
    <w:locked/>
    <w:rsid w:val="005D207B"/>
    <w:rPr>
      <w:b/>
      <w:lang w:eastAsia="en-US"/>
    </w:rPr>
  </w:style>
  <w:style w:type="character" w:customStyle="1" w:styleId="CommentTextChar">
    <w:name w:val="Comment Text Char"/>
    <w:basedOn w:val="DefaultParagraphFont"/>
    <w:link w:val="CommentText"/>
    <w:uiPriority w:val="99"/>
    <w:semiHidden/>
    <w:rsid w:val="005D207B"/>
    <w:rPr>
      <w:lang w:eastAsia="en-US"/>
    </w:rPr>
  </w:style>
  <w:style w:type="character" w:customStyle="1" w:styleId="SingleTxtGCar">
    <w:name w:val="_ Single Txt_G Car"/>
    <w:rsid w:val="00442AC9"/>
    <w:rPr>
      <w:lang w:val="en-GB" w:eastAsia="en-US" w:bidi="ar-SA"/>
    </w:rPr>
  </w:style>
  <w:style w:type="paragraph" w:styleId="BalloonText">
    <w:name w:val="Balloon Text"/>
    <w:basedOn w:val="Normal"/>
    <w:link w:val="BalloonTextChar"/>
    <w:rsid w:val="00E407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07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locked/>
    <w:rsid w:val="005D207B"/>
    <w:rPr>
      <w:b/>
      <w:sz w:val="28"/>
      <w:lang w:eastAsia="en-US"/>
    </w:rPr>
  </w:style>
  <w:style w:type="character" w:customStyle="1" w:styleId="H1GChar">
    <w:name w:val="_ H_1_G Char"/>
    <w:link w:val="H1G"/>
    <w:rsid w:val="005D207B"/>
    <w:rPr>
      <w:b/>
      <w:sz w:val="24"/>
      <w:lang w:eastAsia="en-US"/>
    </w:rPr>
  </w:style>
  <w:style w:type="character" w:customStyle="1" w:styleId="SingleTxtGChar">
    <w:name w:val="_ Single Txt_G Char"/>
    <w:link w:val="SingleTxtG"/>
    <w:qFormat/>
    <w:rsid w:val="005D207B"/>
    <w:rPr>
      <w:lang w:eastAsia="en-US"/>
    </w:rPr>
  </w:style>
  <w:style w:type="character" w:customStyle="1" w:styleId="H23GChar">
    <w:name w:val="_ H_2/3_G Char"/>
    <w:link w:val="H23G"/>
    <w:locked/>
    <w:rsid w:val="005D207B"/>
    <w:rPr>
      <w:b/>
      <w:lang w:eastAsia="en-US"/>
    </w:rPr>
  </w:style>
  <w:style w:type="character" w:customStyle="1" w:styleId="CommentTextChar">
    <w:name w:val="Comment Text Char"/>
    <w:basedOn w:val="DefaultParagraphFont"/>
    <w:link w:val="CommentText"/>
    <w:uiPriority w:val="99"/>
    <w:semiHidden/>
    <w:rsid w:val="005D207B"/>
    <w:rPr>
      <w:lang w:eastAsia="en-US"/>
    </w:rPr>
  </w:style>
  <w:style w:type="character" w:customStyle="1" w:styleId="SingleTxtGCar">
    <w:name w:val="_ Single Txt_G Car"/>
    <w:rsid w:val="00442AC9"/>
    <w:rPr>
      <w:lang w:val="en-GB" w:eastAsia="en-US" w:bidi="ar-SA"/>
    </w:rPr>
  </w:style>
  <w:style w:type="paragraph" w:styleId="BalloonText">
    <w:name w:val="Balloon Text"/>
    <w:basedOn w:val="Normal"/>
    <w:link w:val="BalloonTextChar"/>
    <w:rsid w:val="00E407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07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AC10_C4_E.dotm</Template>
  <TotalTime>214</TotalTime>
  <Pages>8</Pages>
  <Words>1820</Words>
  <Characters>9074</Characters>
  <Application>Microsoft Office Word</Application>
  <DocSecurity>0</DocSecurity>
  <Lines>371</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50th session UNSCETDG</dc:creator>
  <cp:lastModifiedBy>Laurence Berthet</cp:lastModifiedBy>
  <cp:revision>30</cp:revision>
  <cp:lastPrinted>2017-02-02T09:33:00Z</cp:lastPrinted>
  <dcterms:created xsi:type="dcterms:W3CDTF">2017-01-05T09:53:00Z</dcterms:created>
  <dcterms:modified xsi:type="dcterms:W3CDTF">2017-02-02T09:41:00Z</dcterms:modified>
</cp:coreProperties>
</file>