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63461B" w:rsidP="00C47F13">
            <w:pPr>
              <w:jc w:val="right"/>
            </w:pPr>
            <w:r w:rsidRPr="0063461B">
              <w:rPr>
                <w:sz w:val="40"/>
              </w:rPr>
              <w:t>ST</w:t>
            </w:r>
            <w:r w:rsidR="00527E4B">
              <w:t>/</w:t>
            </w:r>
            <w:r>
              <w:t>SG/AC.10/C.3/</w:t>
            </w:r>
            <w:r w:rsidR="00C47F13">
              <w:t>100</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C82CF0" w:rsidP="009E6CB7">
            <w:pPr>
              <w:spacing w:before="120"/>
            </w:pPr>
            <w:r>
              <w:rPr>
                <w:noProof/>
                <w:lang w:eastAsia="en-GB"/>
              </w:rPr>
              <w:drawing>
                <wp:inline distT="0" distB="0" distL="0" distR="0">
                  <wp:extent cx="71120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8A7340" w:rsidP="009E6CB7">
            <w:pPr>
              <w:spacing w:before="120" w:line="420" w:lineRule="exact"/>
              <w:rPr>
                <w:sz w:val="40"/>
                <w:szCs w:val="40"/>
              </w:rPr>
            </w:pPr>
            <w:r>
              <w:rPr>
                <w:b/>
                <w:sz w:val="40"/>
                <w:szCs w:val="40"/>
              </w:rPr>
              <w:t>Secretariat</w:t>
            </w:r>
          </w:p>
        </w:tc>
        <w:tc>
          <w:tcPr>
            <w:tcW w:w="2835" w:type="dxa"/>
            <w:tcBorders>
              <w:top w:val="single" w:sz="4" w:space="0" w:color="auto"/>
              <w:bottom w:val="single" w:sz="12" w:space="0" w:color="auto"/>
            </w:tcBorders>
          </w:tcPr>
          <w:p w:rsidR="0063461B" w:rsidRDefault="0063461B" w:rsidP="0063461B">
            <w:pPr>
              <w:spacing w:before="240" w:line="240" w:lineRule="exact"/>
            </w:pPr>
            <w:r>
              <w:t>Distr.: General</w:t>
            </w:r>
          </w:p>
          <w:p w:rsidR="0063461B" w:rsidRDefault="00DF14FB" w:rsidP="00F245A8">
            <w:pPr>
              <w:spacing w:line="240" w:lineRule="exact"/>
            </w:pPr>
            <w:r>
              <w:t>2</w:t>
            </w:r>
            <w:r w:rsidR="001B56C6">
              <w:t>7</w:t>
            </w:r>
            <w:r>
              <w:t xml:space="preserve"> December</w:t>
            </w:r>
            <w:r w:rsidR="00064651">
              <w:t xml:space="preserve"> 2016</w:t>
            </w:r>
          </w:p>
          <w:p w:rsidR="00E400BD" w:rsidRDefault="00E400BD" w:rsidP="00D41DD3">
            <w:pPr>
              <w:spacing w:line="240" w:lineRule="exact"/>
            </w:pPr>
          </w:p>
          <w:p w:rsidR="009E6CB7" w:rsidRDefault="0063461B" w:rsidP="00D41DD3">
            <w:pPr>
              <w:spacing w:line="240" w:lineRule="exact"/>
            </w:pPr>
            <w:r>
              <w:t>Original: English</w:t>
            </w:r>
            <w:r w:rsidR="00E400BD">
              <w:t xml:space="preserve"> </w:t>
            </w:r>
          </w:p>
        </w:tc>
      </w:tr>
    </w:tbl>
    <w:p w:rsidR="003133C5" w:rsidRPr="0004101D" w:rsidRDefault="003133C5" w:rsidP="003133C5">
      <w:pPr>
        <w:spacing w:before="120"/>
        <w:rPr>
          <w:b/>
          <w:sz w:val="24"/>
          <w:szCs w:val="24"/>
        </w:rPr>
      </w:pPr>
      <w:r w:rsidRPr="0004101D">
        <w:rPr>
          <w:b/>
          <w:sz w:val="24"/>
          <w:szCs w:val="24"/>
        </w:rPr>
        <w:t>Committee of Experts on the Transport of</w:t>
      </w:r>
      <w:r w:rsidR="0004101D">
        <w:rPr>
          <w:b/>
          <w:sz w:val="24"/>
          <w:szCs w:val="24"/>
        </w:rPr>
        <w:t xml:space="preserve"> </w:t>
      </w:r>
      <w:r w:rsidRPr="0004101D">
        <w:rPr>
          <w:b/>
          <w:sz w:val="24"/>
          <w:szCs w:val="24"/>
        </w:rPr>
        <w:t xml:space="preserve">Dangerous Goods </w:t>
      </w:r>
      <w:r w:rsidR="0004101D">
        <w:rPr>
          <w:b/>
          <w:sz w:val="24"/>
          <w:szCs w:val="24"/>
        </w:rPr>
        <w:br/>
      </w:r>
      <w:r w:rsidRPr="0004101D">
        <w:rPr>
          <w:b/>
          <w:sz w:val="24"/>
          <w:szCs w:val="24"/>
        </w:rPr>
        <w:t>and on the Globally</w:t>
      </w:r>
      <w:r w:rsidR="0004101D">
        <w:rPr>
          <w:b/>
          <w:sz w:val="24"/>
          <w:szCs w:val="24"/>
        </w:rPr>
        <w:t xml:space="preserve"> </w:t>
      </w:r>
      <w:r w:rsidRPr="0004101D">
        <w:rPr>
          <w:b/>
          <w:sz w:val="24"/>
          <w:szCs w:val="24"/>
        </w:rPr>
        <w:t xml:space="preserve">Harmonized System of Classification </w:t>
      </w:r>
      <w:r w:rsidR="0004101D">
        <w:rPr>
          <w:b/>
          <w:sz w:val="24"/>
          <w:szCs w:val="24"/>
        </w:rPr>
        <w:br/>
      </w:r>
      <w:r w:rsidRPr="0004101D">
        <w:rPr>
          <w:b/>
          <w:sz w:val="24"/>
          <w:szCs w:val="24"/>
        </w:rPr>
        <w:t>and</w:t>
      </w:r>
      <w:r w:rsidR="0004101D">
        <w:rPr>
          <w:b/>
          <w:sz w:val="24"/>
          <w:szCs w:val="24"/>
        </w:rPr>
        <w:t xml:space="preserve"> </w:t>
      </w:r>
      <w:r w:rsidRPr="0004101D">
        <w:rPr>
          <w:b/>
          <w:sz w:val="24"/>
          <w:szCs w:val="24"/>
        </w:rPr>
        <w:t>Labelling of Chemicals</w:t>
      </w:r>
    </w:p>
    <w:p w:rsidR="003133C5" w:rsidRPr="0004101D" w:rsidRDefault="003133C5" w:rsidP="00880C45">
      <w:pPr>
        <w:tabs>
          <w:tab w:val="left" w:pos="0"/>
          <w:tab w:val="left" w:pos="6361"/>
          <w:tab w:val="left" w:pos="6939"/>
        </w:tabs>
        <w:spacing w:before="120"/>
        <w:outlineLvl w:val="0"/>
        <w:rPr>
          <w:b/>
        </w:rPr>
      </w:pPr>
      <w:r w:rsidRPr="0004101D">
        <w:rPr>
          <w:b/>
        </w:rPr>
        <w:t xml:space="preserve">Sub-Committee of Experts on the Transport of Dangerous Goods </w:t>
      </w:r>
    </w:p>
    <w:p w:rsidR="003133C5" w:rsidRPr="00E40772" w:rsidRDefault="003133C5" w:rsidP="00F245A8">
      <w:pPr>
        <w:pStyle w:val="HChG"/>
        <w:spacing w:before="240" w:after="120"/>
      </w:pPr>
      <w:r>
        <w:tab/>
      </w:r>
      <w:r>
        <w:tab/>
        <w:t xml:space="preserve">Report of the Sub-Committee of Experts on </w:t>
      </w:r>
      <w:r w:rsidR="00B54CC3">
        <w:t xml:space="preserve">the Transport of Dangerous Goods on </w:t>
      </w:r>
      <w:r>
        <w:t xml:space="preserve">its </w:t>
      </w:r>
      <w:r w:rsidR="008A4191">
        <w:t>f</w:t>
      </w:r>
      <w:r w:rsidR="00C47F13">
        <w:t>iftieth</w:t>
      </w:r>
      <w:r w:rsidR="00F245A8">
        <w:t xml:space="preserve"> </w:t>
      </w:r>
      <w:r>
        <w:t>session</w:t>
      </w:r>
    </w:p>
    <w:p w:rsidR="003133C5" w:rsidRDefault="00837038" w:rsidP="00F43C0F">
      <w:pPr>
        <w:pStyle w:val="H23G"/>
        <w:spacing w:before="120" w:after="240"/>
        <w:rPr>
          <w:b w:val="0"/>
        </w:rPr>
      </w:pPr>
      <w:r>
        <w:tab/>
      </w:r>
      <w:r>
        <w:tab/>
      </w:r>
      <w:proofErr w:type="gramStart"/>
      <w:r w:rsidR="00F245A8">
        <w:rPr>
          <w:b w:val="0"/>
        </w:rPr>
        <w:t>h</w:t>
      </w:r>
      <w:r>
        <w:rPr>
          <w:b w:val="0"/>
        </w:rPr>
        <w:t>eld</w:t>
      </w:r>
      <w:proofErr w:type="gramEnd"/>
      <w:r>
        <w:rPr>
          <w:b w:val="0"/>
        </w:rPr>
        <w:t xml:space="preserve"> in Geneva from </w:t>
      </w:r>
      <w:r w:rsidR="00C47F13">
        <w:rPr>
          <w:b w:val="0"/>
        </w:rPr>
        <w:t>28</w:t>
      </w:r>
      <w:r w:rsidR="00F12C97">
        <w:rPr>
          <w:b w:val="0"/>
        </w:rPr>
        <w:t xml:space="preserve"> November to </w:t>
      </w:r>
      <w:r w:rsidR="00C47F13">
        <w:rPr>
          <w:b w:val="0"/>
        </w:rPr>
        <w:t>6</w:t>
      </w:r>
      <w:r w:rsidR="00F12C97">
        <w:rPr>
          <w:b w:val="0"/>
        </w:rPr>
        <w:t xml:space="preserve"> December</w:t>
      </w:r>
      <w:r w:rsidR="00C47F13">
        <w:rPr>
          <w:b w:val="0"/>
        </w:rPr>
        <w:t xml:space="preserve"> 2016</w:t>
      </w:r>
    </w:p>
    <w:p w:rsidR="003133C5" w:rsidRPr="00BB7154" w:rsidRDefault="003133C5" w:rsidP="00840842">
      <w:pPr>
        <w:spacing w:line="200" w:lineRule="atLeast"/>
        <w:rPr>
          <w:sz w:val="28"/>
          <w:lang w:val="fr-CH"/>
        </w:rPr>
      </w:pPr>
      <w:r w:rsidRPr="00BB7154">
        <w:rPr>
          <w:sz w:val="28"/>
          <w:lang w:val="fr-CH"/>
        </w:rPr>
        <w:t>Contents</w:t>
      </w:r>
    </w:p>
    <w:p w:rsidR="003133C5" w:rsidRPr="00BB7154" w:rsidRDefault="003133C5" w:rsidP="003133C5">
      <w:pPr>
        <w:tabs>
          <w:tab w:val="right" w:pos="8929"/>
          <w:tab w:val="right" w:pos="9638"/>
        </w:tabs>
        <w:spacing w:after="120"/>
        <w:ind w:left="283"/>
        <w:rPr>
          <w:lang w:val="fr-CH"/>
        </w:rPr>
      </w:pPr>
      <w:r w:rsidRPr="00BB7154">
        <w:rPr>
          <w:i/>
          <w:sz w:val="18"/>
          <w:lang w:val="fr-CH"/>
        </w:rPr>
        <w:tab/>
      </w:r>
      <w:proofErr w:type="spellStart"/>
      <w:r w:rsidRPr="00BB7154">
        <w:rPr>
          <w:i/>
          <w:sz w:val="18"/>
          <w:lang w:val="fr-CH"/>
        </w:rPr>
        <w:t>Paragraphs</w:t>
      </w:r>
      <w:proofErr w:type="spellEnd"/>
      <w:r w:rsidRPr="00BB7154">
        <w:rPr>
          <w:i/>
          <w:sz w:val="18"/>
          <w:lang w:val="fr-CH"/>
        </w:rPr>
        <w:tab/>
        <w:t>Page</w:t>
      </w:r>
    </w:p>
    <w:p w:rsidR="0007221F" w:rsidRPr="00BB7154" w:rsidRDefault="0007221F" w:rsidP="0007221F">
      <w:pPr>
        <w:tabs>
          <w:tab w:val="right" w:pos="850"/>
          <w:tab w:val="left" w:pos="1134"/>
          <w:tab w:val="left" w:pos="1559"/>
          <w:tab w:val="left" w:pos="1984"/>
          <w:tab w:val="left" w:leader="dot" w:pos="7654"/>
          <w:tab w:val="right" w:pos="8929"/>
          <w:tab w:val="right" w:pos="9638"/>
        </w:tabs>
        <w:spacing w:after="120"/>
        <w:rPr>
          <w:lang w:val="fr-CH"/>
        </w:rPr>
      </w:pPr>
      <w:r w:rsidRPr="00BB7154">
        <w:rPr>
          <w:lang w:val="fr-CH"/>
        </w:rPr>
        <w:tab/>
        <w:t>I.</w:t>
      </w:r>
      <w:r w:rsidRPr="00BB7154">
        <w:rPr>
          <w:lang w:val="fr-CH"/>
        </w:rPr>
        <w:tab/>
      </w:r>
      <w:proofErr w:type="spellStart"/>
      <w:r w:rsidRPr="00BB7154">
        <w:rPr>
          <w:lang w:val="fr-CH"/>
        </w:rPr>
        <w:t>Attendance</w:t>
      </w:r>
      <w:proofErr w:type="spellEnd"/>
      <w:r w:rsidRPr="00BB7154">
        <w:rPr>
          <w:lang w:val="fr-CH"/>
        </w:rPr>
        <w:tab/>
      </w:r>
      <w:r w:rsidRPr="00BB7154">
        <w:rPr>
          <w:lang w:val="fr-CH"/>
        </w:rPr>
        <w:tab/>
      </w:r>
      <w:r w:rsidR="00D84447">
        <w:rPr>
          <w:lang w:val="fr-CH"/>
        </w:rPr>
        <w:t>1-6</w:t>
      </w:r>
      <w:r w:rsidR="00D84447">
        <w:rPr>
          <w:lang w:val="fr-CH"/>
        </w:rPr>
        <w:tab/>
        <w:t>5</w:t>
      </w:r>
    </w:p>
    <w:p w:rsidR="0007221F" w:rsidRPr="00C81B92" w:rsidRDefault="0007221F" w:rsidP="0007221F">
      <w:pPr>
        <w:tabs>
          <w:tab w:val="right" w:pos="850"/>
          <w:tab w:val="left" w:pos="1134"/>
          <w:tab w:val="left" w:pos="1559"/>
          <w:tab w:val="left" w:pos="1984"/>
          <w:tab w:val="left" w:leader="dot" w:pos="7654"/>
          <w:tab w:val="right" w:pos="8929"/>
          <w:tab w:val="right" w:pos="9638"/>
        </w:tabs>
        <w:spacing w:after="120"/>
      </w:pPr>
      <w:r w:rsidRPr="00BB7154">
        <w:rPr>
          <w:lang w:val="fr-CH"/>
        </w:rPr>
        <w:tab/>
      </w:r>
      <w:r w:rsidRPr="00C81B92">
        <w:t>II.</w:t>
      </w:r>
      <w:r w:rsidRPr="00C81B92">
        <w:tab/>
        <w:t>Adoption of the agenda (agenda item 1)</w:t>
      </w:r>
      <w:r w:rsidRPr="00C81B92">
        <w:tab/>
      </w:r>
      <w:r w:rsidRPr="00C81B92">
        <w:tab/>
      </w:r>
      <w:r w:rsidR="00D84447">
        <w:t>7</w:t>
      </w:r>
      <w:r w:rsidR="00D84447">
        <w:tab/>
        <w:t>5</w:t>
      </w:r>
    </w:p>
    <w:p w:rsidR="0007221F" w:rsidRDefault="0007221F" w:rsidP="0007221F">
      <w:pPr>
        <w:tabs>
          <w:tab w:val="right" w:pos="850"/>
          <w:tab w:val="left" w:pos="1134"/>
          <w:tab w:val="left" w:pos="1559"/>
          <w:tab w:val="left" w:pos="1984"/>
          <w:tab w:val="left" w:leader="dot" w:pos="7654"/>
          <w:tab w:val="right" w:pos="8929"/>
          <w:tab w:val="right" w:pos="9638"/>
        </w:tabs>
        <w:spacing w:after="120"/>
        <w:rPr>
          <w:bCs/>
        </w:rPr>
      </w:pPr>
      <w:r w:rsidRPr="00C81B92">
        <w:tab/>
        <w:t>III.</w:t>
      </w:r>
      <w:r w:rsidRPr="00C81B92">
        <w:tab/>
      </w:r>
      <w:r>
        <w:t>Recommendations made by the Sub-Committee on its forty-seventh,</w:t>
      </w:r>
      <w:r>
        <w:br/>
      </w:r>
      <w:r>
        <w:tab/>
      </w:r>
      <w:r>
        <w:tab/>
        <w:t xml:space="preserve">forty-eighth and forty-ninth sessions and pending issues </w:t>
      </w:r>
      <w:r w:rsidRPr="006A0A81">
        <w:t>(agenda item 2)</w:t>
      </w:r>
      <w:r w:rsidRPr="00C81B92">
        <w:rPr>
          <w:bCs/>
        </w:rPr>
        <w:tab/>
      </w:r>
      <w:r w:rsidRPr="00C81B92">
        <w:rPr>
          <w:bCs/>
        </w:rPr>
        <w:tab/>
      </w:r>
      <w:r w:rsidR="0014319A">
        <w:rPr>
          <w:bCs/>
        </w:rPr>
        <w:t>8-63</w:t>
      </w:r>
      <w:r w:rsidR="0014319A">
        <w:rPr>
          <w:bCs/>
        </w:rPr>
        <w:tab/>
      </w:r>
      <w:r w:rsidR="001E16CB">
        <w:rPr>
          <w:bCs/>
        </w:rPr>
        <w:t>6</w:t>
      </w:r>
    </w:p>
    <w:p w:rsidR="0007221F" w:rsidRDefault="0007221F" w:rsidP="0007221F">
      <w:pPr>
        <w:tabs>
          <w:tab w:val="right" w:pos="850"/>
          <w:tab w:val="left" w:pos="1134"/>
          <w:tab w:val="left" w:pos="1559"/>
          <w:tab w:val="left" w:pos="1984"/>
          <w:tab w:val="left" w:leader="dot" w:pos="7654"/>
          <w:tab w:val="right" w:pos="8929"/>
          <w:tab w:val="right" w:pos="9638"/>
        </w:tabs>
        <w:spacing w:before="120" w:after="120"/>
      </w:pPr>
      <w:r>
        <w:tab/>
      </w:r>
      <w:r>
        <w:tab/>
      </w:r>
      <w:r w:rsidR="00022685">
        <w:t>A</w:t>
      </w:r>
      <w:r w:rsidR="00CF3C5D">
        <w:t>.</w:t>
      </w:r>
      <w:r>
        <w:tab/>
        <w:t>Review of draft amendments already adopted during the biennium</w:t>
      </w:r>
      <w:r>
        <w:tab/>
      </w:r>
      <w:r>
        <w:tab/>
      </w:r>
      <w:r w:rsidR="001E16CB">
        <w:t>8-9</w:t>
      </w:r>
      <w:r w:rsidR="001E16CB">
        <w:tab/>
        <w:t>6</w:t>
      </w:r>
    </w:p>
    <w:p w:rsidR="0007221F" w:rsidRDefault="0007221F" w:rsidP="0007221F">
      <w:pPr>
        <w:tabs>
          <w:tab w:val="right" w:pos="850"/>
          <w:tab w:val="left" w:pos="1134"/>
          <w:tab w:val="left" w:pos="1559"/>
          <w:tab w:val="left" w:pos="1984"/>
          <w:tab w:val="left" w:leader="dot" w:pos="7654"/>
          <w:tab w:val="right" w:pos="8929"/>
          <w:tab w:val="right" w:pos="9638"/>
        </w:tabs>
        <w:spacing w:before="120" w:after="120"/>
      </w:pPr>
      <w:r>
        <w:tab/>
      </w:r>
      <w:r>
        <w:tab/>
      </w:r>
      <w:r w:rsidR="00022685">
        <w:t>B</w:t>
      </w:r>
      <w:r w:rsidR="00CF3C5D">
        <w:t>.</w:t>
      </w:r>
      <w:r w:rsidRPr="00C81B92">
        <w:tab/>
      </w:r>
      <w:r>
        <w:t xml:space="preserve">Explosives and related matters </w:t>
      </w:r>
      <w:r w:rsidRPr="00C81B92">
        <w:tab/>
      </w:r>
      <w:r w:rsidRPr="00C81B92">
        <w:tab/>
      </w:r>
      <w:r w:rsidR="001E16CB">
        <w:t>10-20</w:t>
      </w:r>
      <w:r w:rsidR="001E16CB">
        <w:tab/>
        <w:t>6</w:t>
      </w:r>
    </w:p>
    <w:p w:rsidR="0014319A" w:rsidRDefault="0014319A" w:rsidP="0007221F">
      <w:pPr>
        <w:tabs>
          <w:tab w:val="right" w:pos="850"/>
          <w:tab w:val="left" w:pos="1134"/>
          <w:tab w:val="left" w:pos="1559"/>
          <w:tab w:val="left" w:pos="1984"/>
          <w:tab w:val="left" w:leader="dot" w:pos="7654"/>
          <w:tab w:val="right" w:pos="8929"/>
          <w:tab w:val="right" w:pos="9638"/>
        </w:tabs>
        <w:spacing w:before="120" w:after="120"/>
      </w:pPr>
      <w:r>
        <w:tab/>
      </w:r>
      <w:r>
        <w:tab/>
      </w:r>
      <w:r>
        <w:tab/>
        <w:t>Report of the Working Group on Explosives</w:t>
      </w:r>
      <w:r>
        <w:tab/>
      </w:r>
      <w:r>
        <w:tab/>
      </w:r>
      <w:r w:rsidR="001E16CB">
        <w:t>12-20</w:t>
      </w:r>
      <w:r w:rsidR="001E16CB">
        <w:tab/>
        <w:t>6</w:t>
      </w:r>
    </w:p>
    <w:p w:rsidR="0014319A" w:rsidRDefault="0014319A" w:rsidP="0007221F">
      <w:pPr>
        <w:tabs>
          <w:tab w:val="right" w:pos="850"/>
          <w:tab w:val="left" w:pos="1134"/>
          <w:tab w:val="left" w:pos="1559"/>
          <w:tab w:val="left" w:pos="1984"/>
          <w:tab w:val="left" w:leader="dot" w:pos="7654"/>
          <w:tab w:val="right" w:pos="8929"/>
          <w:tab w:val="right" w:pos="9638"/>
        </w:tabs>
        <w:spacing w:before="120" w:after="120"/>
      </w:pPr>
      <w:r>
        <w:tab/>
      </w:r>
      <w:r>
        <w:tab/>
      </w:r>
      <w:r>
        <w:tab/>
        <w:t>1.</w:t>
      </w:r>
      <w:r>
        <w:tab/>
        <w:t xml:space="preserve">Proposal for replacing </w:t>
      </w:r>
      <w:proofErr w:type="spellStart"/>
      <w:r>
        <w:t>dibutyl</w:t>
      </w:r>
      <w:proofErr w:type="spellEnd"/>
      <w:r>
        <w:t xml:space="preserve"> phthalate (DBP) in </w:t>
      </w:r>
      <w:proofErr w:type="spellStart"/>
      <w:r>
        <w:t>Koenen</w:t>
      </w:r>
      <w:proofErr w:type="spellEnd"/>
      <w:r>
        <w:t xml:space="preserve"> Test</w:t>
      </w:r>
      <w:r>
        <w:tab/>
      </w:r>
      <w:r>
        <w:tab/>
      </w:r>
      <w:r w:rsidR="001B56C6">
        <w:t>13</w:t>
      </w:r>
      <w:r w:rsidR="001B56C6">
        <w:tab/>
        <w:t>7</w:t>
      </w:r>
    </w:p>
    <w:p w:rsidR="0014319A" w:rsidRDefault="0014319A" w:rsidP="0007221F">
      <w:pPr>
        <w:tabs>
          <w:tab w:val="right" w:pos="850"/>
          <w:tab w:val="left" w:pos="1134"/>
          <w:tab w:val="left" w:pos="1559"/>
          <w:tab w:val="left" w:pos="1984"/>
          <w:tab w:val="left" w:leader="dot" w:pos="7654"/>
          <w:tab w:val="right" w:pos="8929"/>
          <w:tab w:val="right" w:pos="9638"/>
        </w:tabs>
        <w:spacing w:before="120" w:after="120"/>
      </w:pPr>
      <w:r>
        <w:tab/>
      </w:r>
      <w:r>
        <w:tab/>
      </w:r>
      <w:r>
        <w:tab/>
        <w:t>2.</w:t>
      </w:r>
      <w:r>
        <w:tab/>
        <w:t xml:space="preserve">Chapter 2.1 of the Model regulations </w:t>
      </w:r>
      <w:r w:rsidR="00A27BC2">
        <w:t xml:space="preserve">- </w:t>
      </w:r>
      <w:r>
        <w:t>Class 1 definition /Chapter 2.1</w:t>
      </w:r>
      <w:r>
        <w:br/>
      </w:r>
      <w:r>
        <w:tab/>
      </w:r>
      <w:r>
        <w:tab/>
      </w:r>
      <w:r>
        <w:tab/>
      </w:r>
      <w:r>
        <w:tab/>
        <w:t>of the GHS-Class of explosives</w:t>
      </w:r>
      <w:r>
        <w:tab/>
      </w:r>
      <w:r>
        <w:tab/>
      </w:r>
      <w:r w:rsidR="001E16CB">
        <w:t>14</w:t>
      </w:r>
      <w:r w:rsidR="001E16CB">
        <w:tab/>
        <w:t>7</w:t>
      </w:r>
    </w:p>
    <w:p w:rsidR="0014319A" w:rsidRDefault="0014319A" w:rsidP="0007221F">
      <w:pPr>
        <w:tabs>
          <w:tab w:val="right" w:pos="850"/>
          <w:tab w:val="left" w:pos="1134"/>
          <w:tab w:val="left" w:pos="1559"/>
          <w:tab w:val="left" w:pos="1984"/>
          <w:tab w:val="left" w:leader="dot" w:pos="7654"/>
          <w:tab w:val="right" w:pos="8929"/>
          <w:tab w:val="right" w:pos="9638"/>
        </w:tabs>
        <w:spacing w:before="120" w:after="120"/>
      </w:pPr>
      <w:r>
        <w:tab/>
      </w:r>
      <w:r>
        <w:tab/>
      </w:r>
      <w:r>
        <w:tab/>
        <w:t>3.</w:t>
      </w:r>
      <w:r>
        <w:tab/>
        <w:t>Section 10.3.3 of the Ma</w:t>
      </w:r>
      <w:r w:rsidR="00A27BC2">
        <w:t>nual of Tests and Criteria</w:t>
      </w:r>
      <w:r>
        <w:t xml:space="preserve"> – Guidance about</w:t>
      </w:r>
      <w:r>
        <w:br/>
      </w:r>
      <w:r>
        <w:tab/>
      </w:r>
      <w:r>
        <w:tab/>
      </w:r>
      <w:r>
        <w:tab/>
      </w:r>
      <w:r>
        <w:tab/>
        <w:t>application of Test Series 3 and 4</w:t>
      </w:r>
      <w:r>
        <w:tab/>
      </w:r>
      <w:r>
        <w:tab/>
      </w:r>
      <w:r w:rsidR="001E16CB">
        <w:t>15</w:t>
      </w:r>
      <w:r w:rsidR="001E16CB">
        <w:tab/>
        <w:t>7</w:t>
      </w:r>
    </w:p>
    <w:p w:rsidR="0014319A" w:rsidRDefault="0014319A" w:rsidP="0007221F">
      <w:pPr>
        <w:tabs>
          <w:tab w:val="right" w:pos="850"/>
          <w:tab w:val="left" w:pos="1134"/>
          <w:tab w:val="left" w:pos="1559"/>
          <w:tab w:val="left" w:pos="1984"/>
          <w:tab w:val="left" w:leader="dot" w:pos="7654"/>
          <w:tab w:val="right" w:pos="8929"/>
          <w:tab w:val="right" w:pos="9638"/>
        </w:tabs>
        <w:spacing w:before="120" w:after="120"/>
      </w:pPr>
      <w:r>
        <w:tab/>
      </w:r>
      <w:r>
        <w:tab/>
      </w:r>
      <w:r>
        <w:tab/>
        <w:t>4.</w:t>
      </w:r>
      <w:r>
        <w:tab/>
        <w:t>Transport of energetic samples</w:t>
      </w:r>
      <w:r>
        <w:tab/>
      </w:r>
      <w:r>
        <w:tab/>
      </w:r>
      <w:r w:rsidR="001E16CB">
        <w:t>16</w:t>
      </w:r>
      <w:r w:rsidR="001E16CB">
        <w:tab/>
        <w:t>7</w:t>
      </w:r>
    </w:p>
    <w:p w:rsidR="0014319A" w:rsidRDefault="0014319A" w:rsidP="0007221F">
      <w:pPr>
        <w:tabs>
          <w:tab w:val="right" w:pos="850"/>
          <w:tab w:val="left" w:pos="1134"/>
          <w:tab w:val="left" w:pos="1559"/>
          <w:tab w:val="left" w:pos="1984"/>
          <w:tab w:val="left" w:leader="dot" w:pos="7654"/>
          <w:tab w:val="right" w:pos="8929"/>
          <w:tab w:val="right" w:pos="9638"/>
        </w:tabs>
        <w:spacing w:before="120" w:after="120"/>
      </w:pPr>
      <w:r>
        <w:tab/>
      </w:r>
      <w:r>
        <w:tab/>
      </w:r>
      <w:r>
        <w:tab/>
        <w:t>5.</w:t>
      </w:r>
      <w:r>
        <w:tab/>
        <w:t>Classification of ammonium nitrate fertilizers</w:t>
      </w:r>
      <w:r>
        <w:tab/>
      </w:r>
      <w:r>
        <w:tab/>
      </w:r>
      <w:r w:rsidR="001B56C6">
        <w:t>17-18</w:t>
      </w:r>
      <w:r w:rsidR="001B56C6">
        <w:tab/>
        <w:t>7</w:t>
      </w:r>
    </w:p>
    <w:p w:rsidR="008A4A98" w:rsidRDefault="008A4A98" w:rsidP="00D41905">
      <w:pPr>
        <w:tabs>
          <w:tab w:val="right" w:pos="850"/>
          <w:tab w:val="left" w:pos="1134"/>
          <w:tab w:val="left" w:pos="1559"/>
          <w:tab w:val="left" w:pos="1984"/>
          <w:tab w:val="left" w:leader="dot" w:pos="7654"/>
          <w:tab w:val="right" w:pos="8929"/>
          <w:tab w:val="right" w:pos="9638"/>
        </w:tabs>
        <w:spacing w:before="120" w:after="120"/>
      </w:pPr>
      <w:r>
        <w:tab/>
      </w:r>
      <w:r>
        <w:tab/>
      </w:r>
      <w:r>
        <w:tab/>
        <w:t>6.</w:t>
      </w:r>
      <w:r>
        <w:tab/>
        <w:t>Application of security provisions to Explosives N</w:t>
      </w:r>
      <w:r w:rsidR="00A27BC2">
        <w:t>.</w:t>
      </w:r>
      <w:r>
        <w:t>O</w:t>
      </w:r>
      <w:r w:rsidR="00A27BC2">
        <w:t>.</w:t>
      </w:r>
      <w:r>
        <w:t>S</w:t>
      </w:r>
      <w:r>
        <w:tab/>
      </w:r>
      <w:r>
        <w:tab/>
      </w:r>
      <w:r w:rsidR="001E16CB">
        <w:t>19-20</w:t>
      </w:r>
      <w:r w:rsidR="001E16CB">
        <w:tab/>
        <w:t>8</w:t>
      </w:r>
    </w:p>
    <w:p w:rsidR="0007221F" w:rsidRDefault="008A4A98" w:rsidP="00D41905">
      <w:pPr>
        <w:tabs>
          <w:tab w:val="right" w:pos="850"/>
          <w:tab w:val="left" w:pos="1134"/>
          <w:tab w:val="left" w:pos="1559"/>
          <w:tab w:val="left" w:pos="1984"/>
          <w:tab w:val="left" w:leader="dot" w:pos="7654"/>
          <w:tab w:val="right" w:pos="8929"/>
          <w:tab w:val="right" w:pos="9638"/>
        </w:tabs>
        <w:spacing w:before="120" w:after="120"/>
      </w:pPr>
      <w:r>
        <w:tab/>
      </w:r>
      <w:r>
        <w:tab/>
      </w:r>
      <w:r w:rsidR="00022685">
        <w:t>C</w:t>
      </w:r>
      <w:r w:rsidR="00CF3C5D">
        <w:t>.</w:t>
      </w:r>
      <w:r w:rsidR="0007221F" w:rsidRPr="00C81B92">
        <w:tab/>
      </w:r>
      <w:r w:rsidR="0007221F">
        <w:t xml:space="preserve">Listing, classification and packing </w:t>
      </w:r>
      <w:r w:rsidR="0007221F" w:rsidRPr="00C81B92">
        <w:tab/>
      </w:r>
      <w:r w:rsidR="0007221F" w:rsidRPr="00C81B92">
        <w:tab/>
      </w:r>
      <w:r w:rsidR="001E16CB">
        <w:t>21-35</w:t>
      </w:r>
      <w:r w:rsidR="001E16CB">
        <w:tab/>
        <w:t>8</w:t>
      </w:r>
    </w:p>
    <w:p w:rsidR="008A4A98" w:rsidRDefault="008A4A98" w:rsidP="00D41905">
      <w:pPr>
        <w:tabs>
          <w:tab w:val="right" w:pos="850"/>
          <w:tab w:val="left" w:pos="1134"/>
          <w:tab w:val="left" w:pos="1559"/>
          <w:tab w:val="left" w:pos="1984"/>
          <w:tab w:val="left" w:leader="dot" w:pos="7654"/>
          <w:tab w:val="right" w:pos="8929"/>
          <w:tab w:val="right" w:pos="9638"/>
        </w:tabs>
        <w:spacing w:before="120" w:after="120"/>
      </w:pPr>
      <w:r>
        <w:tab/>
      </w:r>
      <w:r>
        <w:tab/>
      </w:r>
      <w:r>
        <w:tab/>
        <w:t>1.</w:t>
      </w:r>
      <w:r>
        <w:tab/>
        <w:t>Proposal to modify packing instruction P902</w:t>
      </w:r>
      <w:r>
        <w:tab/>
      </w:r>
      <w:r>
        <w:tab/>
      </w:r>
      <w:r w:rsidR="001E16CB">
        <w:t>21</w:t>
      </w:r>
      <w:r w:rsidR="001E16CB">
        <w:tab/>
        <w:t>8</w:t>
      </w:r>
    </w:p>
    <w:p w:rsidR="008A4A98" w:rsidRDefault="008A4A98" w:rsidP="00D41905">
      <w:pPr>
        <w:tabs>
          <w:tab w:val="right" w:pos="850"/>
          <w:tab w:val="left" w:pos="1134"/>
          <w:tab w:val="left" w:pos="1559"/>
          <w:tab w:val="left" w:pos="1984"/>
          <w:tab w:val="left" w:leader="dot" w:pos="7654"/>
          <w:tab w:val="right" w:pos="8929"/>
          <w:tab w:val="right" w:pos="9638"/>
        </w:tabs>
        <w:spacing w:before="120" w:after="120"/>
      </w:pPr>
      <w:r>
        <w:tab/>
      </w:r>
      <w:r>
        <w:tab/>
      </w:r>
      <w:r>
        <w:tab/>
        <w:t>2.</w:t>
      </w:r>
      <w:r>
        <w:tab/>
        <w:t>Reflection of toxicity for UN Nos. 2248, 2264 and 2357</w:t>
      </w:r>
      <w:r>
        <w:tab/>
      </w:r>
      <w:r>
        <w:tab/>
      </w:r>
      <w:r w:rsidR="001E16CB">
        <w:t>22-23</w:t>
      </w:r>
      <w:r w:rsidR="001E16CB">
        <w:tab/>
        <w:t>8</w:t>
      </w:r>
    </w:p>
    <w:p w:rsidR="008A4A98" w:rsidRDefault="008A4A98" w:rsidP="00D41905">
      <w:pPr>
        <w:tabs>
          <w:tab w:val="right" w:pos="850"/>
          <w:tab w:val="left" w:pos="1134"/>
          <w:tab w:val="left" w:pos="1559"/>
          <w:tab w:val="left" w:pos="1984"/>
          <w:tab w:val="left" w:leader="dot" w:pos="7654"/>
          <w:tab w:val="right" w:pos="8929"/>
          <w:tab w:val="right" w:pos="9638"/>
        </w:tabs>
        <w:spacing w:before="120" w:after="120"/>
      </w:pPr>
      <w:r>
        <w:tab/>
      </w:r>
      <w:r>
        <w:tab/>
      </w:r>
      <w:r>
        <w:tab/>
        <w:t>3.</w:t>
      </w:r>
      <w:r>
        <w:tab/>
        <w:t>Packing instruction P620 for Category A infectious substances</w:t>
      </w:r>
      <w:r>
        <w:tab/>
      </w:r>
      <w:r>
        <w:tab/>
      </w:r>
      <w:r w:rsidR="00514AE9">
        <w:t>24</w:t>
      </w:r>
      <w:r w:rsidR="00514AE9">
        <w:tab/>
        <w:t>8</w:t>
      </w:r>
    </w:p>
    <w:p w:rsidR="008A4A98" w:rsidRDefault="008A4A98" w:rsidP="00D41905">
      <w:pPr>
        <w:tabs>
          <w:tab w:val="right" w:pos="850"/>
          <w:tab w:val="left" w:pos="1134"/>
          <w:tab w:val="left" w:pos="1559"/>
          <w:tab w:val="left" w:pos="1984"/>
          <w:tab w:val="left" w:leader="dot" w:pos="7654"/>
          <w:tab w:val="right" w:pos="8929"/>
          <w:tab w:val="right" w:pos="9638"/>
        </w:tabs>
        <w:spacing w:before="120" w:after="120"/>
      </w:pPr>
      <w:r>
        <w:lastRenderedPageBreak/>
        <w:tab/>
      </w:r>
      <w:r>
        <w:tab/>
      </w:r>
      <w:r>
        <w:tab/>
        <w:t>4.</w:t>
      </w:r>
      <w:r>
        <w:tab/>
        <w:t>Proper shipping name for a polymerizing substance that does meet</w:t>
      </w:r>
      <w:r>
        <w:br/>
      </w:r>
      <w:r>
        <w:tab/>
      </w:r>
      <w:r>
        <w:tab/>
      </w:r>
      <w:r>
        <w:tab/>
      </w:r>
      <w:r>
        <w:tab/>
        <w:t>other criteria fo</w:t>
      </w:r>
      <w:r w:rsidR="00514AE9">
        <w:t>r inclusion in Classes 1-8</w:t>
      </w:r>
      <w:r w:rsidR="00514AE9">
        <w:tab/>
      </w:r>
      <w:r w:rsidR="00514AE9">
        <w:tab/>
        <w:t>25</w:t>
      </w:r>
      <w:r w:rsidR="00514AE9">
        <w:tab/>
        <w:t>8</w:t>
      </w:r>
    </w:p>
    <w:p w:rsidR="008A4A98" w:rsidRDefault="008A4A98" w:rsidP="00D41905">
      <w:pPr>
        <w:tabs>
          <w:tab w:val="right" w:pos="850"/>
          <w:tab w:val="left" w:pos="1134"/>
          <w:tab w:val="left" w:pos="1559"/>
          <w:tab w:val="left" w:pos="1984"/>
          <w:tab w:val="left" w:leader="dot" w:pos="7654"/>
          <w:tab w:val="right" w:pos="8929"/>
          <w:tab w:val="right" w:pos="9638"/>
        </w:tabs>
        <w:spacing w:before="120" w:after="120"/>
      </w:pPr>
      <w:r>
        <w:tab/>
      </w:r>
      <w:r>
        <w:tab/>
      </w:r>
      <w:r>
        <w:tab/>
        <w:t>5.</w:t>
      </w:r>
      <w:r>
        <w:tab/>
        <w:t>Exemptions f</w:t>
      </w:r>
      <w:r w:rsidR="00A27BC2">
        <w:t>or polymerizin</w:t>
      </w:r>
      <w:r w:rsidR="001E16CB">
        <w:t>g substances</w:t>
      </w:r>
      <w:r w:rsidR="001E16CB">
        <w:tab/>
      </w:r>
      <w:r w:rsidR="001E16CB">
        <w:tab/>
        <w:t>26</w:t>
      </w:r>
      <w:r w:rsidR="001E16CB">
        <w:tab/>
        <w:t>9</w:t>
      </w:r>
    </w:p>
    <w:p w:rsidR="008A4A98" w:rsidRDefault="008A4A98" w:rsidP="00D41905">
      <w:pPr>
        <w:tabs>
          <w:tab w:val="right" w:pos="850"/>
          <w:tab w:val="left" w:pos="1134"/>
          <w:tab w:val="left" w:pos="1559"/>
          <w:tab w:val="left" w:pos="1984"/>
          <w:tab w:val="left" w:leader="dot" w:pos="7654"/>
          <w:tab w:val="right" w:pos="8929"/>
          <w:tab w:val="right" w:pos="9638"/>
        </w:tabs>
        <w:spacing w:before="120" w:after="120"/>
      </w:pPr>
      <w:r>
        <w:tab/>
      </w:r>
      <w:r>
        <w:tab/>
      </w:r>
      <w:r>
        <w:tab/>
        <w:t>6.</w:t>
      </w:r>
      <w:r>
        <w:tab/>
        <w:t>Special provision 308 for fish meal (fish scrap), stabilised</w:t>
      </w:r>
      <w:r>
        <w:br/>
      </w:r>
      <w:r>
        <w:tab/>
      </w:r>
      <w:r>
        <w:tab/>
      </w:r>
      <w:r>
        <w:tab/>
      </w:r>
      <w:r w:rsidR="001E16CB">
        <w:tab/>
        <w:t>(UN No. 2216): Class 9</w:t>
      </w:r>
      <w:r w:rsidR="001E16CB">
        <w:tab/>
      </w:r>
      <w:r w:rsidR="001E16CB">
        <w:tab/>
        <w:t>27-29</w:t>
      </w:r>
      <w:r w:rsidR="001E16CB">
        <w:tab/>
        <w:t>9</w:t>
      </w:r>
    </w:p>
    <w:p w:rsidR="008A4A98" w:rsidRDefault="008A4A98" w:rsidP="00D41905">
      <w:pPr>
        <w:tabs>
          <w:tab w:val="right" w:pos="850"/>
          <w:tab w:val="left" w:pos="1134"/>
          <w:tab w:val="left" w:pos="1559"/>
          <w:tab w:val="left" w:pos="1984"/>
          <w:tab w:val="left" w:leader="dot" w:pos="7654"/>
          <w:tab w:val="right" w:pos="8929"/>
          <w:tab w:val="right" w:pos="9638"/>
        </w:tabs>
        <w:spacing w:before="120" w:after="120"/>
      </w:pPr>
      <w:r>
        <w:tab/>
      </w:r>
      <w:r>
        <w:tab/>
      </w:r>
      <w:r>
        <w:tab/>
        <w:t>7.</w:t>
      </w:r>
      <w:r>
        <w:tab/>
        <w:t>Classifi</w:t>
      </w:r>
      <w:r w:rsidR="001E16CB">
        <w:t>c</w:t>
      </w:r>
      <w:r w:rsidR="00514AE9">
        <w:t>ation of infected animals</w:t>
      </w:r>
      <w:r w:rsidR="00514AE9">
        <w:tab/>
      </w:r>
      <w:r w:rsidR="00514AE9">
        <w:tab/>
        <w:t>30</w:t>
      </w:r>
      <w:r w:rsidR="00514AE9">
        <w:tab/>
        <w:t>9</w:t>
      </w:r>
    </w:p>
    <w:p w:rsidR="008A4A98" w:rsidRDefault="008A4A98" w:rsidP="00D41905">
      <w:pPr>
        <w:tabs>
          <w:tab w:val="right" w:pos="850"/>
          <w:tab w:val="left" w:pos="1134"/>
          <w:tab w:val="left" w:pos="1559"/>
          <w:tab w:val="left" w:pos="1984"/>
          <w:tab w:val="left" w:leader="dot" w:pos="7654"/>
          <w:tab w:val="right" w:pos="8929"/>
          <w:tab w:val="right" w:pos="9638"/>
        </w:tabs>
        <w:spacing w:before="120" w:after="120"/>
      </w:pPr>
      <w:r>
        <w:tab/>
      </w:r>
      <w:r>
        <w:tab/>
      </w:r>
      <w:r>
        <w:tab/>
        <w:t>8.</w:t>
      </w:r>
      <w:r>
        <w:tab/>
        <w:t>Revis</w:t>
      </w:r>
      <w:r w:rsidR="00514AE9">
        <w:t>ion of Chapter 2.8</w:t>
      </w:r>
      <w:r w:rsidR="00514AE9">
        <w:tab/>
      </w:r>
      <w:r w:rsidR="00514AE9">
        <w:tab/>
        <w:t>31-33</w:t>
      </w:r>
      <w:r w:rsidR="00514AE9">
        <w:tab/>
        <w:t>9</w:t>
      </w:r>
    </w:p>
    <w:p w:rsidR="008A4A98" w:rsidRDefault="008A4A98" w:rsidP="00D41905">
      <w:pPr>
        <w:tabs>
          <w:tab w:val="right" w:pos="850"/>
          <w:tab w:val="left" w:pos="1134"/>
          <w:tab w:val="left" w:pos="1559"/>
          <w:tab w:val="left" w:pos="1984"/>
          <w:tab w:val="left" w:leader="dot" w:pos="7654"/>
          <w:tab w:val="right" w:pos="8929"/>
          <w:tab w:val="right" w:pos="9638"/>
        </w:tabs>
        <w:spacing w:before="120" w:after="120"/>
      </w:pPr>
      <w:r>
        <w:tab/>
      </w:r>
      <w:r>
        <w:tab/>
      </w:r>
      <w:r>
        <w:tab/>
        <w:t>9.</w:t>
      </w:r>
      <w:r>
        <w:tab/>
        <w:t>Dangerous goods in machinery, ap</w:t>
      </w:r>
      <w:r w:rsidR="001E16CB">
        <w:t>paratus or articles, N.O.S</w:t>
      </w:r>
      <w:r w:rsidR="001E16CB">
        <w:tab/>
      </w:r>
      <w:r w:rsidR="001E16CB">
        <w:tab/>
        <w:t>34</w:t>
      </w:r>
      <w:r w:rsidR="001E16CB">
        <w:tab/>
        <w:t>10</w:t>
      </w:r>
    </w:p>
    <w:p w:rsidR="008A4A98" w:rsidRDefault="008A4A98" w:rsidP="00D41905">
      <w:pPr>
        <w:tabs>
          <w:tab w:val="right" w:pos="850"/>
          <w:tab w:val="left" w:pos="1134"/>
          <w:tab w:val="left" w:pos="1559"/>
          <w:tab w:val="left" w:pos="1984"/>
          <w:tab w:val="left" w:leader="dot" w:pos="7654"/>
          <w:tab w:val="right" w:pos="8929"/>
          <w:tab w:val="right" w:pos="9638"/>
        </w:tabs>
        <w:spacing w:before="120" w:after="120"/>
      </w:pPr>
      <w:r>
        <w:tab/>
      </w:r>
      <w:r>
        <w:tab/>
      </w:r>
      <w:r>
        <w:tab/>
        <w:t>10.</w:t>
      </w:r>
      <w:r>
        <w:tab/>
        <w:t>Transport of Ca</w:t>
      </w:r>
      <w:r w:rsidR="001E16CB">
        <w:t>tegory A infectious wastes</w:t>
      </w:r>
      <w:r w:rsidR="001E16CB">
        <w:tab/>
      </w:r>
      <w:r w:rsidR="001E16CB">
        <w:tab/>
        <w:t>35</w:t>
      </w:r>
      <w:r w:rsidR="001E16CB">
        <w:tab/>
        <w:t>10</w:t>
      </w:r>
    </w:p>
    <w:p w:rsidR="0007221F" w:rsidRDefault="008A4A98" w:rsidP="00D41905">
      <w:pPr>
        <w:tabs>
          <w:tab w:val="right" w:pos="850"/>
          <w:tab w:val="left" w:pos="1134"/>
          <w:tab w:val="left" w:pos="1559"/>
          <w:tab w:val="left" w:pos="1984"/>
          <w:tab w:val="left" w:leader="dot" w:pos="7654"/>
          <w:tab w:val="right" w:pos="8929"/>
          <w:tab w:val="right" w:pos="9638"/>
        </w:tabs>
        <w:spacing w:before="120" w:after="120"/>
      </w:pPr>
      <w:r>
        <w:tab/>
      </w:r>
      <w:r>
        <w:tab/>
      </w:r>
      <w:r w:rsidR="00022685">
        <w:t>D</w:t>
      </w:r>
      <w:r w:rsidR="00CF3C5D">
        <w:t>.</w:t>
      </w:r>
      <w:r w:rsidR="0007221F">
        <w:tab/>
        <w:t xml:space="preserve">Electric storage systems </w:t>
      </w:r>
      <w:r w:rsidR="0007221F">
        <w:tab/>
      </w:r>
      <w:r w:rsidR="0007221F">
        <w:tab/>
      </w:r>
      <w:r w:rsidR="00514AE9">
        <w:t>36-61</w:t>
      </w:r>
      <w:r w:rsidR="00514AE9">
        <w:tab/>
        <w:t>10</w:t>
      </w:r>
    </w:p>
    <w:p w:rsidR="008A4A98" w:rsidRDefault="008A4A98" w:rsidP="00D41905">
      <w:pPr>
        <w:tabs>
          <w:tab w:val="right" w:pos="850"/>
          <w:tab w:val="left" w:pos="1134"/>
          <w:tab w:val="left" w:pos="1559"/>
          <w:tab w:val="left" w:pos="1984"/>
          <w:tab w:val="left" w:leader="dot" w:pos="7654"/>
          <w:tab w:val="right" w:pos="8929"/>
          <w:tab w:val="right" w:pos="9638"/>
        </w:tabs>
        <w:spacing w:before="120" w:after="120"/>
      </w:pPr>
      <w:r>
        <w:tab/>
      </w:r>
      <w:r>
        <w:tab/>
      </w:r>
      <w:r>
        <w:tab/>
        <w:t>1.</w:t>
      </w:r>
      <w:r>
        <w:tab/>
        <w:t xml:space="preserve">Large </w:t>
      </w:r>
      <w:proofErr w:type="spellStart"/>
      <w:r>
        <w:t>packagings</w:t>
      </w:r>
      <w:proofErr w:type="spellEnd"/>
      <w:r>
        <w:t xml:space="preserve"> for lithium batteries of small production runs</w:t>
      </w:r>
      <w:r>
        <w:br/>
      </w:r>
      <w:r>
        <w:tab/>
      </w:r>
      <w:r>
        <w:tab/>
      </w:r>
      <w:r>
        <w:tab/>
      </w:r>
      <w:r>
        <w:tab/>
        <w:t>or for prot</w:t>
      </w:r>
      <w:r w:rsidR="001E16CB">
        <w:t>o</w:t>
      </w:r>
      <w:r w:rsidR="00514AE9">
        <w:t>type lithium batteries</w:t>
      </w:r>
      <w:r w:rsidR="00514AE9">
        <w:tab/>
      </w:r>
      <w:r w:rsidR="00514AE9">
        <w:tab/>
        <w:t>36-37</w:t>
      </w:r>
      <w:r w:rsidR="00514AE9">
        <w:tab/>
        <w:t>10</w:t>
      </w:r>
    </w:p>
    <w:p w:rsidR="008A4A98" w:rsidRDefault="008A4A98" w:rsidP="00D41905">
      <w:pPr>
        <w:tabs>
          <w:tab w:val="right" w:pos="850"/>
          <w:tab w:val="left" w:pos="1134"/>
          <w:tab w:val="left" w:pos="1559"/>
          <w:tab w:val="left" w:pos="1984"/>
          <w:tab w:val="left" w:leader="dot" w:pos="7654"/>
          <w:tab w:val="right" w:pos="8929"/>
          <w:tab w:val="right" w:pos="9638"/>
        </w:tabs>
        <w:spacing w:before="120" w:after="120"/>
      </w:pPr>
      <w:r>
        <w:tab/>
      </w:r>
      <w:r>
        <w:tab/>
      </w:r>
      <w:r>
        <w:tab/>
        <w:t>2.</w:t>
      </w:r>
      <w:r>
        <w:tab/>
        <w:t>CTUs equipped with tracking devices containing lithium batteries</w:t>
      </w:r>
      <w:r>
        <w:tab/>
      </w:r>
      <w:r>
        <w:tab/>
      </w:r>
      <w:r w:rsidR="00514AE9">
        <w:t>38-40</w:t>
      </w:r>
      <w:r w:rsidR="00514AE9">
        <w:tab/>
        <w:t>10</w:t>
      </w:r>
    </w:p>
    <w:p w:rsidR="008A4A98" w:rsidRDefault="008A4A98" w:rsidP="00D41905">
      <w:pPr>
        <w:tabs>
          <w:tab w:val="right" w:pos="850"/>
          <w:tab w:val="left" w:pos="1134"/>
          <w:tab w:val="left" w:pos="1559"/>
          <w:tab w:val="left" w:pos="1984"/>
          <w:tab w:val="left" w:leader="dot" w:pos="7654"/>
          <w:tab w:val="right" w:pos="8929"/>
          <w:tab w:val="right" w:pos="9638"/>
        </w:tabs>
        <w:spacing w:before="120" w:after="120"/>
      </w:pPr>
      <w:r>
        <w:tab/>
      </w:r>
      <w:r>
        <w:tab/>
      </w:r>
      <w:r>
        <w:tab/>
        <w:t>3.</w:t>
      </w:r>
      <w:r>
        <w:tab/>
        <w:t>Transport of damaged/defective lithium batteries, step 1</w:t>
      </w:r>
      <w:r>
        <w:tab/>
      </w:r>
      <w:r>
        <w:tab/>
      </w:r>
      <w:r w:rsidR="00514AE9">
        <w:t>41-42</w:t>
      </w:r>
      <w:r w:rsidR="00514AE9">
        <w:tab/>
        <w:t>11</w:t>
      </w:r>
    </w:p>
    <w:p w:rsidR="00022685" w:rsidRDefault="00022685" w:rsidP="00D41905">
      <w:pPr>
        <w:tabs>
          <w:tab w:val="right" w:pos="850"/>
          <w:tab w:val="left" w:pos="1134"/>
          <w:tab w:val="left" w:pos="1559"/>
          <w:tab w:val="left" w:pos="1984"/>
          <w:tab w:val="left" w:leader="dot" w:pos="7654"/>
          <w:tab w:val="right" w:pos="8929"/>
          <w:tab w:val="right" w:pos="9638"/>
        </w:tabs>
        <w:spacing w:before="120" w:after="120"/>
      </w:pPr>
      <w:r>
        <w:tab/>
      </w:r>
      <w:r>
        <w:tab/>
      </w:r>
      <w:r>
        <w:tab/>
        <w:t>4.</w:t>
      </w:r>
      <w:r>
        <w:tab/>
        <w:t xml:space="preserve">Transport of damaged/defective lithium </w:t>
      </w:r>
      <w:r w:rsidR="00514AE9">
        <w:t>batteries, step II</w:t>
      </w:r>
      <w:r w:rsidR="00514AE9">
        <w:tab/>
      </w:r>
      <w:r w:rsidR="00514AE9">
        <w:tab/>
        <w:t>44</w:t>
      </w:r>
      <w:r w:rsidR="00514AE9">
        <w:tab/>
        <w:t>11</w:t>
      </w:r>
    </w:p>
    <w:p w:rsidR="00022685" w:rsidRDefault="00022685" w:rsidP="00D41905">
      <w:pPr>
        <w:tabs>
          <w:tab w:val="right" w:pos="850"/>
          <w:tab w:val="left" w:pos="1134"/>
          <w:tab w:val="left" w:pos="1559"/>
          <w:tab w:val="left" w:pos="1984"/>
          <w:tab w:val="left" w:leader="dot" w:pos="7654"/>
          <w:tab w:val="right" w:pos="8929"/>
          <w:tab w:val="right" w:pos="9638"/>
        </w:tabs>
        <w:spacing w:before="120" w:after="120"/>
      </w:pPr>
      <w:r>
        <w:tab/>
      </w:r>
      <w:r>
        <w:tab/>
      </w:r>
      <w:r>
        <w:tab/>
        <w:t>5.</w:t>
      </w:r>
      <w:r>
        <w:tab/>
        <w:t>Classification of rechargeable lithium m</w:t>
      </w:r>
      <w:r w:rsidR="00514AE9">
        <w:t>etal polymer batteries</w:t>
      </w:r>
      <w:r w:rsidR="00514AE9">
        <w:tab/>
      </w:r>
      <w:r w:rsidR="00514AE9">
        <w:tab/>
        <w:t>45-46</w:t>
      </w:r>
      <w:r w:rsidR="00514AE9">
        <w:tab/>
        <w:t>11</w:t>
      </w:r>
    </w:p>
    <w:p w:rsidR="00022685" w:rsidRDefault="00022685" w:rsidP="00D41905">
      <w:pPr>
        <w:tabs>
          <w:tab w:val="right" w:pos="850"/>
          <w:tab w:val="left" w:pos="1134"/>
          <w:tab w:val="left" w:pos="1559"/>
          <w:tab w:val="left" w:pos="1984"/>
          <w:tab w:val="left" w:leader="dot" w:pos="7654"/>
          <w:tab w:val="right" w:pos="8929"/>
          <w:tab w:val="right" w:pos="9638"/>
        </w:tabs>
        <w:spacing w:before="120" w:after="120"/>
      </w:pPr>
      <w:r>
        <w:tab/>
      </w:r>
      <w:r>
        <w:tab/>
      </w:r>
      <w:r>
        <w:tab/>
        <w:t>6.</w:t>
      </w:r>
      <w:r>
        <w:tab/>
        <w:t xml:space="preserve">Comments on the new entry for lithium batteries installed in cargo </w:t>
      </w:r>
      <w:r>
        <w:br/>
      </w:r>
      <w:r>
        <w:tab/>
      </w:r>
      <w:r>
        <w:tab/>
      </w:r>
      <w:r>
        <w:tab/>
      </w:r>
      <w:r>
        <w:tab/>
        <w:t>transport units (UN No. 3536 a</w:t>
      </w:r>
      <w:r w:rsidR="00514AE9">
        <w:t>nd special provision 389)</w:t>
      </w:r>
      <w:r w:rsidR="00514AE9">
        <w:tab/>
      </w:r>
      <w:r w:rsidR="00514AE9">
        <w:tab/>
        <w:t>47</w:t>
      </w:r>
      <w:r w:rsidR="00514AE9">
        <w:tab/>
        <w:t>12</w:t>
      </w:r>
    </w:p>
    <w:p w:rsidR="00022685" w:rsidRDefault="00022685" w:rsidP="00D41905">
      <w:pPr>
        <w:tabs>
          <w:tab w:val="right" w:pos="850"/>
          <w:tab w:val="left" w:pos="1134"/>
          <w:tab w:val="left" w:pos="1559"/>
          <w:tab w:val="left" w:pos="1984"/>
          <w:tab w:val="left" w:leader="dot" w:pos="7654"/>
          <w:tab w:val="right" w:pos="8929"/>
          <w:tab w:val="right" w:pos="9638"/>
        </w:tabs>
        <w:spacing w:before="120" w:after="120"/>
      </w:pPr>
      <w:r>
        <w:tab/>
      </w:r>
      <w:r>
        <w:tab/>
      </w:r>
      <w:r>
        <w:tab/>
        <w:t>7.</w:t>
      </w:r>
      <w:r>
        <w:tab/>
        <w:t>The safe transport of li</w:t>
      </w:r>
      <w:r w:rsidR="00514AE9">
        <w:t>thium batteries by air</w:t>
      </w:r>
      <w:r w:rsidR="00514AE9">
        <w:tab/>
      </w:r>
      <w:r w:rsidR="00514AE9">
        <w:tab/>
        <w:t>48-50</w:t>
      </w:r>
      <w:r w:rsidR="00514AE9">
        <w:tab/>
        <w:t>12</w:t>
      </w:r>
    </w:p>
    <w:p w:rsidR="00022685" w:rsidRDefault="00022685" w:rsidP="00D41905">
      <w:pPr>
        <w:tabs>
          <w:tab w:val="right" w:pos="850"/>
          <w:tab w:val="left" w:pos="1134"/>
          <w:tab w:val="left" w:pos="1559"/>
          <w:tab w:val="left" w:pos="1984"/>
          <w:tab w:val="left" w:leader="dot" w:pos="7654"/>
          <w:tab w:val="right" w:pos="8929"/>
          <w:tab w:val="right" w:pos="9638"/>
        </w:tabs>
        <w:spacing w:before="120" w:after="120"/>
      </w:pPr>
      <w:r>
        <w:tab/>
      </w:r>
      <w:r w:rsidR="00514AE9">
        <w:tab/>
      </w:r>
      <w:r w:rsidR="00514AE9">
        <w:tab/>
        <w:t>8.</w:t>
      </w:r>
      <w:r w:rsidR="00514AE9">
        <w:tab/>
        <w:t>Sodium-ion batteries</w:t>
      </w:r>
      <w:r w:rsidR="00514AE9">
        <w:tab/>
      </w:r>
      <w:r w:rsidR="00514AE9">
        <w:tab/>
        <w:t>51</w:t>
      </w:r>
      <w:r w:rsidR="00514AE9">
        <w:tab/>
        <w:t>12</w:t>
      </w:r>
    </w:p>
    <w:p w:rsidR="00022685" w:rsidRDefault="00022685" w:rsidP="00D41905">
      <w:pPr>
        <w:tabs>
          <w:tab w:val="right" w:pos="850"/>
          <w:tab w:val="left" w:pos="1134"/>
          <w:tab w:val="left" w:pos="1559"/>
          <w:tab w:val="left" w:pos="1984"/>
          <w:tab w:val="left" w:leader="dot" w:pos="7654"/>
          <w:tab w:val="right" w:pos="8929"/>
          <w:tab w:val="right" w:pos="9638"/>
        </w:tabs>
        <w:spacing w:before="120" w:after="120"/>
      </w:pPr>
      <w:r>
        <w:tab/>
      </w:r>
      <w:r>
        <w:tab/>
      </w:r>
      <w:r>
        <w:tab/>
        <w:t>9.</w:t>
      </w:r>
      <w:r>
        <w:tab/>
        <w:t>Amendments to</w:t>
      </w:r>
      <w:r w:rsidR="00514AE9">
        <w:t xml:space="preserve"> Special Provision 376</w:t>
      </w:r>
      <w:r w:rsidR="00514AE9">
        <w:tab/>
      </w:r>
      <w:r w:rsidR="00514AE9">
        <w:tab/>
        <w:t>52-54</w:t>
      </w:r>
      <w:r w:rsidR="00514AE9">
        <w:tab/>
        <w:t>13</w:t>
      </w:r>
    </w:p>
    <w:p w:rsidR="00022685" w:rsidRDefault="00022685" w:rsidP="00D41905">
      <w:pPr>
        <w:tabs>
          <w:tab w:val="right" w:pos="850"/>
          <w:tab w:val="left" w:pos="1134"/>
          <w:tab w:val="left" w:pos="1559"/>
          <w:tab w:val="left" w:pos="1984"/>
          <w:tab w:val="left" w:leader="dot" w:pos="7654"/>
          <w:tab w:val="right" w:pos="8929"/>
          <w:tab w:val="right" w:pos="9638"/>
        </w:tabs>
        <w:spacing w:before="120" w:after="120"/>
      </w:pPr>
      <w:r>
        <w:tab/>
      </w:r>
      <w:r>
        <w:tab/>
      </w:r>
      <w:r>
        <w:tab/>
        <w:t>10.</w:t>
      </w:r>
      <w:r>
        <w:tab/>
        <w:t>Corrections to ST/SG/AC.10/C.3/2016/55, paragraph 38.3.3 (c)</w:t>
      </w:r>
      <w:r>
        <w:br/>
      </w:r>
      <w:r>
        <w:tab/>
      </w:r>
      <w:r>
        <w:tab/>
      </w:r>
      <w:r>
        <w:tab/>
      </w:r>
      <w:r>
        <w:tab/>
        <w:t>of the Man</w:t>
      </w:r>
      <w:r w:rsidR="001E16CB">
        <w:t>ual of Tests and Criteria</w:t>
      </w:r>
      <w:r w:rsidR="001E16CB">
        <w:tab/>
      </w:r>
      <w:r w:rsidR="001E16CB">
        <w:tab/>
        <w:t>5</w:t>
      </w:r>
      <w:r w:rsidR="00514AE9">
        <w:t>5</w:t>
      </w:r>
      <w:r w:rsidR="00514AE9">
        <w:tab/>
        <w:t>13</w:t>
      </w:r>
    </w:p>
    <w:p w:rsidR="00022685" w:rsidRDefault="00022685" w:rsidP="00D41905">
      <w:pPr>
        <w:tabs>
          <w:tab w:val="right" w:pos="850"/>
          <w:tab w:val="left" w:pos="1134"/>
          <w:tab w:val="left" w:pos="1559"/>
          <w:tab w:val="left" w:pos="1984"/>
          <w:tab w:val="left" w:leader="dot" w:pos="7654"/>
          <w:tab w:val="right" w:pos="8929"/>
          <w:tab w:val="right" w:pos="9638"/>
        </w:tabs>
        <w:spacing w:before="120" w:after="120"/>
      </w:pPr>
      <w:r>
        <w:tab/>
      </w:r>
      <w:r>
        <w:tab/>
      </w:r>
      <w:r>
        <w:tab/>
        <w:t>11.</w:t>
      </w:r>
      <w:r>
        <w:tab/>
        <w:t>Li</w:t>
      </w:r>
      <w:r w:rsidR="00514AE9">
        <w:t>thium battery test report</w:t>
      </w:r>
      <w:r w:rsidR="00514AE9">
        <w:tab/>
      </w:r>
      <w:r w:rsidR="00514AE9">
        <w:tab/>
        <w:t>56</w:t>
      </w:r>
      <w:r w:rsidR="00514AE9">
        <w:tab/>
        <w:t>13</w:t>
      </w:r>
    </w:p>
    <w:p w:rsidR="00022685" w:rsidRDefault="00022685" w:rsidP="00D41905">
      <w:pPr>
        <w:tabs>
          <w:tab w:val="right" w:pos="850"/>
          <w:tab w:val="left" w:pos="1134"/>
          <w:tab w:val="left" w:pos="1559"/>
          <w:tab w:val="left" w:pos="1984"/>
          <w:tab w:val="left" w:leader="dot" w:pos="7654"/>
          <w:tab w:val="right" w:pos="8929"/>
          <w:tab w:val="right" w:pos="9638"/>
        </w:tabs>
        <w:spacing w:before="120" w:after="120"/>
      </w:pPr>
      <w:r>
        <w:tab/>
      </w:r>
      <w:r>
        <w:tab/>
      </w:r>
      <w:r>
        <w:tab/>
        <w:t>12.</w:t>
      </w:r>
      <w:r>
        <w:tab/>
        <w:t>Requirements for packing damaged or defec</w:t>
      </w:r>
      <w:r w:rsidR="00514AE9">
        <w:t>tive lithium batteries</w:t>
      </w:r>
      <w:r w:rsidR="00514AE9">
        <w:tab/>
      </w:r>
      <w:r w:rsidR="00514AE9">
        <w:tab/>
        <w:t>57-58</w:t>
      </w:r>
      <w:r w:rsidR="00514AE9">
        <w:tab/>
        <w:t>13</w:t>
      </w:r>
    </w:p>
    <w:p w:rsidR="00022685" w:rsidRDefault="00022685" w:rsidP="00D41905">
      <w:pPr>
        <w:tabs>
          <w:tab w:val="right" w:pos="850"/>
          <w:tab w:val="left" w:pos="1134"/>
          <w:tab w:val="left" w:pos="1559"/>
          <w:tab w:val="left" w:pos="1984"/>
          <w:tab w:val="left" w:leader="dot" w:pos="7654"/>
          <w:tab w:val="right" w:pos="8929"/>
          <w:tab w:val="right" w:pos="9638"/>
        </w:tabs>
        <w:spacing w:before="120" w:after="120"/>
      </w:pPr>
      <w:r>
        <w:tab/>
      </w:r>
      <w:r>
        <w:tab/>
      </w:r>
      <w:r>
        <w:tab/>
      </w:r>
      <w:r w:rsidR="00A27BC2">
        <w:t>13.</w:t>
      </w:r>
      <w:r w:rsidR="00A27BC2">
        <w:tab/>
        <w:t>L</w:t>
      </w:r>
      <w:r>
        <w:t>ithium ba</w:t>
      </w:r>
      <w:r w:rsidR="00514AE9">
        <w:t>ttery T.2 thermal test</w:t>
      </w:r>
      <w:r w:rsidR="00514AE9">
        <w:tab/>
      </w:r>
      <w:r w:rsidR="00514AE9">
        <w:tab/>
        <w:t>59-60</w:t>
      </w:r>
      <w:r w:rsidR="00514AE9">
        <w:tab/>
        <w:t>14</w:t>
      </w:r>
    </w:p>
    <w:p w:rsidR="00022685" w:rsidRDefault="00022685" w:rsidP="00D41905">
      <w:pPr>
        <w:tabs>
          <w:tab w:val="right" w:pos="850"/>
          <w:tab w:val="left" w:pos="1134"/>
          <w:tab w:val="left" w:pos="1559"/>
          <w:tab w:val="left" w:pos="1984"/>
          <w:tab w:val="left" w:leader="dot" w:pos="7654"/>
          <w:tab w:val="right" w:pos="8929"/>
          <w:tab w:val="right" w:pos="9638"/>
        </w:tabs>
        <w:spacing w:before="120" w:after="120"/>
      </w:pPr>
      <w:r>
        <w:tab/>
      </w:r>
      <w:r>
        <w:tab/>
      </w:r>
      <w:r>
        <w:tab/>
        <w:t>14.</w:t>
      </w:r>
      <w:r>
        <w:tab/>
        <w:t>Edit</w:t>
      </w:r>
      <w:r w:rsidR="00514AE9">
        <w:t>orial correction to 3.3.1</w:t>
      </w:r>
      <w:r w:rsidR="00514AE9">
        <w:tab/>
      </w:r>
      <w:r w:rsidR="00514AE9">
        <w:tab/>
        <w:t>61</w:t>
      </w:r>
      <w:r w:rsidR="00514AE9">
        <w:tab/>
        <w:t>14</w:t>
      </w:r>
    </w:p>
    <w:p w:rsidR="0007221F" w:rsidRDefault="0007221F" w:rsidP="0007221F">
      <w:pPr>
        <w:tabs>
          <w:tab w:val="right" w:pos="850"/>
          <w:tab w:val="left" w:pos="1134"/>
          <w:tab w:val="left" w:pos="1559"/>
          <w:tab w:val="left" w:pos="1984"/>
          <w:tab w:val="left" w:pos="2552"/>
          <w:tab w:val="left" w:leader="dot" w:pos="7654"/>
          <w:tab w:val="right" w:pos="8929"/>
          <w:tab w:val="right" w:pos="9638"/>
        </w:tabs>
        <w:spacing w:before="120" w:after="120"/>
      </w:pPr>
      <w:r>
        <w:tab/>
      </w:r>
      <w:r>
        <w:tab/>
      </w:r>
      <w:r w:rsidR="00022685">
        <w:t>E</w:t>
      </w:r>
      <w:r w:rsidR="00CF3C5D">
        <w:t>.</w:t>
      </w:r>
      <w:r>
        <w:tab/>
        <w:t xml:space="preserve">Transport of gases </w:t>
      </w:r>
      <w:r>
        <w:tab/>
      </w:r>
      <w:r>
        <w:tab/>
      </w:r>
      <w:r w:rsidR="00514AE9">
        <w:t>62</w:t>
      </w:r>
      <w:r w:rsidR="00514AE9">
        <w:tab/>
        <w:t>14</w:t>
      </w:r>
    </w:p>
    <w:p w:rsidR="0007221F" w:rsidRDefault="0007221F" w:rsidP="0007221F">
      <w:pPr>
        <w:tabs>
          <w:tab w:val="right" w:pos="850"/>
          <w:tab w:val="left" w:pos="1134"/>
          <w:tab w:val="left" w:pos="1559"/>
          <w:tab w:val="left" w:pos="1984"/>
          <w:tab w:val="left" w:pos="2552"/>
          <w:tab w:val="left" w:leader="dot" w:pos="7654"/>
          <w:tab w:val="right" w:pos="8929"/>
          <w:tab w:val="right" w:pos="9638"/>
        </w:tabs>
        <w:spacing w:before="120" w:after="120"/>
      </w:pPr>
      <w:r>
        <w:tab/>
      </w:r>
      <w:r>
        <w:tab/>
      </w:r>
      <w:r w:rsidR="00E3301C">
        <w:t>F</w:t>
      </w:r>
      <w:r w:rsidR="00CF3C5D">
        <w:t>.</w:t>
      </w:r>
      <w:r>
        <w:tab/>
        <w:t>Miscellaneous pending issues</w:t>
      </w:r>
      <w:r>
        <w:tab/>
      </w:r>
      <w:r>
        <w:tab/>
      </w:r>
      <w:r w:rsidR="00514AE9">
        <w:t>63</w:t>
      </w:r>
      <w:r w:rsidR="00514AE9">
        <w:tab/>
        <w:t>14</w:t>
      </w:r>
    </w:p>
    <w:p w:rsidR="0007221F" w:rsidRDefault="0007221F" w:rsidP="0007221F">
      <w:pPr>
        <w:tabs>
          <w:tab w:val="right" w:pos="850"/>
          <w:tab w:val="left" w:pos="1134"/>
          <w:tab w:val="left" w:pos="1559"/>
          <w:tab w:val="left" w:pos="1984"/>
          <w:tab w:val="left" w:leader="dot" w:pos="7654"/>
          <w:tab w:val="right" w:pos="8929"/>
          <w:tab w:val="right" w:pos="9638"/>
        </w:tabs>
        <w:spacing w:before="120" w:after="120"/>
      </w:pPr>
      <w:r w:rsidRPr="00C81B92">
        <w:tab/>
        <w:t>IV.</w:t>
      </w:r>
      <w:r w:rsidRPr="00C81B92">
        <w:tab/>
      </w:r>
      <w:r>
        <w:t>Global harmonization of transport of dangerous goods regulations</w:t>
      </w:r>
      <w:r>
        <w:br/>
      </w:r>
      <w:r>
        <w:tab/>
      </w:r>
      <w:r>
        <w:tab/>
        <w:t xml:space="preserve">with the Model Regulations </w:t>
      </w:r>
      <w:r w:rsidRPr="00C81B92">
        <w:t>(agenda item 3)</w:t>
      </w:r>
      <w:r w:rsidRPr="00C81B92">
        <w:tab/>
      </w:r>
      <w:r w:rsidRPr="00C81B92">
        <w:tab/>
      </w:r>
      <w:r w:rsidR="00514AE9">
        <w:t>64-65</w:t>
      </w:r>
      <w:r w:rsidR="00514AE9">
        <w:tab/>
        <w:t>14</w:t>
      </w:r>
    </w:p>
    <w:p w:rsidR="0007221F" w:rsidRDefault="0007221F" w:rsidP="0007221F">
      <w:pPr>
        <w:tabs>
          <w:tab w:val="right" w:pos="850"/>
          <w:tab w:val="left" w:pos="1134"/>
          <w:tab w:val="left" w:pos="1559"/>
          <w:tab w:val="left" w:pos="1843"/>
          <w:tab w:val="left" w:leader="dot" w:pos="7654"/>
          <w:tab w:val="right" w:pos="8929"/>
          <w:tab w:val="right" w:pos="9638"/>
        </w:tabs>
        <w:spacing w:before="120" w:after="120"/>
      </w:pPr>
      <w:r w:rsidRPr="00C81B92">
        <w:tab/>
        <w:t>V.</w:t>
      </w:r>
      <w:r w:rsidRPr="00C81B92">
        <w:tab/>
      </w:r>
      <w:r>
        <w:t>Guiding principles for the Model Regulations</w:t>
      </w:r>
      <w:r w:rsidRPr="00C81B92">
        <w:t xml:space="preserve"> (agenda item 4)</w:t>
      </w:r>
      <w:r w:rsidRPr="00C81B92">
        <w:tab/>
      </w:r>
      <w:r w:rsidRPr="00C81B92">
        <w:tab/>
      </w:r>
      <w:r w:rsidR="00514AE9">
        <w:t>66</w:t>
      </w:r>
      <w:r w:rsidR="00514AE9">
        <w:tab/>
        <w:t>15</w:t>
      </w:r>
    </w:p>
    <w:p w:rsidR="0007221F" w:rsidRDefault="0007221F" w:rsidP="0007221F">
      <w:pPr>
        <w:tabs>
          <w:tab w:val="right" w:pos="850"/>
          <w:tab w:val="left" w:pos="1134"/>
          <w:tab w:val="left" w:pos="1559"/>
          <w:tab w:val="left" w:pos="1843"/>
          <w:tab w:val="left" w:leader="dot" w:pos="7654"/>
          <w:tab w:val="right" w:pos="8929"/>
          <w:tab w:val="right" w:pos="9638"/>
        </w:tabs>
        <w:spacing w:before="120" w:after="120"/>
      </w:pPr>
      <w:r>
        <w:tab/>
        <w:t>VI.</w:t>
      </w:r>
      <w:r>
        <w:tab/>
        <w:t>Cooperation with the International Atomic Energy Agency (agenda item 5)</w:t>
      </w:r>
      <w:r>
        <w:tab/>
      </w:r>
      <w:r>
        <w:tab/>
      </w:r>
      <w:r w:rsidR="00514AE9">
        <w:t>67</w:t>
      </w:r>
      <w:r w:rsidR="00514AE9">
        <w:tab/>
        <w:t>15</w:t>
      </w:r>
    </w:p>
    <w:p w:rsidR="0007221F" w:rsidRDefault="0007221F" w:rsidP="0007221F">
      <w:pPr>
        <w:tabs>
          <w:tab w:val="right" w:pos="850"/>
          <w:tab w:val="left" w:pos="1134"/>
          <w:tab w:val="left" w:pos="1559"/>
          <w:tab w:val="left" w:pos="1843"/>
          <w:tab w:val="left" w:leader="dot" w:pos="7654"/>
          <w:tab w:val="right" w:pos="8929"/>
          <w:tab w:val="right" w:pos="9638"/>
        </w:tabs>
        <w:spacing w:before="120" w:after="120"/>
      </w:pPr>
      <w:r>
        <w:tab/>
        <w:t>VII.</w:t>
      </w:r>
      <w:r>
        <w:tab/>
        <w:t>New proposals for amendments to the Model Regulations on the</w:t>
      </w:r>
      <w:r>
        <w:br/>
      </w:r>
      <w:r>
        <w:tab/>
      </w:r>
      <w:r>
        <w:tab/>
        <w:t>Transport of Dangerous Goods (agenda item 6)</w:t>
      </w:r>
      <w:r>
        <w:tab/>
      </w:r>
      <w:r>
        <w:tab/>
      </w:r>
      <w:r w:rsidR="00514AE9">
        <w:t>68-77</w:t>
      </w:r>
      <w:r w:rsidR="00514AE9">
        <w:tab/>
        <w:t>15</w:t>
      </w:r>
    </w:p>
    <w:p w:rsidR="00040FDD" w:rsidRDefault="00040FDD" w:rsidP="0007221F">
      <w:pPr>
        <w:tabs>
          <w:tab w:val="right" w:pos="850"/>
          <w:tab w:val="left" w:pos="1134"/>
          <w:tab w:val="left" w:pos="1559"/>
          <w:tab w:val="left" w:pos="1843"/>
          <w:tab w:val="left" w:leader="dot" w:pos="7654"/>
          <w:tab w:val="right" w:pos="8929"/>
          <w:tab w:val="right" w:pos="9638"/>
        </w:tabs>
        <w:spacing w:before="120" w:after="120"/>
      </w:pPr>
      <w:r>
        <w:tab/>
      </w:r>
      <w:r w:rsidR="00CF3C5D">
        <w:tab/>
      </w:r>
      <w:r>
        <w:t>A.</w:t>
      </w:r>
      <w:r>
        <w:tab/>
        <w:t>Amendments to section 2.9.4 – lithium batteries and special provisi</w:t>
      </w:r>
      <w:r w:rsidR="00514AE9">
        <w:t>on 310</w:t>
      </w:r>
      <w:r w:rsidR="00514AE9">
        <w:tab/>
      </w:r>
      <w:r w:rsidR="00514AE9">
        <w:tab/>
        <w:t>68-71</w:t>
      </w:r>
      <w:r w:rsidR="00514AE9">
        <w:tab/>
        <w:t>15</w:t>
      </w:r>
    </w:p>
    <w:p w:rsidR="00040FDD" w:rsidRDefault="00040FDD" w:rsidP="0007221F">
      <w:pPr>
        <w:tabs>
          <w:tab w:val="right" w:pos="850"/>
          <w:tab w:val="left" w:pos="1134"/>
          <w:tab w:val="left" w:pos="1559"/>
          <w:tab w:val="left" w:pos="1843"/>
          <w:tab w:val="left" w:leader="dot" w:pos="7654"/>
          <w:tab w:val="right" w:pos="8929"/>
          <w:tab w:val="right" w:pos="9638"/>
        </w:tabs>
        <w:spacing w:before="120" w:after="120"/>
      </w:pPr>
      <w:r>
        <w:tab/>
      </w:r>
      <w:r w:rsidR="00CF3C5D">
        <w:tab/>
      </w:r>
      <w:r>
        <w:t>B.</w:t>
      </w:r>
      <w:r>
        <w:tab/>
        <w:t xml:space="preserve">Maximum capacity of composite </w:t>
      </w:r>
      <w:proofErr w:type="spellStart"/>
      <w:r>
        <w:t>packagings</w:t>
      </w:r>
      <w:proofErr w:type="spellEnd"/>
      <w:r w:rsidR="00514AE9">
        <w:t xml:space="preserve"> 6HH1 for packing group I</w:t>
      </w:r>
      <w:r w:rsidR="00514AE9">
        <w:tab/>
      </w:r>
      <w:r w:rsidR="00514AE9">
        <w:tab/>
        <w:t>72</w:t>
      </w:r>
      <w:r w:rsidR="00514AE9">
        <w:tab/>
        <w:t>16</w:t>
      </w:r>
    </w:p>
    <w:p w:rsidR="00040FDD" w:rsidRDefault="00040FDD" w:rsidP="0007221F">
      <w:pPr>
        <w:tabs>
          <w:tab w:val="right" w:pos="850"/>
          <w:tab w:val="left" w:pos="1134"/>
          <w:tab w:val="left" w:pos="1559"/>
          <w:tab w:val="left" w:pos="1843"/>
          <w:tab w:val="left" w:leader="dot" w:pos="7654"/>
          <w:tab w:val="right" w:pos="8929"/>
          <w:tab w:val="right" w:pos="9638"/>
        </w:tabs>
        <w:spacing w:before="120" w:after="120"/>
      </w:pPr>
      <w:r>
        <w:tab/>
      </w:r>
      <w:r w:rsidR="00CF3C5D">
        <w:tab/>
      </w:r>
      <w:r>
        <w:t>C.</w:t>
      </w:r>
      <w:r>
        <w:tab/>
        <w:t>Lead lining testing requirements f</w:t>
      </w:r>
      <w:r w:rsidR="00514AE9">
        <w:t>or bromine portable tanks</w:t>
      </w:r>
      <w:r w:rsidR="00514AE9">
        <w:tab/>
      </w:r>
      <w:r w:rsidR="00514AE9">
        <w:tab/>
        <w:t>73</w:t>
      </w:r>
      <w:r w:rsidR="00514AE9">
        <w:tab/>
        <w:t>16</w:t>
      </w:r>
    </w:p>
    <w:p w:rsidR="00040FDD" w:rsidRDefault="00040FDD" w:rsidP="0007221F">
      <w:pPr>
        <w:tabs>
          <w:tab w:val="right" w:pos="850"/>
          <w:tab w:val="left" w:pos="1134"/>
          <w:tab w:val="left" w:pos="1559"/>
          <w:tab w:val="left" w:pos="1843"/>
          <w:tab w:val="left" w:leader="dot" w:pos="7654"/>
          <w:tab w:val="right" w:pos="8929"/>
          <w:tab w:val="right" w:pos="9638"/>
        </w:tabs>
        <w:spacing w:before="120" w:after="120"/>
      </w:pPr>
      <w:r>
        <w:lastRenderedPageBreak/>
        <w:tab/>
      </w:r>
      <w:r w:rsidR="00CF3C5D">
        <w:tab/>
      </w:r>
      <w:r>
        <w:t>D.</w:t>
      </w:r>
      <w:r>
        <w:tab/>
        <w:t>Classification of mixtures of environmentally hazardous substances</w:t>
      </w:r>
      <w:r w:rsidR="00514AE9">
        <w:tab/>
      </w:r>
      <w:r w:rsidR="00514AE9">
        <w:tab/>
        <w:t>74</w:t>
      </w:r>
      <w:r w:rsidR="00514AE9">
        <w:tab/>
        <w:t>16</w:t>
      </w:r>
    </w:p>
    <w:p w:rsidR="00040FDD" w:rsidRDefault="00040FDD" w:rsidP="0007221F">
      <w:pPr>
        <w:tabs>
          <w:tab w:val="right" w:pos="850"/>
          <w:tab w:val="left" w:pos="1134"/>
          <w:tab w:val="left" w:pos="1559"/>
          <w:tab w:val="left" w:pos="1843"/>
          <w:tab w:val="left" w:leader="dot" w:pos="7654"/>
          <w:tab w:val="right" w:pos="8929"/>
          <w:tab w:val="right" w:pos="9638"/>
        </w:tabs>
        <w:spacing w:before="120" w:after="120"/>
      </w:pPr>
      <w:r>
        <w:tab/>
      </w:r>
      <w:r w:rsidR="00CF3C5D">
        <w:tab/>
      </w:r>
      <w:r>
        <w:t>E.</w:t>
      </w:r>
      <w:r>
        <w:tab/>
        <w:t>Marking and documentation of</w:t>
      </w:r>
      <w:r w:rsidR="00514AE9">
        <w:t xml:space="preserve"> large salvage </w:t>
      </w:r>
      <w:proofErr w:type="spellStart"/>
      <w:r w:rsidR="00514AE9">
        <w:t>packagings</w:t>
      </w:r>
      <w:proofErr w:type="spellEnd"/>
      <w:r w:rsidR="00514AE9">
        <w:tab/>
      </w:r>
      <w:r w:rsidR="00514AE9">
        <w:tab/>
        <w:t>75</w:t>
      </w:r>
      <w:r w:rsidR="00514AE9">
        <w:tab/>
        <w:t>16</w:t>
      </w:r>
    </w:p>
    <w:p w:rsidR="00040FDD" w:rsidRDefault="00040FDD" w:rsidP="0007221F">
      <w:pPr>
        <w:tabs>
          <w:tab w:val="right" w:pos="850"/>
          <w:tab w:val="left" w:pos="1134"/>
          <w:tab w:val="left" w:pos="1559"/>
          <w:tab w:val="left" w:pos="1843"/>
          <w:tab w:val="left" w:leader="dot" w:pos="7654"/>
          <w:tab w:val="right" w:pos="8929"/>
          <w:tab w:val="right" w:pos="9638"/>
        </w:tabs>
        <w:spacing w:before="120" w:after="120"/>
      </w:pPr>
      <w:r>
        <w:tab/>
      </w:r>
      <w:r w:rsidR="00CF3C5D">
        <w:tab/>
      </w:r>
      <w:r>
        <w:t>F.</w:t>
      </w:r>
      <w:r>
        <w:tab/>
        <w:t>Adsorbed g</w:t>
      </w:r>
      <w:r w:rsidR="00A27BC2">
        <w:t>ases – exemptions for gases of D</w:t>
      </w:r>
      <w:r>
        <w:t>ivision 2.2</w:t>
      </w:r>
      <w:r>
        <w:br/>
      </w:r>
      <w:r>
        <w:tab/>
      </w:r>
      <w:r>
        <w:tab/>
      </w:r>
      <w:r w:rsidR="00CF3C5D">
        <w:tab/>
      </w:r>
      <w:r>
        <w:t>(</w:t>
      </w:r>
      <w:r w:rsidR="00514AE9">
        <w:t>non-toxic, non-flammable)</w:t>
      </w:r>
      <w:r w:rsidR="00514AE9">
        <w:tab/>
      </w:r>
      <w:r w:rsidR="00514AE9">
        <w:tab/>
        <w:t>76</w:t>
      </w:r>
      <w:r w:rsidR="00514AE9">
        <w:tab/>
        <w:t>16</w:t>
      </w:r>
    </w:p>
    <w:p w:rsidR="00040FDD" w:rsidRDefault="00040FDD" w:rsidP="0007221F">
      <w:pPr>
        <w:tabs>
          <w:tab w:val="right" w:pos="850"/>
          <w:tab w:val="left" w:pos="1134"/>
          <w:tab w:val="left" w:pos="1559"/>
          <w:tab w:val="left" w:pos="1843"/>
          <w:tab w:val="left" w:leader="dot" w:pos="7654"/>
          <w:tab w:val="right" w:pos="8929"/>
          <w:tab w:val="right" w:pos="9638"/>
        </w:tabs>
        <w:spacing w:before="120" w:after="120"/>
      </w:pPr>
      <w:r>
        <w:tab/>
      </w:r>
      <w:r w:rsidR="00CF3C5D">
        <w:tab/>
      </w:r>
      <w:r>
        <w:t>G.</w:t>
      </w:r>
      <w:r>
        <w:tab/>
        <w:t xml:space="preserve">New UN entries </w:t>
      </w:r>
      <w:r w:rsidR="00514AE9">
        <w:t>for electronic detonators</w:t>
      </w:r>
      <w:r w:rsidR="00514AE9">
        <w:tab/>
      </w:r>
      <w:r w:rsidR="00514AE9">
        <w:tab/>
        <w:t>77</w:t>
      </w:r>
      <w:r w:rsidR="00514AE9">
        <w:tab/>
        <w:t>16</w:t>
      </w:r>
    </w:p>
    <w:p w:rsidR="0007221F" w:rsidRDefault="0007221F" w:rsidP="0007221F">
      <w:pPr>
        <w:tabs>
          <w:tab w:val="right" w:pos="850"/>
          <w:tab w:val="left" w:pos="1134"/>
          <w:tab w:val="left" w:pos="1559"/>
          <w:tab w:val="left" w:pos="1843"/>
          <w:tab w:val="left" w:leader="dot" w:pos="7654"/>
          <w:tab w:val="right" w:pos="8929"/>
          <w:tab w:val="right" w:pos="9638"/>
        </w:tabs>
        <w:spacing w:before="120" w:after="120"/>
      </w:pPr>
      <w:r>
        <w:tab/>
        <w:t>VIII.</w:t>
      </w:r>
      <w:r>
        <w:tab/>
        <w:t xml:space="preserve">Issues relating to the Globally Harmonized System of Classification and </w:t>
      </w:r>
      <w:r>
        <w:br/>
      </w:r>
      <w:r>
        <w:tab/>
      </w:r>
      <w:r>
        <w:tab/>
        <w:t>Labelling of Chemicals (agenda item 7)</w:t>
      </w:r>
      <w:r>
        <w:tab/>
      </w:r>
      <w:r>
        <w:tab/>
      </w:r>
      <w:r w:rsidR="00514AE9">
        <w:t>78-92</w:t>
      </w:r>
      <w:r w:rsidR="00514AE9">
        <w:tab/>
        <w:t>17</w:t>
      </w:r>
    </w:p>
    <w:p w:rsidR="00040FDD" w:rsidRDefault="00040FDD" w:rsidP="0007221F">
      <w:pPr>
        <w:tabs>
          <w:tab w:val="right" w:pos="850"/>
          <w:tab w:val="left" w:pos="1134"/>
          <w:tab w:val="left" w:pos="1559"/>
          <w:tab w:val="left" w:pos="1843"/>
          <w:tab w:val="left" w:leader="dot" w:pos="7654"/>
          <w:tab w:val="right" w:pos="8929"/>
          <w:tab w:val="right" w:pos="9638"/>
        </w:tabs>
        <w:spacing w:before="120" w:after="120"/>
      </w:pPr>
      <w:r>
        <w:tab/>
      </w:r>
      <w:r w:rsidR="00CF3C5D">
        <w:tab/>
      </w:r>
      <w:r>
        <w:t>A.</w:t>
      </w:r>
      <w:r>
        <w:tab/>
        <w:t>Crit</w:t>
      </w:r>
      <w:r w:rsidR="00514AE9">
        <w:t>eria for water-reactivity</w:t>
      </w:r>
      <w:r w:rsidR="00514AE9">
        <w:tab/>
      </w:r>
      <w:r w:rsidR="00514AE9">
        <w:tab/>
        <w:t>78</w:t>
      </w:r>
      <w:r w:rsidR="00514AE9">
        <w:tab/>
        <w:t>17</w:t>
      </w:r>
    </w:p>
    <w:p w:rsidR="00040FDD" w:rsidRDefault="00040FDD" w:rsidP="0007221F">
      <w:pPr>
        <w:tabs>
          <w:tab w:val="right" w:pos="850"/>
          <w:tab w:val="left" w:pos="1134"/>
          <w:tab w:val="left" w:pos="1559"/>
          <w:tab w:val="left" w:pos="1843"/>
          <w:tab w:val="left" w:leader="dot" w:pos="7654"/>
          <w:tab w:val="right" w:pos="8929"/>
          <w:tab w:val="right" w:pos="9638"/>
        </w:tabs>
        <w:spacing w:before="120" w:after="120"/>
      </w:pPr>
      <w:r>
        <w:tab/>
      </w:r>
      <w:r w:rsidR="00CF3C5D">
        <w:tab/>
      </w:r>
      <w:r>
        <w:t>B.</w:t>
      </w:r>
      <w:r>
        <w:tab/>
        <w:t>Tests and criteria for oxidizing liquids (Test O.2) and oxidizing solids</w:t>
      </w:r>
      <w:r>
        <w:br/>
      </w:r>
      <w:r>
        <w:tab/>
      </w:r>
      <w:r>
        <w:tab/>
      </w:r>
      <w:r w:rsidR="00CF3C5D">
        <w:tab/>
      </w:r>
      <w:r>
        <w:t>(Test O.3)</w:t>
      </w:r>
      <w:r>
        <w:tab/>
      </w:r>
      <w:r>
        <w:tab/>
      </w:r>
      <w:r w:rsidR="00514AE9">
        <w:t>79-82</w:t>
      </w:r>
      <w:r w:rsidR="00514AE9">
        <w:tab/>
        <w:t>17</w:t>
      </w:r>
    </w:p>
    <w:p w:rsidR="00040FDD" w:rsidRDefault="00040FDD" w:rsidP="0007221F">
      <w:pPr>
        <w:tabs>
          <w:tab w:val="right" w:pos="850"/>
          <w:tab w:val="left" w:pos="1134"/>
          <w:tab w:val="left" w:pos="1559"/>
          <w:tab w:val="left" w:pos="1843"/>
          <w:tab w:val="left" w:leader="dot" w:pos="7654"/>
          <w:tab w:val="right" w:pos="8929"/>
          <w:tab w:val="right" w:pos="9638"/>
        </w:tabs>
        <w:spacing w:before="120" w:after="120"/>
      </w:pPr>
      <w:r>
        <w:tab/>
      </w:r>
      <w:r w:rsidR="00CF3C5D">
        <w:tab/>
      </w:r>
      <w:r>
        <w:t>C.</w:t>
      </w:r>
      <w:r>
        <w:tab/>
        <w:t>Classification criter</w:t>
      </w:r>
      <w:r w:rsidR="001E16CB">
        <w:t>ia for flamm</w:t>
      </w:r>
      <w:r w:rsidR="00514AE9">
        <w:t>able gases</w:t>
      </w:r>
      <w:r w:rsidR="00514AE9">
        <w:tab/>
      </w:r>
      <w:r w:rsidR="00514AE9">
        <w:tab/>
        <w:t>83-85</w:t>
      </w:r>
      <w:r w:rsidR="00514AE9">
        <w:tab/>
        <w:t>17</w:t>
      </w:r>
    </w:p>
    <w:p w:rsidR="00040FDD" w:rsidRDefault="00040FDD" w:rsidP="0007221F">
      <w:pPr>
        <w:tabs>
          <w:tab w:val="right" w:pos="850"/>
          <w:tab w:val="left" w:pos="1134"/>
          <w:tab w:val="left" w:pos="1559"/>
          <w:tab w:val="left" w:pos="1843"/>
          <w:tab w:val="left" w:leader="dot" w:pos="7654"/>
          <w:tab w:val="right" w:pos="8929"/>
          <w:tab w:val="right" w:pos="9638"/>
        </w:tabs>
        <w:spacing w:before="120" w:after="120"/>
      </w:pPr>
      <w:r>
        <w:tab/>
      </w:r>
      <w:r w:rsidR="00CF3C5D">
        <w:tab/>
      </w:r>
      <w:r>
        <w:t>D.</w:t>
      </w:r>
      <w:r>
        <w:tab/>
        <w:t>Expert judgeme</w:t>
      </w:r>
      <w:r w:rsidR="00514AE9">
        <w:t>nt and weight of evidence</w:t>
      </w:r>
      <w:r w:rsidR="00514AE9">
        <w:tab/>
      </w:r>
      <w:r w:rsidR="00514AE9">
        <w:tab/>
        <w:t>86</w:t>
      </w:r>
      <w:r w:rsidR="00514AE9">
        <w:tab/>
        <w:t>18</w:t>
      </w:r>
    </w:p>
    <w:p w:rsidR="00040FDD" w:rsidRDefault="00514AE9" w:rsidP="0007221F">
      <w:pPr>
        <w:tabs>
          <w:tab w:val="right" w:pos="850"/>
          <w:tab w:val="left" w:pos="1134"/>
          <w:tab w:val="left" w:pos="1559"/>
          <w:tab w:val="left" w:pos="1843"/>
          <w:tab w:val="left" w:leader="dot" w:pos="7654"/>
          <w:tab w:val="right" w:pos="8929"/>
          <w:tab w:val="right" w:pos="9638"/>
        </w:tabs>
        <w:spacing w:before="120" w:after="120"/>
      </w:pPr>
      <w:r>
        <w:tab/>
      </w:r>
      <w:r w:rsidR="00CF3C5D">
        <w:tab/>
      </w:r>
      <w:r>
        <w:t>E.</w:t>
      </w:r>
      <w:r>
        <w:tab/>
      </w:r>
      <w:proofErr w:type="spellStart"/>
      <w:r>
        <w:t>Corrosivity</w:t>
      </w:r>
      <w:proofErr w:type="spellEnd"/>
      <w:r>
        <w:t xml:space="preserve"> criteria</w:t>
      </w:r>
      <w:r>
        <w:tab/>
      </w:r>
      <w:r>
        <w:tab/>
        <w:t>87</w:t>
      </w:r>
      <w:r>
        <w:tab/>
        <w:t>18</w:t>
      </w:r>
    </w:p>
    <w:p w:rsidR="00040FDD" w:rsidRDefault="00040FDD" w:rsidP="0007221F">
      <w:pPr>
        <w:tabs>
          <w:tab w:val="right" w:pos="850"/>
          <w:tab w:val="left" w:pos="1134"/>
          <w:tab w:val="left" w:pos="1559"/>
          <w:tab w:val="left" w:pos="1843"/>
          <w:tab w:val="left" w:leader="dot" w:pos="7654"/>
          <w:tab w:val="right" w:pos="8929"/>
          <w:tab w:val="right" w:pos="9638"/>
        </w:tabs>
        <w:spacing w:before="120" w:after="120"/>
      </w:pPr>
      <w:r>
        <w:tab/>
      </w:r>
      <w:r w:rsidR="00CF3C5D">
        <w:tab/>
      </w:r>
      <w:r>
        <w:t>F.</w:t>
      </w:r>
      <w:r>
        <w:tab/>
        <w:t>Updating of refe</w:t>
      </w:r>
      <w:r w:rsidR="00514AE9">
        <w:t>rences to OECD Guidelines</w:t>
      </w:r>
      <w:r w:rsidR="00514AE9">
        <w:tab/>
      </w:r>
      <w:r w:rsidR="00514AE9">
        <w:tab/>
        <w:t>88</w:t>
      </w:r>
      <w:r w:rsidR="00514AE9">
        <w:tab/>
        <w:t>18</w:t>
      </w:r>
    </w:p>
    <w:p w:rsidR="00040FDD" w:rsidRDefault="00040FDD" w:rsidP="0007221F">
      <w:pPr>
        <w:tabs>
          <w:tab w:val="right" w:pos="850"/>
          <w:tab w:val="left" w:pos="1134"/>
          <w:tab w:val="left" w:pos="1559"/>
          <w:tab w:val="left" w:pos="1843"/>
          <w:tab w:val="left" w:leader="dot" w:pos="7654"/>
          <w:tab w:val="right" w:pos="8929"/>
          <w:tab w:val="right" w:pos="9638"/>
        </w:tabs>
        <w:spacing w:before="120" w:after="120"/>
      </w:pPr>
      <w:r>
        <w:tab/>
      </w:r>
      <w:r w:rsidR="00CF3C5D">
        <w:tab/>
      </w:r>
      <w:r>
        <w:t>G.</w:t>
      </w:r>
      <w:r>
        <w:tab/>
        <w:t>Use of the Manual of Tests and Criteria in the co</w:t>
      </w:r>
      <w:r w:rsidR="00514AE9">
        <w:t>ntext of the GHS</w:t>
      </w:r>
      <w:r w:rsidR="00514AE9">
        <w:tab/>
      </w:r>
      <w:r w:rsidR="00514AE9">
        <w:tab/>
        <w:t>89-90</w:t>
      </w:r>
      <w:r w:rsidR="00514AE9">
        <w:tab/>
        <w:t>18</w:t>
      </w:r>
    </w:p>
    <w:p w:rsidR="00040FDD" w:rsidRDefault="00040FDD" w:rsidP="0007221F">
      <w:pPr>
        <w:tabs>
          <w:tab w:val="right" w:pos="850"/>
          <w:tab w:val="left" w:pos="1134"/>
          <w:tab w:val="left" w:pos="1559"/>
          <w:tab w:val="left" w:pos="1843"/>
          <w:tab w:val="left" w:leader="dot" w:pos="7654"/>
          <w:tab w:val="right" w:pos="8929"/>
          <w:tab w:val="right" w:pos="9638"/>
        </w:tabs>
        <w:spacing w:before="120" w:after="120"/>
      </w:pPr>
      <w:r>
        <w:tab/>
      </w:r>
      <w:r w:rsidR="00CF3C5D">
        <w:tab/>
      </w:r>
      <w:r>
        <w:t>H.</w:t>
      </w:r>
      <w:r>
        <w:tab/>
        <w:t xml:space="preserve">Review </w:t>
      </w:r>
      <w:r w:rsidR="001E16CB">
        <w:t xml:space="preserve">of </w:t>
      </w:r>
      <w:r w:rsidR="00514AE9">
        <w:t>Chapter 2.1 of the GHS</w:t>
      </w:r>
      <w:r w:rsidR="00514AE9">
        <w:tab/>
      </w:r>
      <w:r w:rsidR="00514AE9">
        <w:tab/>
        <w:t>91</w:t>
      </w:r>
      <w:r w:rsidR="00514AE9">
        <w:tab/>
        <w:t>19</w:t>
      </w:r>
    </w:p>
    <w:p w:rsidR="00040FDD" w:rsidRDefault="00514AE9" w:rsidP="0007221F">
      <w:pPr>
        <w:tabs>
          <w:tab w:val="right" w:pos="850"/>
          <w:tab w:val="left" w:pos="1134"/>
          <w:tab w:val="left" w:pos="1559"/>
          <w:tab w:val="left" w:pos="1843"/>
          <w:tab w:val="left" w:leader="dot" w:pos="7654"/>
          <w:tab w:val="right" w:pos="8929"/>
          <w:tab w:val="right" w:pos="9638"/>
        </w:tabs>
        <w:spacing w:before="120" w:after="120"/>
      </w:pPr>
      <w:r>
        <w:tab/>
      </w:r>
      <w:r w:rsidR="00CF3C5D">
        <w:tab/>
      </w:r>
      <w:r>
        <w:t>I.</w:t>
      </w:r>
      <w:r>
        <w:tab/>
        <w:t>Miscellaneous</w:t>
      </w:r>
      <w:r>
        <w:tab/>
      </w:r>
      <w:r>
        <w:tab/>
        <w:t>92</w:t>
      </w:r>
      <w:r>
        <w:tab/>
        <w:t>19</w:t>
      </w:r>
    </w:p>
    <w:p w:rsidR="0007221F" w:rsidRDefault="0007221F" w:rsidP="0007221F">
      <w:pPr>
        <w:tabs>
          <w:tab w:val="right" w:pos="850"/>
          <w:tab w:val="left" w:pos="1134"/>
          <w:tab w:val="left" w:pos="1559"/>
          <w:tab w:val="left" w:pos="1843"/>
          <w:tab w:val="left" w:leader="dot" w:pos="7654"/>
          <w:tab w:val="right" w:pos="8929"/>
          <w:tab w:val="right" w:pos="9638"/>
        </w:tabs>
        <w:spacing w:before="120" w:after="120"/>
      </w:pPr>
      <w:r>
        <w:tab/>
        <w:t>IX.</w:t>
      </w:r>
      <w:r>
        <w:tab/>
        <w:t>Programme of work for the biennium 2017-2018 (agenda item 8)</w:t>
      </w:r>
      <w:r>
        <w:tab/>
      </w:r>
      <w:r>
        <w:tab/>
      </w:r>
      <w:r w:rsidR="00514AE9">
        <w:t>93-98</w:t>
      </w:r>
      <w:r w:rsidR="00514AE9">
        <w:tab/>
        <w:t>19</w:t>
      </w:r>
    </w:p>
    <w:p w:rsidR="00040FDD" w:rsidRDefault="00040FDD" w:rsidP="0007221F">
      <w:pPr>
        <w:tabs>
          <w:tab w:val="right" w:pos="850"/>
          <w:tab w:val="left" w:pos="1134"/>
          <w:tab w:val="left" w:pos="1559"/>
          <w:tab w:val="left" w:pos="1843"/>
          <w:tab w:val="left" w:leader="dot" w:pos="7654"/>
          <w:tab w:val="right" w:pos="8929"/>
          <w:tab w:val="right" w:pos="9638"/>
        </w:tabs>
        <w:spacing w:before="120" w:after="120"/>
      </w:pPr>
      <w:r>
        <w:tab/>
      </w:r>
      <w:r w:rsidR="00CF3C5D">
        <w:tab/>
      </w:r>
      <w:r>
        <w:t>A.</w:t>
      </w:r>
      <w:r>
        <w:tab/>
        <w:t>Outcome of the evaluation of the global and regional impact of UNECE</w:t>
      </w:r>
      <w:r>
        <w:br/>
      </w:r>
      <w:r>
        <w:tab/>
      </w:r>
      <w:r>
        <w:tab/>
      </w:r>
      <w:r w:rsidR="00CF3C5D">
        <w:tab/>
      </w:r>
      <w:r>
        <w:t>regulations and United Nations Recommendations on the Transport of</w:t>
      </w:r>
      <w:r>
        <w:br/>
      </w:r>
      <w:r>
        <w:tab/>
      </w:r>
      <w:r>
        <w:tab/>
      </w:r>
      <w:r w:rsidR="00CF3C5D">
        <w:tab/>
      </w:r>
      <w:r>
        <w:t>Dange</w:t>
      </w:r>
      <w:r w:rsidR="00514AE9">
        <w:t>rous Goods (2005-2014)</w:t>
      </w:r>
      <w:r w:rsidR="00514AE9">
        <w:tab/>
      </w:r>
      <w:r w:rsidR="00514AE9">
        <w:tab/>
        <w:t>93-94</w:t>
      </w:r>
      <w:r w:rsidR="00514AE9">
        <w:tab/>
        <w:t>19</w:t>
      </w:r>
    </w:p>
    <w:p w:rsidR="00040FDD" w:rsidRDefault="00040FDD" w:rsidP="0007221F">
      <w:pPr>
        <w:tabs>
          <w:tab w:val="right" w:pos="850"/>
          <w:tab w:val="left" w:pos="1134"/>
          <w:tab w:val="left" w:pos="1559"/>
          <w:tab w:val="left" w:pos="1843"/>
          <w:tab w:val="left" w:leader="dot" w:pos="7654"/>
          <w:tab w:val="right" w:pos="8929"/>
          <w:tab w:val="right" w:pos="9638"/>
        </w:tabs>
        <w:spacing w:before="120" w:after="120"/>
      </w:pPr>
      <w:r>
        <w:tab/>
      </w:r>
      <w:r w:rsidR="00CF3C5D">
        <w:tab/>
      </w:r>
      <w:r>
        <w:t>B.</w:t>
      </w:r>
      <w:r>
        <w:tab/>
        <w:t>Development of a comprehensive risk-based system to classify lithium</w:t>
      </w:r>
      <w:r>
        <w:br/>
      </w:r>
      <w:r>
        <w:tab/>
      </w:r>
      <w:r>
        <w:tab/>
      </w:r>
      <w:r w:rsidR="00CF3C5D">
        <w:tab/>
      </w:r>
      <w:r>
        <w:t>batterie</w:t>
      </w:r>
      <w:r w:rsidR="00514AE9">
        <w:t>s and cells for transport</w:t>
      </w:r>
      <w:r w:rsidR="00514AE9">
        <w:tab/>
      </w:r>
      <w:r w:rsidR="00514AE9">
        <w:tab/>
        <w:t>95</w:t>
      </w:r>
      <w:r w:rsidR="00514AE9">
        <w:tab/>
        <w:t>19</w:t>
      </w:r>
    </w:p>
    <w:p w:rsidR="00040FDD" w:rsidRDefault="00040FDD" w:rsidP="0007221F">
      <w:pPr>
        <w:tabs>
          <w:tab w:val="right" w:pos="850"/>
          <w:tab w:val="left" w:pos="1134"/>
          <w:tab w:val="left" w:pos="1559"/>
          <w:tab w:val="left" w:pos="1843"/>
          <w:tab w:val="left" w:leader="dot" w:pos="7654"/>
          <w:tab w:val="right" w:pos="8929"/>
          <w:tab w:val="right" w:pos="9638"/>
        </w:tabs>
        <w:spacing w:before="120" w:after="120"/>
      </w:pPr>
      <w:r>
        <w:tab/>
      </w:r>
      <w:r w:rsidR="00CF3C5D">
        <w:tab/>
      </w:r>
      <w:r>
        <w:t>C.</w:t>
      </w:r>
      <w:r>
        <w:tab/>
        <w:t>Stability tests for industria</w:t>
      </w:r>
      <w:r w:rsidR="00514AE9">
        <w:t>l nitrocellulose</w:t>
      </w:r>
      <w:r w:rsidR="00514AE9">
        <w:tab/>
      </w:r>
      <w:r w:rsidR="00514AE9">
        <w:tab/>
        <w:t>96</w:t>
      </w:r>
      <w:r w:rsidR="00514AE9">
        <w:tab/>
        <w:t>20</w:t>
      </w:r>
    </w:p>
    <w:p w:rsidR="00040FDD" w:rsidRDefault="00040FDD" w:rsidP="0007221F">
      <w:pPr>
        <w:tabs>
          <w:tab w:val="right" w:pos="850"/>
          <w:tab w:val="left" w:pos="1134"/>
          <w:tab w:val="left" w:pos="1559"/>
          <w:tab w:val="left" w:pos="1843"/>
          <w:tab w:val="left" w:leader="dot" w:pos="7654"/>
          <w:tab w:val="right" w:pos="8929"/>
          <w:tab w:val="right" w:pos="9638"/>
        </w:tabs>
        <w:spacing w:before="120" w:after="120"/>
      </w:pPr>
      <w:r>
        <w:tab/>
      </w:r>
      <w:r w:rsidR="00CF3C5D">
        <w:tab/>
      </w:r>
      <w:r>
        <w:t>D.</w:t>
      </w:r>
      <w:r>
        <w:tab/>
        <w:t>Wo</w:t>
      </w:r>
      <w:r w:rsidR="001E16CB">
        <w:t>rking Group on Explo</w:t>
      </w:r>
      <w:r w:rsidR="00514AE9">
        <w:t>sives</w:t>
      </w:r>
      <w:r w:rsidR="00514AE9">
        <w:tab/>
      </w:r>
      <w:r w:rsidR="00514AE9">
        <w:tab/>
        <w:t>97</w:t>
      </w:r>
      <w:r w:rsidR="00514AE9">
        <w:tab/>
        <w:t>20</w:t>
      </w:r>
    </w:p>
    <w:p w:rsidR="00040FDD" w:rsidRDefault="00040FDD" w:rsidP="0007221F">
      <w:pPr>
        <w:tabs>
          <w:tab w:val="right" w:pos="850"/>
          <w:tab w:val="left" w:pos="1134"/>
          <w:tab w:val="left" w:pos="1559"/>
          <w:tab w:val="left" w:pos="1843"/>
          <w:tab w:val="left" w:leader="dot" w:pos="7654"/>
          <w:tab w:val="right" w:pos="8929"/>
          <w:tab w:val="right" w:pos="9638"/>
        </w:tabs>
        <w:spacing w:before="120" w:after="120"/>
      </w:pPr>
      <w:r>
        <w:tab/>
      </w:r>
      <w:r w:rsidR="00CF3C5D">
        <w:tab/>
      </w:r>
      <w:r>
        <w:t>E.</w:t>
      </w:r>
      <w:r>
        <w:tab/>
        <w:t>Consolidated programme of work for 2017-2018</w:t>
      </w:r>
      <w:r w:rsidR="00514AE9">
        <w:tab/>
      </w:r>
      <w:r w:rsidR="00514AE9">
        <w:tab/>
        <w:t>98</w:t>
      </w:r>
      <w:r w:rsidR="00514AE9">
        <w:tab/>
        <w:t>20</w:t>
      </w:r>
    </w:p>
    <w:p w:rsidR="0007221F" w:rsidRDefault="0007221F" w:rsidP="0007221F">
      <w:pPr>
        <w:tabs>
          <w:tab w:val="right" w:pos="850"/>
          <w:tab w:val="left" w:pos="1134"/>
          <w:tab w:val="left" w:pos="1559"/>
          <w:tab w:val="left" w:pos="1843"/>
          <w:tab w:val="left" w:leader="dot" w:pos="7654"/>
          <w:tab w:val="right" w:pos="8929"/>
          <w:tab w:val="right" w:pos="9638"/>
        </w:tabs>
        <w:spacing w:before="120" w:after="120"/>
      </w:pPr>
      <w:r>
        <w:tab/>
        <w:t>X.</w:t>
      </w:r>
      <w:r>
        <w:tab/>
        <w:t>Draft resolution 2017/… of the Economic and Social Council (agenda item 9)</w:t>
      </w:r>
      <w:r>
        <w:tab/>
      </w:r>
      <w:r>
        <w:tab/>
      </w:r>
      <w:r w:rsidR="00514AE9">
        <w:t>99</w:t>
      </w:r>
      <w:r w:rsidR="00514AE9">
        <w:tab/>
        <w:t>21</w:t>
      </w:r>
    </w:p>
    <w:p w:rsidR="0007221F" w:rsidRDefault="0007221F" w:rsidP="0007221F">
      <w:pPr>
        <w:tabs>
          <w:tab w:val="right" w:pos="850"/>
          <w:tab w:val="left" w:pos="1134"/>
          <w:tab w:val="left" w:pos="1559"/>
          <w:tab w:val="left" w:pos="1843"/>
          <w:tab w:val="left" w:leader="dot" w:pos="7654"/>
          <w:tab w:val="right" w:pos="8929"/>
          <w:tab w:val="right" w:pos="9638"/>
        </w:tabs>
        <w:spacing w:before="120" w:after="120"/>
      </w:pPr>
      <w:r>
        <w:tab/>
        <w:t>XI.</w:t>
      </w:r>
      <w:r>
        <w:tab/>
        <w:t>Election of officers for the biennium 2017-2018 (agenda item 10)</w:t>
      </w:r>
      <w:r>
        <w:tab/>
      </w:r>
      <w:r>
        <w:tab/>
      </w:r>
      <w:r w:rsidR="00514AE9">
        <w:t>100</w:t>
      </w:r>
      <w:r w:rsidR="00514AE9">
        <w:tab/>
        <w:t>21</w:t>
      </w:r>
    </w:p>
    <w:p w:rsidR="0007221F" w:rsidRDefault="0007221F" w:rsidP="0007221F">
      <w:pPr>
        <w:tabs>
          <w:tab w:val="right" w:pos="850"/>
          <w:tab w:val="left" w:pos="1134"/>
          <w:tab w:val="left" w:pos="1559"/>
          <w:tab w:val="left" w:pos="1843"/>
          <w:tab w:val="left" w:leader="dot" w:pos="7654"/>
          <w:tab w:val="right" w:pos="8929"/>
          <w:tab w:val="right" w:pos="9638"/>
        </w:tabs>
        <w:spacing w:before="120" w:after="120"/>
      </w:pPr>
      <w:r>
        <w:tab/>
        <w:t>XII.</w:t>
      </w:r>
      <w:r>
        <w:tab/>
        <w:t>Other business (agenda item 11)</w:t>
      </w:r>
      <w:r>
        <w:tab/>
      </w:r>
      <w:r>
        <w:tab/>
      </w:r>
      <w:r w:rsidR="00514AE9">
        <w:t>101-103</w:t>
      </w:r>
      <w:r w:rsidR="00514AE9">
        <w:tab/>
        <w:t>21</w:t>
      </w:r>
    </w:p>
    <w:p w:rsidR="00EF508A" w:rsidRDefault="00EF508A" w:rsidP="0007221F">
      <w:pPr>
        <w:tabs>
          <w:tab w:val="right" w:pos="850"/>
          <w:tab w:val="left" w:pos="1134"/>
          <w:tab w:val="left" w:pos="1559"/>
          <w:tab w:val="left" w:pos="1843"/>
          <w:tab w:val="left" w:leader="dot" w:pos="7654"/>
          <w:tab w:val="right" w:pos="8929"/>
          <w:tab w:val="right" w:pos="9638"/>
        </w:tabs>
        <w:spacing w:before="120" w:after="120"/>
      </w:pPr>
      <w:r>
        <w:tab/>
      </w:r>
      <w:r w:rsidR="00CF3C5D">
        <w:tab/>
      </w:r>
      <w:r>
        <w:t>A.</w:t>
      </w:r>
      <w:r>
        <w:tab/>
        <w:t>Application for cons</w:t>
      </w:r>
      <w:r w:rsidR="00A27BC2">
        <w:t>ultative status by the Medical D</w:t>
      </w:r>
      <w:r>
        <w:t>evice Battery</w:t>
      </w:r>
      <w:r>
        <w:br/>
      </w:r>
      <w:r>
        <w:tab/>
      </w:r>
      <w:r>
        <w:tab/>
      </w:r>
      <w:r w:rsidR="00CF3C5D">
        <w:tab/>
      </w:r>
      <w:r>
        <w:t>T</w:t>
      </w:r>
      <w:r w:rsidR="00514AE9">
        <w:t>ransport Council (MDBTC)</w:t>
      </w:r>
      <w:r w:rsidR="00514AE9">
        <w:tab/>
      </w:r>
      <w:r w:rsidR="00514AE9">
        <w:tab/>
        <w:t>101</w:t>
      </w:r>
      <w:r w:rsidR="00514AE9">
        <w:tab/>
        <w:t>21</w:t>
      </w:r>
    </w:p>
    <w:p w:rsidR="00EF508A" w:rsidRDefault="00EF508A" w:rsidP="0007221F">
      <w:pPr>
        <w:tabs>
          <w:tab w:val="right" w:pos="850"/>
          <w:tab w:val="left" w:pos="1134"/>
          <w:tab w:val="left" w:pos="1559"/>
          <w:tab w:val="left" w:pos="1843"/>
          <w:tab w:val="left" w:leader="dot" w:pos="7654"/>
          <w:tab w:val="right" w:pos="8929"/>
          <w:tab w:val="right" w:pos="9638"/>
        </w:tabs>
        <w:spacing w:before="120" w:after="120"/>
      </w:pPr>
      <w:r>
        <w:tab/>
      </w:r>
      <w:r w:rsidR="00CF3C5D">
        <w:tab/>
      </w:r>
      <w:r>
        <w:t>B.</w:t>
      </w:r>
      <w:r>
        <w:tab/>
        <w:t xml:space="preserve">Tribute to Mr. </w:t>
      </w:r>
      <w:r w:rsidR="00514AE9">
        <w:t xml:space="preserve">P. van </w:t>
      </w:r>
      <w:proofErr w:type="spellStart"/>
      <w:r w:rsidR="00514AE9">
        <w:t>Lancker</w:t>
      </w:r>
      <w:proofErr w:type="spellEnd"/>
      <w:r w:rsidR="00514AE9">
        <w:t xml:space="preserve"> (Belgium)</w:t>
      </w:r>
      <w:r w:rsidR="00514AE9">
        <w:tab/>
      </w:r>
      <w:r w:rsidR="00514AE9">
        <w:tab/>
        <w:t>102</w:t>
      </w:r>
      <w:r w:rsidR="00514AE9">
        <w:tab/>
        <w:t>21</w:t>
      </w:r>
    </w:p>
    <w:p w:rsidR="00EF508A" w:rsidRDefault="00EF508A" w:rsidP="0007221F">
      <w:pPr>
        <w:tabs>
          <w:tab w:val="right" w:pos="850"/>
          <w:tab w:val="left" w:pos="1134"/>
          <w:tab w:val="left" w:pos="1559"/>
          <w:tab w:val="left" w:pos="1843"/>
          <w:tab w:val="left" w:leader="dot" w:pos="7654"/>
          <w:tab w:val="right" w:pos="8929"/>
          <w:tab w:val="right" w:pos="9638"/>
        </w:tabs>
        <w:spacing w:before="120" w:after="120"/>
      </w:pPr>
      <w:r>
        <w:tab/>
      </w:r>
      <w:r w:rsidR="00CF3C5D">
        <w:tab/>
      </w:r>
      <w:r>
        <w:t>C.</w:t>
      </w:r>
      <w:r>
        <w:tab/>
        <w:t>Condolenc</w:t>
      </w:r>
      <w:r w:rsidR="00514AE9">
        <w:t>es</w:t>
      </w:r>
      <w:r w:rsidR="00514AE9">
        <w:tab/>
      </w:r>
      <w:r w:rsidR="00514AE9">
        <w:tab/>
        <w:t>103</w:t>
      </w:r>
      <w:r w:rsidR="00514AE9">
        <w:tab/>
        <w:t>22</w:t>
      </w:r>
    </w:p>
    <w:p w:rsidR="0007221F" w:rsidRDefault="0007221F" w:rsidP="0007221F">
      <w:pPr>
        <w:tabs>
          <w:tab w:val="right" w:pos="850"/>
          <w:tab w:val="left" w:pos="1134"/>
          <w:tab w:val="left" w:pos="1559"/>
          <w:tab w:val="left" w:pos="1843"/>
          <w:tab w:val="left" w:leader="dot" w:pos="7654"/>
          <w:tab w:val="right" w:pos="8929"/>
          <w:tab w:val="right" w:pos="9638"/>
        </w:tabs>
        <w:spacing w:before="120" w:after="120"/>
      </w:pPr>
      <w:r>
        <w:tab/>
        <w:t>XIII.</w:t>
      </w:r>
      <w:r>
        <w:tab/>
        <w:t>Adoption of the report (agenda item 12)</w:t>
      </w:r>
      <w:r>
        <w:tab/>
      </w:r>
      <w:r>
        <w:tab/>
      </w:r>
      <w:r w:rsidR="00514AE9">
        <w:t>104</w:t>
      </w:r>
      <w:r w:rsidR="00514AE9">
        <w:tab/>
        <w:t>22</w:t>
      </w:r>
    </w:p>
    <w:p w:rsidR="0007221F" w:rsidRDefault="0007221F" w:rsidP="0007221F">
      <w:pPr>
        <w:tabs>
          <w:tab w:val="right" w:pos="850"/>
          <w:tab w:val="left" w:pos="1134"/>
          <w:tab w:val="left" w:pos="1559"/>
          <w:tab w:val="left" w:pos="1843"/>
          <w:tab w:val="left" w:leader="dot" w:pos="7654"/>
          <w:tab w:val="right" w:pos="8929"/>
          <w:tab w:val="right" w:pos="9638"/>
        </w:tabs>
        <w:spacing w:before="120" w:after="120"/>
      </w:pPr>
    </w:p>
    <w:p w:rsidR="005002B8" w:rsidRDefault="005002B8">
      <w:pPr>
        <w:suppressAutoHyphens w:val="0"/>
        <w:spacing w:line="240" w:lineRule="auto"/>
      </w:pPr>
      <w:r>
        <w:br w:type="page"/>
      </w:r>
    </w:p>
    <w:p w:rsidR="00B56C20" w:rsidRDefault="005002B8" w:rsidP="00D41905">
      <w:pPr>
        <w:pStyle w:val="SingleTxtG"/>
        <w:ind w:left="0"/>
      </w:pPr>
      <w:r>
        <w:lastRenderedPageBreak/>
        <w:t>Annexes</w:t>
      </w:r>
    </w:p>
    <w:p w:rsidR="005002B8" w:rsidRDefault="005002B8" w:rsidP="00D41905">
      <w:pPr>
        <w:tabs>
          <w:tab w:val="right" w:pos="850"/>
          <w:tab w:val="left" w:pos="1559"/>
          <w:tab w:val="left" w:pos="1843"/>
          <w:tab w:val="left" w:leader="dot" w:pos="7654"/>
          <w:tab w:val="right" w:pos="8929"/>
          <w:tab w:val="right" w:pos="9638"/>
        </w:tabs>
        <w:spacing w:before="120" w:after="120"/>
        <w:ind w:left="1559" w:hanging="709"/>
      </w:pPr>
      <w:r>
        <w:tab/>
        <w:t>I.</w:t>
      </w:r>
      <w:r w:rsidR="00EF623D">
        <w:tab/>
      </w:r>
      <w:r w:rsidR="00584696">
        <w:t xml:space="preserve">Draft amendments to the </w:t>
      </w:r>
      <w:r>
        <w:t xml:space="preserve">Recommendations on the </w:t>
      </w:r>
      <w:r w:rsidR="000345AB">
        <w:br/>
      </w:r>
      <w:r>
        <w:t>Transport of Dangerous Goods,</w:t>
      </w:r>
      <w:r w:rsidR="00920BC8">
        <w:t xml:space="preserve"> </w:t>
      </w:r>
      <w:r w:rsidR="00566F95">
        <w:t xml:space="preserve">Model Regulations </w:t>
      </w:r>
      <w:r w:rsidR="00584696">
        <w:t xml:space="preserve">and </w:t>
      </w:r>
      <w:r w:rsidR="000345AB">
        <w:br/>
      </w:r>
      <w:r>
        <w:t>Manual of Tests and</w:t>
      </w:r>
      <w:r w:rsidR="00EF623D">
        <w:t xml:space="preserve"> Criteria</w:t>
      </w:r>
      <w:r w:rsidR="00D84447" w:rsidRPr="00D84447">
        <w:rPr>
          <w:sz w:val="16"/>
          <w:szCs w:val="16"/>
          <w:vertAlign w:val="superscript"/>
        </w:rPr>
        <w:t>*</w:t>
      </w:r>
      <w:r w:rsidR="00EF623D">
        <w:t xml:space="preserve"> </w:t>
      </w:r>
      <w:r>
        <w:tab/>
      </w:r>
      <w:r>
        <w:tab/>
      </w:r>
      <w:r>
        <w:tab/>
      </w:r>
      <w:r w:rsidR="00514AE9">
        <w:t>23</w:t>
      </w:r>
    </w:p>
    <w:p w:rsidR="00EF623D" w:rsidRDefault="00EF623D" w:rsidP="005002B8">
      <w:pPr>
        <w:tabs>
          <w:tab w:val="right" w:pos="850"/>
          <w:tab w:val="left" w:pos="1559"/>
          <w:tab w:val="left" w:pos="1843"/>
          <w:tab w:val="left" w:leader="dot" w:pos="7654"/>
          <w:tab w:val="right" w:pos="8929"/>
          <w:tab w:val="right" w:pos="9638"/>
        </w:tabs>
        <w:spacing w:before="120" w:after="120"/>
        <w:ind w:left="850"/>
      </w:pPr>
      <w:r>
        <w:tab/>
        <w:t>II.</w:t>
      </w:r>
      <w:r>
        <w:tab/>
        <w:t xml:space="preserve">Corrections to the sixth revised edition of the </w:t>
      </w:r>
      <w:r w:rsidR="000345AB">
        <w:t>Recommendations</w:t>
      </w:r>
      <w:r w:rsidR="000345AB">
        <w:br/>
      </w:r>
      <w:r w:rsidR="000345AB">
        <w:tab/>
      </w:r>
      <w:r>
        <w:t>on the Transport of Dangerous Goo</w:t>
      </w:r>
      <w:r w:rsidR="008E3AEC">
        <w:t>ds, Manual of Tests and Criteria</w:t>
      </w:r>
      <w:r>
        <w:br/>
      </w:r>
      <w:r w:rsidR="000345AB">
        <w:tab/>
      </w:r>
      <w:r w:rsidR="008E3AEC">
        <w:t>(ST/SG/AC.10/11/Rev.6</w:t>
      </w:r>
      <w:r>
        <w:t>)</w:t>
      </w:r>
      <w:r w:rsidR="00D84447" w:rsidRPr="00D84447">
        <w:rPr>
          <w:sz w:val="16"/>
          <w:szCs w:val="16"/>
          <w:vertAlign w:val="superscript"/>
        </w:rPr>
        <w:t>*</w:t>
      </w:r>
      <w:r>
        <w:tab/>
      </w:r>
      <w:r>
        <w:tab/>
      </w:r>
      <w:r>
        <w:tab/>
      </w:r>
      <w:r w:rsidR="00514AE9">
        <w:t>24</w:t>
      </w:r>
    </w:p>
    <w:p w:rsidR="00EF623D" w:rsidRDefault="00EF623D" w:rsidP="005002B8">
      <w:pPr>
        <w:tabs>
          <w:tab w:val="right" w:pos="850"/>
          <w:tab w:val="left" w:pos="1559"/>
          <w:tab w:val="left" w:pos="1843"/>
          <w:tab w:val="left" w:leader="dot" w:pos="7654"/>
          <w:tab w:val="right" w:pos="8929"/>
          <w:tab w:val="right" w:pos="9638"/>
        </w:tabs>
        <w:spacing w:before="120" w:after="120"/>
        <w:ind w:left="850"/>
      </w:pPr>
      <w:r>
        <w:tab/>
        <w:t>III.</w:t>
      </w:r>
      <w:r>
        <w:tab/>
        <w:t>Amendments to the Guiding P</w:t>
      </w:r>
      <w:r w:rsidR="000345AB">
        <w:t>rinciples for the development</w:t>
      </w:r>
      <w:r w:rsidR="000345AB">
        <w:br/>
      </w:r>
      <w:r w:rsidR="000345AB">
        <w:tab/>
      </w:r>
      <w:r>
        <w:t>of the Model Regulations</w:t>
      </w:r>
      <w:r w:rsidR="00584696">
        <w:rPr>
          <w:rStyle w:val="FootnoteReference"/>
        </w:rPr>
        <w:footnoteReference w:id="2"/>
      </w:r>
      <w:r>
        <w:tab/>
      </w:r>
      <w:r>
        <w:tab/>
      </w:r>
      <w:r>
        <w:tab/>
      </w:r>
      <w:r w:rsidR="00514AE9">
        <w:t>24</w:t>
      </w:r>
    </w:p>
    <w:p w:rsidR="00EF623D" w:rsidRDefault="00EF623D" w:rsidP="005002B8">
      <w:pPr>
        <w:tabs>
          <w:tab w:val="right" w:pos="850"/>
          <w:tab w:val="left" w:pos="1559"/>
          <w:tab w:val="left" w:pos="1843"/>
          <w:tab w:val="left" w:leader="dot" w:pos="7654"/>
          <w:tab w:val="right" w:pos="8929"/>
          <w:tab w:val="right" w:pos="9638"/>
        </w:tabs>
        <w:spacing w:before="120" w:after="120"/>
        <w:ind w:left="850"/>
      </w:pPr>
      <w:r>
        <w:tab/>
        <w:t>IV.</w:t>
      </w:r>
      <w:r>
        <w:tab/>
        <w:t>Corrections to the nineteenth revised edition of the Recommendations</w:t>
      </w:r>
      <w:r>
        <w:br/>
      </w:r>
      <w:r w:rsidR="000345AB">
        <w:tab/>
      </w:r>
      <w:r>
        <w:t>on the Transport of Danger</w:t>
      </w:r>
      <w:r w:rsidR="000345AB">
        <w:t xml:space="preserve">ous Goods, Model Regulations </w:t>
      </w:r>
      <w:r w:rsidR="000345AB">
        <w:br/>
      </w:r>
      <w:r w:rsidR="000345AB">
        <w:tab/>
      </w:r>
      <w:r>
        <w:t>(ST/SG/AC.10/1/Rev.19)</w:t>
      </w:r>
      <w:r w:rsidR="00D84447" w:rsidRPr="00D84447">
        <w:rPr>
          <w:sz w:val="16"/>
          <w:szCs w:val="16"/>
          <w:vertAlign w:val="superscript"/>
        </w:rPr>
        <w:t>*</w:t>
      </w:r>
      <w:r>
        <w:tab/>
      </w:r>
      <w:r>
        <w:tab/>
      </w:r>
      <w:r>
        <w:tab/>
      </w:r>
      <w:r w:rsidR="001322EF">
        <w:t>24</w:t>
      </w:r>
    </w:p>
    <w:p w:rsidR="005002B8" w:rsidRDefault="005002B8" w:rsidP="00D41905">
      <w:pPr>
        <w:pStyle w:val="SingleTxtG"/>
        <w:jc w:val="left"/>
      </w:pPr>
      <w:r>
        <w:tab/>
      </w:r>
    </w:p>
    <w:p w:rsidR="007238F7" w:rsidRDefault="007238F7" w:rsidP="00D41905">
      <w:pPr>
        <w:pStyle w:val="SingleTxtG"/>
        <w:jc w:val="left"/>
      </w:pPr>
    </w:p>
    <w:p w:rsidR="007238F7" w:rsidRDefault="007238F7" w:rsidP="00D41905">
      <w:pPr>
        <w:pStyle w:val="SingleTxtG"/>
        <w:jc w:val="left"/>
      </w:pPr>
    </w:p>
    <w:p w:rsidR="007238F7" w:rsidRDefault="007238F7" w:rsidP="00D41905">
      <w:pPr>
        <w:pStyle w:val="SingleTxtG"/>
        <w:jc w:val="left"/>
        <w:sectPr w:rsidR="007238F7" w:rsidSect="0020089A">
          <w:headerReference w:type="even" r:id="rId10"/>
          <w:headerReference w:type="default" r:id="rId11"/>
          <w:footerReference w:type="even" r:id="rId12"/>
          <w:footerReference w:type="default" r:id="rId13"/>
          <w:footnotePr>
            <w:numFmt w:val="chicago"/>
          </w:footnotePr>
          <w:endnotePr>
            <w:numFmt w:val="decimal"/>
          </w:endnotePr>
          <w:pgSz w:w="11907" w:h="16840" w:code="9"/>
          <w:pgMar w:top="1701" w:right="1134" w:bottom="2268" w:left="1134" w:header="1134" w:footer="1701" w:gutter="0"/>
          <w:cols w:space="720"/>
          <w:titlePg/>
          <w:docGrid w:linePitch="272"/>
        </w:sectPr>
      </w:pPr>
    </w:p>
    <w:p w:rsidR="00FE0CCD" w:rsidRPr="00676AA2" w:rsidRDefault="00FE0CCD" w:rsidP="00FE0CCD">
      <w:pPr>
        <w:pStyle w:val="HChG"/>
      </w:pPr>
      <w:r>
        <w:lastRenderedPageBreak/>
        <w:tab/>
        <w:t>I.</w:t>
      </w:r>
      <w:r>
        <w:tab/>
        <w:t>Attendance</w:t>
      </w:r>
    </w:p>
    <w:p w:rsidR="00FE0CCD" w:rsidRPr="00676AA2" w:rsidRDefault="00FE0CCD" w:rsidP="00FE0CCD">
      <w:pPr>
        <w:pStyle w:val="SingleTxtG"/>
      </w:pPr>
      <w:r w:rsidRPr="00676AA2">
        <w:t>1.</w:t>
      </w:r>
      <w:r w:rsidRPr="00676AA2">
        <w:tab/>
        <w:t>The Sub-Committee of Experts on the Transport of Dangerous Goods held its fiftieth</w:t>
      </w:r>
      <w:r>
        <w:t xml:space="preserve"> </w:t>
      </w:r>
      <w:r w:rsidRPr="00676AA2">
        <w:t xml:space="preserve">session from 28 November to 6 December 2016 with Mr. D. </w:t>
      </w:r>
      <w:proofErr w:type="spellStart"/>
      <w:r w:rsidRPr="00676AA2">
        <w:t>Pfund</w:t>
      </w:r>
      <w:proofErr w:type="spellEnd"/>
      <w:r w:rsidRPr="00676AA2">
        <w:t xml:space="preserve"> (United States of America) as Chair and Mr. C. </w:t>
      </w:r>
      <w:proofErr w:type="spellStart"/>
      <w:r w:rsidRPr="00676AA2">
        <w:t>Pfauvadel</w:t>
      </w:r>
      <w:proofErr w:type="spellEnd"/>
      <w:r w:rsidRPr="00676AA2">
        <w:t xml:space="preserve"> (France) as Vice-Chair.</w:t>
      </w:r>
    </w:p>
    <w:p w:rsidR="00FE0CCD" w:rsidRPr="00676AA2" w:rsidRDefault="00FE0CCD" w:rsidP="00FE0CCD">
      <w:pPr>
        <w:pStyle w:val="SingleTxtG"/>
      </w:pPr>
      <w:r w:rsidRPr="00676AA2">
        <w:t>2.</w:t>
      </w:r>
      <w:r w:rsidRPr="00676AA2">
        <w:tab/>
        <w:t xml:space="preserve">Experts from the following countries took part in the session: Australia, Austria, Belgium, </w:t>
      </w:r>
      <w:r w:rsidR="00235597">
        <w:t xml:space="preserve">Brazil, </w:t>
      </w:r>
      <w:r w:rsidRPr="00676AA2">
        <w:t>Canada, China, Finland, France, Germany, Italy, Japan, Netherlands, Norway, Poland, Portugal, Republic of Korea, South Africa, Spain, Sweden, Switzerland, United Kingdom and United States of America.</w:t>
      </w:r>
    </w:p>
    <w:p w:rsidR="00FE0CCD" w:rsidRPr="00676AA2" w:rsidRDefault="00FE0CCD" w:rsidP="00FE0CCD">
      <w:pPr>
        <w:pStyle w:val="SingleTxtG"/>
      </w:pPr>
      <w:r w:rsidRPr="00676AA2">
        <w:t>3.</w:t>
      </w:r>
      <w:r w:rsidRPr="00676AA2">
        <w:tab/>
        <w:t>Under rule 72 of the rules of procedure of the Economic and Social Council, observers from Qatar</w:t>
      </w:r>
      <w:r w:rsidR="00AE0816">
        <w:t xml:space="preserve">, </w:t>
      </w:r>
      <w:r w:rsidR="00235597">
        <w:t>and</w:t>
      </w:r>
      <w:r w:rsidRPr="00676AA2">
        <w:t xml:space="preserve"> Slovakia also took part.</w:t>
      </w:r>
    </w:p>
    <w:p w:rsidR="00FE0CCD" w:rsidRPr="00676AA2" w:rsidRDefault="00FE0CCD" w:rsidP="00FE0CCD">
      <w:pPr>
        <w:pStyle w:val="SingleTxtG"/>
      </w:pPr>
      <w:r w:rsidRPr="00676AA2">
        <w:t>4.</w:t>
      </w:r>
      <w:r w:rsidRPr="00676AA2">
        <w:tab/>
        <w:t>Representatives of the European Union and the Intergovernmental Organization for International Carriage by Rail (OTIF) also attended.</w:t>
      </w:r>
    </w:p>
    <w:p w:rsidR="00FE0CCD" w:rsidRPr="00676AA2" w:rsidRDefault="00FE0CCD" w:rsidP="00FE0CCD">
      <w:pPr>
        <w:pStyle w:val="SingleTxtG"/>
      </w:pPr>
      <w:r w:rsidRPr="00676AA2">
        <w:t>5.</w:t>
      </w:r>
      <w:r w:rsidRPr="00676AA2">
        <w:tab/>
        <w:t xml:space="preserve">Representatives of the </w:t>
      </w:r>
      <w:r w:rsidR="00AE0816">
        <w:t xml:space="preserve">Food and Agriculture Organization (FAO), </w:t>
      </w:r>
      <w:r w:rsidRPr="00676AA2">
        <w:t>the International Civil Aviation Organization (ICAO), the International Maritime Organization (IMO) and the World</w:t>
      </w:r>
      <w:r>
        <w:t xml:space="preserve"> </w:t>
      </w:r>
      <w:r w:rsidRPr="00676AA2">
        <w:t xml:space="preserve">Health Organization </w:t>
      </w:r>
      <w:r w:rsidR="00AE0816">
        <w:t xml:space="preserve">(WHO) </w:t>
      </w:r>
      <w:r w:rsidRPr="00676AA2">
        <w:t>were also present.</w:t>
      </w:r>
    </w:p>
    <w:p w:rsidR="00FE0CCD" w:rsidRDefault="00FE0CCD" w:rsidP="00FE0CCD">
      <w:pPr>
        <w:pStyle w:val="SingleTxtG"/>
      </w:pPr>
      <w:r w:rsidRPr="00676AA2">
        <w:t>6.</w:t>
      </w:r>
      <w:r w:rsidRPr="00676AA2">
        <w:tab/>
      </w:r>
      <w:r w:rsidR="00AE0816" w:rsidRPr="00676AA2">
        <w:t xml:space="preserve">Representatives of the following non-governmental organizations took part in the discussion on items of concern to those organizations: Association of European Manufacturers of Sporting Ammunition (AFEMS), Association of Hazmat Shippers, Inc. (AHS), Australian Explosives Industry Safety Group (AEISG), Compressed Gas Association (CGA), </w:t>
      </w:r>
      <w:r w:rsidR="00AE0816" w:rsidRPr="00235597">
        <w:t>Cosmetics Europe</w:t>
      </w:r>
      <w:r w:rsidR="00AE0816" w:rsidRPr="00676AA2">
        <w:t>, Council on Safe Transportation of Hazardous Articles (COSTHA), Dangerous Goods Advisory Council (DGAC), Dangerous Goods Trainers Association (DGTA), European Association for Advanced Rechargeable Batteries (RECHARGE), European Association of Automotive Suppliers (CLEPA), European Chemical Industry Council (CEFIC), European Industrial Gas</w:t>
      </w:r>
      <w:r w:rsidR="00235597">
        <w:t xml:space="preserve">es Association (EIGA), </w:t>
      </w:r>
      <w:r w:rsidR="00AE0816" w:rsidRPr="00676AA2">
        <w:t>European Liquefied Pe</w:t>
      </w:r>
      <w:r w:rsidR="00235597">
        <w:t>troleum Gas Association (AEGPL)</w:t>
      </w:r>
      <w:r w:rsidR="00AE0816" w:rsidRPr="00676AA2">
        <w:t>, European Metal Packaging (EMPAC), Federation of European Aerosol Associations (FEA), Institute of Makers of Explosives (IME), International Air Transport Association (IATA), International Association for Soaps, Detergents and Maintenance Products</w:t>
      </w:r>
      <w:r w:rsidR="00AE0816">
        <w:t xml:space="preserve"> </w:t>
      </w:r>
      <w:r w:rsidR="00AE0816" w:rsidRPr="00676AA2">
        <w:t xml:space="preserve">(AISE), International Confederation of Drum Manufacturers (ICDM), International Confederation of Plastics Packaging Manufacturers (ICPP), International Council of Chemical Associations (ICCA), International Council of Intermediate Bulk Container Associations (ICIBCA), International Dangerous Goods and Containers Association (IDGCA), International Fibre Drum Institute (IFDI), International Fishmeal and Fish Oil Organization (IFFO), International Organization of Motor Vehicle Manufacturers (OICA), International Paint and Printing Ink Council (IPPIC), International Petroleum Industry Environmental Conservation Association (IPIECA), </w:t>
      </w:r>
      <w:proofErr w:type="spellStart"/>
      <w:r w:rsidR="00AE0816" w:rsidRPr="00676AA2">
        <w:t>KiloFarad</w:t>
      </w:r>
      <w:proofErr w:type="spellEnd"/>
      <w:r w:rsidR="00AE0816" w:rsidRPr="00676AA2">
        <w:t xml:space="preserve"> International (KFI), </w:t>
      </w:r>
      <w:proofErr w:type="spellStart"/>
      <w:r w:rsidR="001932FA">
        <w:rPr>
          <w:lang w:val="fr-CA"/>
        </w:rPr>
        <w:t>Medical</w:t>
      </w:r>
      <w:proofErr w:type="spellEnd"/>
      <w:r w:rsidR="001932FA">
        <w:rPr>
          <w:lang w:val="fr-CA"/>
        </w:rPr>
        <w:t xml:space="preserve"> </w:t>
      </w:r>
      <w:proofErr w:type="spellStart"/>
      <w:r w:rsidR="001932FA">
        <w:rPr>
          <w:lang w:val="fr-CA"/>
        </w:rPr>
        <w:t>Devices</w:t>
      </w:r>
      <w:proofErr w:type="spellEnd"/>
      <w:r w:rsidR="001932FA">
        <w:rPr>
          <w:lang w:val="fr-CA"/>
        </w:rPr>
        <w:t xml:space="preserve"> </w:t>
      </w:r>
      <w:proofErr w:type="spellStart"/>
      <w:r w:rsidR="001932FA">
        <w:rPr>
          <w:lang w:val="fr-CA"/>
        </w:rPr>
        <w:t>Battery</w:t>
      </w:r>
      <w:proofErr w:type="spellEnd"/>
      <w:r w:rsidR="001932FA">
        <w:rPr>
          <w:lang w:val="fr-CA"/>
        </w:rPr>
        <w:t xml:space="preserve"> Transport Council (MDBTC),</w:t>
      </w:r>
      <w:r w:rsidR="001932FA" w:rsidRPr="00676AA2">
        <w:t xml:space="preserve"> </w:t>
      </w:r>
      <w:r w:rsidR="000C19EA">
        <w:t xml:space="preserve">PRBA - </w:t>
      </w:r>
      <w:bookmarkStart w:id="0" w:name="_GoBack"/>
      <w:bookmarkEnd w:id="0"/>
      <w:r w:rsidR="000C19EA">
        <w:t>The</w:t>
      </w:r>
      <w:r w:rsidR="00AE0816" w:rsidRPr="00676AA2">
        <w:t xml:space="preserve"> Rechargeable Battery Association (PRBA), Responsible Packaging Management Association of Southern Africa (RPMASA), Sporting Arms and Ammunition Manufacturers</w:t>
      </w:r>
      <w:r w:rsidR="00AE0816">
        <w:t>’</w:t>
      </w:r>
      <w:r w:rsidR="00AE0816" w:rsidRPr="00676AA2">
        <w:t xml:space="preserve"> Institute (SAAMI)</w:t>
      </w:r>
      <w:r w:rsidR="00C1678E">
        <w:t>,</w:t>
      </w:r>
      <w:r w:rsidR="00AE0816" w:rsidRPr="00676AA2">
        <w:t xml:space="preserve"> Stainless Steel Container Association (SSCA)</w:t>
      </w:r>
      <w:r w:rsidR="00611D81">
        <w:t xml:space="preserve"> and </w:t>
      </w:r>
      <w:r w:rsidR="00611D81" w:rsidRPr="00611D81">
        <w:t xml:space="preserve">World </w:t>
      </w:r>
      <w:r w:rsidR="00591383">
        <w:t>Liquefied Petroleum Gas</w:t>
      </w:r>
      <w:r w:rsidR="00611D81" w:rsidRPr="00611D81">
        <w:t xml:space="preserve"> Association (WLPGA)</w:t>
      </w:r>
      <w:r w:rsidR="00AE0816" w:rsidRPr="00676AA2">
        <w:t>.</w:t>
      </w:r>
    </w:p>
    <w:p w:rsidR="00FE0CCD" w:rsidRPr="00676AA2" w:rsidRDefault="00FE0CCD" w:rsidP="00FE0CCD">
      <w:pPr>
        <w:pStyle w:val="HChG"/>
      </w:pPr>
      <w:r w:rsidRPr="00676AA2">
        <w:tab/>
        <w:t>II.</w:t>
      </w:r>
      <w:r w:rsidRPr="00676AA2">
        <w:tab/>
        <w:t>Adoption of the agenda (agenda item 1)</w:t>
      </w:r>
    </w:p>
    <w:p w:rsidR="00FE0CCD" w:rsidRPr="00676AA2" w:rsidRDefault="00FE0CCD" w:rsidP="00FE0CCD">
      <w:pPr>
        <w:pStyle w:val="SingleTxtG"/>
        <w:jc w:val="left"/>
      </w:pPr>
      <w:r w:rsidRPr="006D7F22">
        <w:rPr>
          <w:i/>
          <w:iCs/>
        </w:rPr>
        <w:t>Documents</w:t>
      </w:r>
      <w:r w:rsidRPr="00404D28">
        <w:rPr>
          <w:i/>
          <w:iCs/>
        </w:rPr>
        <w:t>:</w:t>
      </w:r>
      <w:r w:rsidRPr="00676AA2">
        <w:tab/>
      </w:r>
      <w:r>
        <w:tab/>
      </w:r>
      <w:r>
        <w:tab/>
      </w:r>
      <w:r w:rsidRPr="00676AA2">
        <w:t>ST/SG/AC.10/C.3/99 (Provisional agenda)</w:t>
      </w:r>
      <w:r w:rsidRPr="00676AA2">
        <w:br/>
      </w:r>
      <w:r>
        <w:tab/>
      </w:r>
      <w:r>
        <w:tab/>
      </w:r>
      <w:r>
        <w:tab/>
      </w:r>
      <w:r>
        <w:tab/>
      </w:r>
      <w:r w:rsidRPr="00676AA2">
        <w:t>ST/SG/AC.10/C.3/99/Add.1 (List of documents).</w:t>
      </w:r>
    </w:p>
    <w:p w:rsidR="00FE0CCD" w:rsidRPr="00676AA2" w:rsidRDefault="00FE0CCD" w:rsidP="00FE0CCD">
      <w:pPr>
        <w:pStyle w:val="SingleTxtG"/>
        <w:jc w:val="left"/>
      </w:pPr>
      <w:r w:rsidRPr="00BD6782">
        <w:rPr>
          <w:i/>
          <w:iCs/>
        </w:rPr>
        <w:lastRenderedPageBreak/>
        <w:t>Informal documents</w:t>
      </w:r>
      <w:r w:rsidRPr="00404D28">
        <w:rPr>
          <w:i/>
          <w:iCs/>
        </w:rPr>
        <w:t>:</w:t>
      </w:r>
      <w:r w:rsidRPr="00676AA2">
        <w:tab/>
      </w:r>
      <w:r>
        <w:tab/>
      </w:r>
      <w:r w:rsidRPr="00676AA2">
        <w:t>INF.1, INF.2 (List of documents)</w:t>
      </w:r>
      <w:r w:rsidRPr="00676AA2">
        <w:br/>
      </w:r>
      <w:r>
        <w:tab/>
      </w:r>
      <w:r>
        <w:tab/>
      </w:r>
      <w:r>
        <w:tab/>
      </w:r>
      <w:r>
        <w:tab/>
      </w:r>
      <w:r w:rsidRPr="00676AA2">
        <w:t>INF.10 (Provisional timetable)</w:t>
      </w:r>
      <w:r w:rsidRPr="00676AA2">
        <w:br/>
      </w:r>
      <w:r>
        <w:tab/>
      </w:r>
      <w:r>
        <w:tab/>
      </w:r>
      <w:r w:rsidRPr="00676AA2">
        <w:tab/>
      </w:r>
      <w:r>
        <w:tab/>
      </w:r>
      <w:r w:rsidRPr="00676AA2">
        <w:t>INF.20 (Reception organized by NGOs)</w:t>
      </w:r>
    </w:p>
    <w:p w:rsidR="00FE0CCD" w:rsidRDefault="00FE0CCD" w:rsidP="00FE0CCD">
      <w:pPr>
        <w:pStyle w:val="SingleTxtG"/>
      </w:pPr>
      <w:r w:rsidRPr="00676AA2">
        <w:t>7.</w:t>
      </w:r>
      <w:r w:rsidRPr="00676AA2">
        <w:tab/>
        <w:t>The Sub-Committee adopted the provisional agenda prepared by the secretariat after amending it to take account of the informal documents.</w:t>
      </w:r>
    </w:p>
    <w:p w:rsidR="009127AF" w:rsidRPr="00676AA2" w:rsidRDefault="009127AF" w:rsidP="009127AF">
      <w:pPr>
        <w:pStyle w:val="HChG"/>
      </w:pPr>
      <w:r w:rsidRPr="00676AA2">
        <w:tab/>
        <w:t>III.</w:t>
      </w:r>
      <w:r w:rsidRPr="00676AA2">
        <w:tab/>
        <w:t>Recommendations made by the Sub-Committee on its forty-seventh, forty-eighth and forty-ninth sessions and pending issues (agenda item 2)</w:t>
      </w:r>
    </w:p>
    <w:p w:rsidR="009127AF" w:rsidRPr="00676AA2" w:rsidRDefault="009127AF" w:rsidP="009127AF">
      <w:pPr>
        <w:pStyle w:val="H1G"/>
      </w:pPr>
      <w:r w:rsidRPr="00676AA2">
        <w:tab/>
        <w:t>A.</w:t>
      </w:r>
      <w:r w:rsidRPr="00676AA2">
        <w:tab/>
        <w:t>Review of draft amendments already adopted during the biennium</w:t>
      </w:r>
    </w:p>
    <w:p w:rsidR="009127AF" w:rsidRPr="00676AA2" w:rsidRDefault="009127AF" w:rsidP="009127AF">
      <w:pPr>
        <w:pStyle w:val="SingleTxtG"/>
      </w:pPr>
      <w:r w:rsidRPr="001F24A6">
        <w:rPr>
          <w:i/>
          <w:iCs/>
        </w:rPr>
        <w:t>Document</w:t>
      </w:r>
      <w:r w:rsidRPr="00676AA2">
        <w:t>:</w:t>
      </w:r>
      <w:r w:rsidRPr="00676AA2">
        <w:tab/>
      </w:r>
      <w:r w:rsidR="00031EFA">
        <w:tab/>
      </w:r>
      <w:r w:rsidR="00031EFA">
        <w:tab/>
      </w:r>
      <w:r w:rsidRPr="00676AA2">
        <w:t>ST/SG/AC.10/C.3/2016/55 (Secretariat)</w:t>
      </w:r>
    </w:p>
    <w:p w:rsidR="009127AF" w:rsidRDefault="009127AF" w:rsidP="009127AF">
      <w:pPr>
        <w:pStyle w:val="SingleTxtG"/>
      </w:pPr>
      <w:r w:rsidRPr="00676AA2">
        <w:t>8.</w:t>
      </w:r>
      <w:r w:rsidRPr="00676AA2">
        <w:tab/>
        <w:t>The Sub-Committee confirmed the decisions taken at the previous sessions on the basis of the consolidated text prepared by the secretariat, subject to a number of modifications and to the new decisions taken in respect of the various agenda items, including under sub-items 2 (b) to 2 (</w:t>
      </w:r>
      <w:proofErr w:type="spellStart"/>
      <w:r w:rsidRPr="00676AA2">
        <w:t>i</w:t>
      </w:r>
      <w:proofErr w:type="spellEnd"/>
      <w:r w:rsidRPr="00676AA2">
        <w:t>) (see annex</w:t>
      </w:r>
      <w:r>
        <w:t xml:space="preserve"> </w:t>
      </w:r>
      <w:r w:rsidR="00CF5271">
        <w:t>I</w:t>
      </w:r>
      <w:r w:rsidR="00CF5271" w:rsidRPr="00676AA2">
        <w:t>).</w:t>
      </w:r>
    </w:p>
    <w:p w:rsidR="003E379F" w:rsidRPr="002942F1" w:rsidRDefault="003E379F" w:rsidP="003E379F">
      <w:pPr>
        <w:pStyle w:val="H23G"/>
        <w:keepNext w:val="0"/>
        <w:keepLines w:val="0"/>
      </w:pPr>
      <w:r w:rsidRPr="002942F1">
        <w:tab/>
      </w:r>
      <w:r w:rsidRPr="002942F1">
        <w:tab/>
        <w:t xml:space="preserve">Criteria in paragraphs 33.2.1.4.4.1 to 33.2.1.4.4.3 </w:t>
      </w:r>
      <w:r w:rsidRPr="002942F1">
        <w:rPr>
          <w:rFonts w:eastAsia="MS Mincho"/>
        </w:rPr>
        <w:t>of the Manual of Tests and Criteria</w:t>
      </w:r>
    </w:p>
    <w:p w:rsidR="003E379F" w:rsidRPr="002942F1" w:rsidRDefault="003E379F" w:rsidP="003E379F">
      <w:pPr>
        <w:pStyle w:val="SingleTxtG"/>
      </w:pPr>
      <w:r w:rsidRPr="00664582">
        <w:rPr>
          <w:i/>
          <w:iCs/>
        </w:rPr>
        <w:t>Informal document</w:t>
      </w:r>
      <w:r w:rsidRPr="007D4E95">
        <w:rPr>
          <w:i/>
          <w:iCs/>
        </w:rPr>
        <w:t>:</w:t>
      </w:r>
      <w:r>
        <w:tab/>
      </w:r>
      <w:r>
        <w:tab/>
      </w:r>
      <w:r w:rsidRPr="002942F1">
        <w:t>INF.27 (Germany)</w:t>
      </w:r>
    </w:p>
    <w:p w:rsidR="003E379F" w:rsidRDefault="00473A0C" w:rsidP="003E379F">
      <w:pPr>
        <w:pStyle w:val="SingleTxtG"/>
      </w:pPr>
      <w:r>
        <w:t>9</w:t>
      </w:r>
      <w:r w:rsidR="003E379F" w:rsidRPr="002942F1">
        <w:t>.</w:t>
      </w:r>
      <w:r w:rsidR="003E379F" w:rsidRPr="002942F1">
        <w:tab/>
        <w:t xml:space="preserve">The Sub-Committee decided that the square brackets around the paragraphs concerned in document ST/SG/AC.10/C.3/2016/55 should be deleted. The </w:t>
      </w:r>
      <w:r w:rsidR="00CF5271">
        <w:t>questions raised</w:t>
      </w:r>
      <w:r w:rsidR="003E379F" w:rsidRPr="002942F1">
        <w:t xml:space="preserve"> in informal document INF.27 </w:t>
      </w:r>
      <w:r w:rsidR="00CF5271">
        <w:t>in relation t</w:t>
      </w:r>
      <w:r w:rsidR="00D3044A">
        <w:t>o</w:t>
      </w:r>
      <w:r w:rsidR="00CF5271">
        <w:t xml:space="preserve"> the test method N.1 for readily combustible solids </w:t>
      </w:r>
      <w:r w:rsidR="003E379F" w:rsidRPr="002942F1">
        <w:t>required further consideration and should therefore be discussed during the next biennium.</w:t>
      </w:r>
    </w:p>
    <w:p w:rsidR="009127AF" w:rsidRPr="00676AA2" w:rsidRDefault="009127AF" w:rsidP="00D76FC8">
      <w:pPr>
        <w:pStyle w:val="H1G"/>
        <w:keepNext w:val="0"/>
        <w:keepLines w:val="0"/>
      </w:pPr>
      <w:r w:rsidRPr="00676AA2">
        <w:tab/>
        <w:t>B.</w:t>
      </w:r>
      <w:r w:rsidRPr="00676AA2">
        <w:tab/>
        <w:t>Explosives and related matters</w:t>
      </w:r>
    </w:p>
    <w:p w:rsidR="009127AF" w:rsidRDefault="00473A0C" w:rsidP="00D76FC8">
      <w:pPr>
        <w:pStyle w:val="SingleTxtG"/>
      </w:pPr>
      <w:r>
        <w:t>10</w:t>
      </w:r>
      <w:r w:rsidR="009127AF" w:rsidRPr="00676AA2">
        <w:t>.</w:t>
      </w:r>
      <w:r w:rsidR="009127AF" w:rsidRPr="00676AA2">
        <w:tab/>
        <w:t>After a preliminary consideration in the plenary, most of the questions under the agenda item were referred to the Working Group o</w:t>
      </w:r>
      <w:r w:rsidR="00D76FC8">
        <w:t>n Explosives, which met from 28 </w:t>
      </w:r>
      <w:r w:rsidR="009127AF" w:rsidRPr="00676AA2">
        <w:t xml:space="preserve">November to 2 December 2016, under the chairmanship of Mr. E. </w:t>
      </w:r>
      <w:r w:rsidR="001D4218">
        <w:t>d</w:t>
      </w:r>
      <w:r w:rsidR="001D4218" w:rsidRPr="00676AA2">
        <w:t xml:space="preserve">e </w:t>
      </w:r>
      <w:r w:rsidR="009127AF" w:rsidRPr="00676AA2">
        <w:t>Jong (Netherlands).</w:t>
      </w:r>
    </w:p>
    <w:p w:rsidR="009127AF" w:rsidRDefault="00473A0C" w:rsidP="00D76FC8">
      <w:pPr>
        <w:pStyle w:val="SingleTxtG"/>
      </w:pPr>
      <w:r>
        <w:t>11</w:t>
      </w:r>
      <w:r w:rsidR="009127AF" w:rsidRPr="00676AA2">
        <w:t>.</w:t>
      </w:r>
      <w:r w:rsidR="009127AF" w:rsidRPr="00676AA2">
        <w:tab/>
        <w:t>Similarly, the following were referred to the Working Group on Explosives: the documents falling under sub-item 7 (g) on the use of the Manual of Tests and Criteria in the context of GHS; those falling under sub-item 7 (h) (Review of Chapter 2.1 of GHS); informal document INF.30 under item 6; and informal document INF.39 under item 8.</w:t>
      </w:r>
    </w:p>
    <w:p w:rsidR="00F80C4D" w:rsidRDefault="00591383" w:rsidP="00591383">
      <w:pPr>
        <w:pStyle w:val="H23"/>
        <w:tabs>
          <w:tab w:val="clear" w:pos="1267"/>
          <w:tab w:val="left" w:pos="1134"/>
        </w:tabs>
        <w:spacing w:after="240"/>
        <w:ind w:left="1264" w:right="1264" w:hanging="1264"/>
      </w:pPr>
      <w:r>
        <w:tab/>
      </w:r>
      <w:r>
        <w:tab/>
      </w:r>
      <w:r w:rsidR="00F80C4D">
        <w:t>Report of the Working Group on Explosives</w:t>
      </w:r>
    </w:p>
    <w:p w:rsidR="00F80C4D" w:rsidRDefault="00F80C4D" w:rsidP="00F80C4D">
      <w:pPr>
        <w:pStyle w:val="SingleTxtG"/>
      </w:pPr>
      <w:r w:rsidRPr="00AF4FBC">
        <w:rPr>
          <w:i/>
        </w:rPr>
        <w:t>Informal document</w:t>
      </w:r>
      <w:r>
        <w:t>:</w:t>
      </w:r>
      <w:r>
        <w:tab/>
      </w:r>
      <w:r>
        <w:tab/>
        <w:t>INF.59 (Working Group on Explosives)</w:t>
      </w:r>
    </w:p>
    <w:p w:rsidR="00971472" w:rsidRDefault="00971472" w:rsidP="00F80C4D">
      <w:pPr>
        <w:pStyle w:val="SingleTxtG"/>
      </w:pPr>
      <w:r>
        <w:t>12.</w:t>
      </w:r>
      <w:r>
        <w:tab/>
        <w:t>Having considered the report of the Working Group on Explosives and heard the explanations provided by its Chairman, the Sub-Committee reached the conclusions listed below for each subject under consideration under agenda item 2 (b).</w:t>
      </w:r>
    </w:p>
    <w:p w:rsidR="00E75A59" w:rsidRDefault="00971472" w:rsidP="00D41905">
      <w:pPr>
        <w:pStyle w:val="H23G"/>
      </w:pPr>
      <w:r w:rsidRPr="00CC402C">
        <w:lastRenderedPageBreak/>
        <w:tab/>
        <w:t>1.</w:t>
      </w:r>
      <w:r w:rsidRPr="00CC402C">
        <w:tab/>
      </w:r>
      <w:r w:rsidRPr="00B05B84">
        <w:t xml:space="preserve">Proposal for replacing </w:t>
      </w:r>
      <w:proofErr w:type="spellStart"/>
      <w:r w:rsidRPr="00B05B84">
        <w:t>dibutyl</w:t>
      </w:r>
      <w:proofErr w:type="spellEnd"/>
      <w:r w:rsidRPr="00B05B84">
        <w:t xml:space="preserve"> phthalate</w:t>
      </w:r>
      <w:r w:rsidRPr="00D442D6">
        <w:t xml:space="preserve"> </w:t>
      </w:r>
      <w:r w:rsidRPr="00CF5271">
        <w:t xml:space="preserve">(DBP) in </w:t>
      </w:r>
      <w:proofErr w:type="spellStart"/>
      <w:r w:rsidRPr="00CF5271">
        <w:t>Koene</w:t>
      </w:r>
      <w:r w:rsidRPr="00D41905">
        <w:rPr>
          <w:rFonts w:eastAsia="SimSun"/>
          <w:spacing w:val="2"/>
          <w:w w:val="103"/>
          <w:kern w:val="14"/>
          <w:lang w:eastAsia="zh-CN"/>
        </w:rPr>
        <w:t>n</w:t>
      </w:r>
      <w:proofErr w:type="spellEnd"/>
      <w:r w:rsidRPr="00D41905">
        <w:rPr>
          <w:rFonts w:eastAsia="SimSun"/>
          <w:spacing w:val="2"/>
          <w:w w:val="103"/>
          <w:kern w:val="14"/>
          <w:lang w:eastAsia="zh-CN"/>
        </w:rPr>
        <w:t xml:space="preserve"> Test</w:t>
      </w:r>
    </w:p>
    <w:p w:rsidR="00971472" w:rsidRPr="00D41905" w:rsidRDefault="00971472" w:rsidP="008B1932">
      <w:pPr>
        <w:pStyle w:val="H23"/>
        <w:tabs>
          <w:tab w:val="left" w:pos="3402"/>
        </w:tabs>
        <w:snapToGrid w:val="0"/>
        <w:spacing w:after="240" w:line="240" w:lineRule="auto"/>
        <w:ind w:left="1264" w:right="1264" w:hanging="130"/>
        <w:rPr>
          <w:i/>
        </w:rPr>
      </w:pPr>
      <w:r w:rsidRPr="008B1932">
        <w:rPr>
          <w:b w:val="0"/>
          <w:i/>
        </w:rPr>
        <w:t>Document</w:t>
      </w:r>
      <w:r w:rsidRPr="00072495">
        <w:rPr>
          <w:i/>
        </w:rPr>
        <w:t>:</w:t>
      </w:r>
      <w:r w:rsidRPr="00072495">
        <w:rPr>
          <w:i/>
        </w:rPr>
        <w:tab/>
      </w:r>
      <w:r w:rsidR="008B1932">
        <w:rPr>
          <w:i/>
        </w:rPr>
        <w:tab/>
      </w:r>
      <w:r w:rsidR="008B1932">
        <w:rPr>
          <w:i/>
        </w:rPr>
        <w:tab/>
      </w:r>
      <w:r w:rsidR="008B1932">
        <w:rPr>
          <w:i/>
        </w:rPr>
        <w:tab/>
      </w:r>
      <w:r w:rsidRPr="00D41905">
        <w:rPr>
          <w:b w:val="0"/>
        </w:rPr>
        <w:t>ST/SG/AC.10/C.3/2016/13 (France)</w:t>
      </w:r>
    </w:p>
    <w:p w:rsidR="00E75A59" w:rsidRDefault="00E75A59" w:rsidP="00D41905">
      <w:pPr>
        <w:pStyle w:val="SingleTxtG"/>
      </w:pPr>
      <w:r>
        <w:t>13.</w:t>
      </w:r>
      <w:r>
        <w:tab/>
        <w:t>The Sub-Committee adopted specifications for suitable alternates for DBP and decided that the amendments proposed should be treated as corrections to the sixth revised edition of the Manual of Tests and Criteria (see annex II).</w:t>
      </w:r>
    </w:p>
    <w:p w:rsidR="00E75A59" w:rsidRDefault="00E75A59" w:rsidP="00591383">
      <w:pPr>
        <w:pStyle w:val="H23G"/>
      </w:pPr>
      <w:r w:rsidRPr="00EA1BB8">
        <w:tab/>
      </w:r>
      <w:r>
        <w:t>2</w:t>
      </w:r>
      <w:r w:rsidRPr="00EA1BB8">
        <w:t>.</w:t>
      </w:r>
      <w:r w:rsidRPr="00EA1BB8">
        <w:tab/>
      </w:r>
      <w:r>
        <w:t>Chapter 2.1 of the Model Regulations-Class 1 definition/Chapter 2.1 of the GHS-Class of explosives</w:t>
      </w:r>
    </w:p>
    <w:p w:rsidR="008F096D" w:rsidRDefault="008F096D" w:rsidP="00D41905">
      <w:pPr>
        <w:pStyle w:val="SingleTxtG"/>
        <w:spacing w:after="240" w:line="240" w:lineRule="auto"/>
        <w:ind w:left="3402" w:right="39" w:hanging="2268"/>
        <w:jc w:val="left"/>
        <w:rPr>
          <w:iCs/>
          <w:lang w:val="en-US"/>
        </w:rPr>
      </w:pPr>
      <w:r w:rsidRPr="00072495">
        <w:rPr>
          <w:i/>
        </w:rPr>
        <w:t>Document</w:t>
      </w:r>
      <w:r>
        <w:rPr>
          <w:i/>
        </w:rPr>
        <w:t>s</w:t>
      </w:r>
      <w:r w:rsidRPr="00072495">
        <w:rPr>
          <w:i/>
        </w:rPr>
        <w:t>:</w:t>
      </w:r>
      <w:r>
        <w:rPr>
          <w:i/>
        </w:rPr>
        <w:t xml:space="preserve"> </w:t>
      </w:r>
      <w:r>
        <w:rPr>
          <w:i/>
        </w:rPr>
        <w:tab/>
      </w:r>
      <w:r w:rsidRPr="00D41905">
        <w:rPr>
          <w:iCs/>
          <w:lang w:val="en-US"/>
        </w:rPr>
        <w:t>ST/SG/AC.10/C.3/2016/53 - ST/SG/AC.10/C.4/2016/14 (AEISG)</w:t>
      </w:r>
    </w:p>
    <w:p w:rsidR="008F096D" w:rsidRDefault="008F096D" w:rsidP="00D41905">
      <w:pPr>
        <w:pStyle w:val="SingleTxtG"/>
      </w:pPr>
      <w:r>
        <w:t>14.</w:t>
      </w:r>
      <w:r>
        <w:tab/>
        <w:t xml:space="preserve">The Sub-Committee adopted the proposed amendment to </w:t>
      </w:r>
      <w:r w:rsidR="00D3044A">
        <w:t>2.1.1.1</w:t>
      </w:r>
      <w:r w:rsidR="00EA5817">
        <w:t xml:space="preserve"> </w:t>
      </w:r>
      <w:r w:rsidR="00D3044A">
        <w:t>(c) of the Model Regulations</w:t>
      </w:r>
      <w:r w:rsidR="00A27BC2">
        <w:t xml:space="preserve"> </w:t>
      </w:r>
      <w:r>
        <w:t xml:space="preserve">(see annex I) and the corresponding amendments to </w:t>
      </w:r>
      <w:r w:rsidRPr="00D65523">
        <w:t xml:space="preserve">2.1.1.2 (c) </w:t>
      </w:r>
      <w:r>
        <w:t xml:space="preserve">of the GHS, </w:t>
      </w:r>
      <w:r w:rsidRPr="00D65523">
        <w:t>and Note b to Table 2.1.1 of the GHS</w:t>
      </w:r>
      <w:r w:rsidR="00A27BC2">
        <w:t>,</w:t>
      </w:r>
      <w:r w:rsidR="00D3044A">
        <w:t xml:space="preserve"> which had also been </w:t>
      </w:r>
      <w:r>
        <w:t>proposed to the GHS Sub-Committee</w:t>
      </w:r>
      <w:r w:rsidR="00AC7C16">
        <w:t xml:space="preserve"> in ST/SG/AC.10/C.4/2016/14. This decision should be brought to the attention of the GHS Sub-Committee</w:t>
      </w:r>
      <w:r>
        <w:t>.</w:t>
      </w:r>
    </w:p>
    <w:p w:rsidR="008F096D" w:rsidRDefault="008F096D" w:rsidP="00591383">
      <w:pPr>
        <w:pStyle w:val="H23G"/>
      </w:pPr>
      <w:r w:rsidRPr="00EA1BB8">
        <w:tab/>
      </w:r>
      <w:r>
        <w:t>3</w:t>
      </w:r>
      <w:r w:rsidRPr="00EA1BB8">
        <w:t>.</w:t>
      </w:r>
      <w:r w:rsidRPr="00EA1BB8">
        <w:tab/>
      </w:r>
      <w:r>
        <w:rPr>
          <w:lang w:val="en-US"/>
        </w:rPr>
        <w:t xml:space="preserve">Section 10.3.3 of the </w:t>
      </w:r>
      <w:r w:rsidRPr="002E7FEA">
        <w:t>Manual</w:t>
      </w:r>
      <w:r>
        <w:rPr>
          <w:lang w:val="en-US"/>
        </w:rPr>
        <w:t xml:space="preserve"> of Tests and Criteria – Guidance about application of Test Series 3 and 4</w:t>
      </w:r>
    </w:p>
    <w:p w:rsidR="008F096D" w:rsidRPr="00D41905" w:rsidRDefault="008F096D" w:rsidP="00D41905">
      <w:pPr>
        <w:pStyle w:val="H23"/>
        <w:tabs>
          <w:tab w:val="clear" w:pos="1022"/>
          <w:tab w:val="clear" w:pos="1267"/>
          <w:tab w:val="left" w:pos="3402"/>
        </w:tabs>
        <w:snapToGrid w:val="0"/>
        <w:spacing w:after="240" w:line="240" w:lineRule="auto"/>
        <w:ind w:left="1134" w:right="1264" w:hanging="1134"/>
        <w:rPr>
          <w:b w:val="0"/>
          <w:i/>
        </w:rPr>
      </w:pPr>
      <w:r w:rsidRPr="00D41905">
        <w:rPr>
          <w:b w:val="0"/>
          <w:i/>
        </w:rPr>
        <w:tab/>
        <w:t>Document:</w:t>
      </w:r>
      <w:r w:rsidRPr="00D41905">
        <w:rPr>
          <w:b w:val="0"/>
          <w:i/>
        </w:rPr>
        <w:tab/>
      </w:r>
      <w:r>
        <w:rPr>
          <w:b w:val="0"/>
          <w:i/>
        </w:rPr>
        <w:tab/>
      </w:r>
      <w:r w:rsidR="0086793F">
        <w:rPr>
          <w:b w:val="0"/>
          <w:i/>
        </w:rPr>
        <w:tab/>
      </w:r>
      <w:r w:rsidR="00C72DA9">
        <w:rPr>
          <w:b w:val="0"/>
          <w:i/>
        </w:rPr>
        <w:tab/>
      </w:r>
      <w:r w:rsidRPr="00D41905">
        <w:rPr>
          <w:b w:val="0"/>
          <w:iCs/>
          <w:lang w:val="en-US"/>
        </w:rPr>
        <w:t>ST/SG/AC.10/C.3/2016/60 (Sweden, AEISG)</w:t>
      </w:r>
    </w:p>
    <w:p w:rsidR="00DA0FEA" w:rsidRDefault="00DA0FEA" w:rsidP="00D41905">
      <w:pPr>
        <w:pStyle w:val="SingleTxtG"/>
      </w:pPr>
      <w:r>
        <w:t>15.</w:t>
      </w:r>
      <w:r>
        <w:tab/>
        <w:t xml:space="preserve">The Sub-Committee adopted the amendments to section 10.3.3 of the Manual of </w:t>
      </w:r>
      <w:r w:rsidR="005D411E">
        <w:t>T</w:t>
      </w:r>
      <w:r>
        <w:t>ests and Criteria proposed by the Working Group (see annex I) and noted that the experts from  Sweden and the United States of America</w:t>
      </w:r>
      <w:r w:rsidR="0086793F">
        <w:t xml:space="preserve"> would</w:t>
      </w:r>
      <w:r>
        <w:t xml:space="preserve"> consider developing further proposals in the next biennium.</w:t>
      </w:r>
    </w:p>
    <w:p w:rsidR="00CC402C" w:rsidRPr="00072495" w:rsidRDefault="00C72DA9" w:rsidP="00D41905">
      <w:pPr>
        <w:pStyle w:val="H23G"/>
        <w:ind w:left="709" w:hanging="709"/>
      </w:pPr>
      <w:r>
        <w:tab/>
      </w:r>
      <w:r>
        <w:tab/>
      </w:r>
      <w:r w:rsidR="00CC402C">
        <w:t>4.</w:t>
      </w:r>
      <w:r>
        <w:tab/>
      </w:r>
      <w:r w:rsidR="00CC402C" w:rsidRPr="00D41905">
        <w:rPr>
          <w:rFonts w:eastAsia="SimSun"/>
          <w:w w:val="103"/>
        </w:rPr>
        <w:t>Transport of energetic samples</w:t>
      </w:r>
    </w:p>
    <w:p w:rsidR="00CC402C" w:rsidRPr="00D41905" w:rsidRDefault="00CC402C" w:rsidP="00D41905">
      <w:pPr>
        <w:pStyle w:val="SingleTxtG"/>
        <w:spacing w:after="240" w:line="240" w:lineRule="auto"/>
        <w:ind w:left="3402" w:right="39" w:hanging="2268"/>
        <w:jc w:val="left"/>
        <w:rPr>
          <w:iCs/>
          <w:lang w:val="en-US"/>
        </w:rPr>
      </w:pPr>
      <w:r w:rsidRPr="00072495">
        <w:rPr>
          <w:i/>
        </w:rPr>
        <w:t>Document:</w:t>
      </w:r>
      <w:r w:rsidRPr="00072495">
        <w:rPr>
          <w:i/>
        </w:rPr>
        <w:tab/>
      </w:r>
      <w:r w:rsidRPr="00D41905">
        <w:rPr>
          <w:iCs/>
          <w:lang w:val="en-US"/>
        </w:rPr>
        <w:t>ST/SG/AC.10/C.3/2016/61 (CEFIC)</w:t>
      </w:r>
    </w:p>
    <w:p w:rsidR="00CC402C" w:rsidRDefault="00CC402C" w:rsidP="00D41905">
      <w:pPr>
        <w:pStyle w:val="SingleTxtG"/>
        <w:spacing w:after="240" w:line="240" w:lineRule="auto"/>
        <w:ind w:left="3402" w:right="39" w:hanging="2268"/>
        <w:jc w:val="left"/>
      </w:pPr>
      <w:r>
        <w:rPr>
          <w:i/>
        </w:rPr>
        <w:t xml:space="preserve">Informal document: </w:t>
      </w:r>
      <w:r>
        <w:rPr>
          <w:i/>
        </w:rPr>
        <w:tab/>
      </w:r>
      <w:r w:rsidRPr="00D41905">
        <w:t>INF.23 (CEFIC)</w:t>
      </w:r>
    </w:p>
    <w:p w:rsidR="00CC402C" w:rsidRDefault="00CC402C" w:rsidP="00CC402C">
      <w:pPr>
        <w:pStyle w:val="SingleTxtG"/>
      </w:pPr>
      <w:r>
        <w:t>16.</w:t>
      </w:r>
      <w:r>
        <w:tab/>
        <w:t>Several delegations felt that the packing conditions proposed were too detailed, but the Sub-Committee considered that these provisions were urgently needed and that including provisions based on test results was the best solution at this time. There was consensus on the proposed amendments 2 and 3 in annex 2 of the report, but several editorial modifications were made to amendments 4 and 5 which were put to the vote, as amended, and adopted (see annex I).</w:t>
      </w:r>
    </w:p>
    <w:p w:rsidR="00CC402C" w:rsidRPr="00072495" w:rsidRDefault="00A023B9" w:rsidP="00D41905">
      <w:pPr>
        <w:pStyle w:val="H23G"/>
        <w:ind w:left="709" w:hanging="709"/>
      </w:pPr>
      <w:r>
        <w:tab/>
      </w:r>
      <w:r>
        <w:tab/>
      </w:r>
      <w:r w:rsidR="00CC402C">
        <w:t>5.</w:t>
      </w:r>
      <w:r>
        <w:tab/>
      </w:r>
      <w:r w:rsidR="00CC402C" w:rsidRPr="00D41905">
        <w:rPr>
          <w:rFonts w:eastAsia="SimSun"/>
          <w:w w:val="103"/>
        </w:rPr>
        <w:t>Classification of ammonium nitrate fertilizers</w:t>
      </w:r>
    </w:p>
    <w:p w:rsidR="00CC402C" w:rsidRPr="00D41905" w:rsidRDefault="00CC402C" w:rsidP="00D41905">
      <w:pPr>
        <w:pStyle w:val="SingleTxtG"/>
        <w:spacing w:after="240" w:line="240" w:lineRule="auto"/>
        <w:ind w:left="3402" w:right="39" w:hanging="2268"/>
        <w:rPr>
          <w:iCs/>
          <w:lang w:val="en-US"/>
        </w:rPr>
      </w:pPr>
      <w:r w:rsidRPr="00072495">
        <w:rPr>
          <w:i/>
        </w:rPr>
        <w:t>Document:</w:t>
      </w:r>
      <w:r w:rsidRPr="00072495">
        <w:rPr>
          <w:i/>
        </w:rPr>
        <w:tab/>
      </w:r>
      <w:r w:rsidRPr="00D41905">
        <w:rPr>
          <w:iCs/>
          <w:lang w:val="en-US"/>
        </w:rPr>
        <w:t>ST/SG/AC.10/C.3/2016/66 (Sweden)</w:t>
      </w:r>
    </w:p>
    <w:p w:rsidR="00CC402C" w:rsidRPr="00D41905" w:rsidRDefault="00CC402C" w:rsidP="00D41905">
      <w:pPr>
        <w:pStyle w:val="SingleTxtG"/>
        <w:spacing w:after="0" w:line="240" w:lineRule="auto"/>
        <w:ind w:left="3402" w:right="43" w:hanging="2268"/>
        <w:jc w:val="left"/>
      </w:pPr>
      <w:r w:rsidRPr="00072495">
        <w:rPr>
          <w:i/>
        </w:rPr>
        <w:t xml:space="preserve">Informal documents: </w:t>
      </w:r>
      <w:r w:rsidRPr="00072495">
        <w:rPr>
          <w:i/>
        </w:rPr>
        <w:tab/>
      </w:r>
      <w:r w:rsidRPr="00D41905">
        <w:t>INF.9 (AEISG)</w:t>
      </w:r>
    </w:p>
    <w:p w:rsidR="00CC402C" w:rsidRPr="00D41905" w:rsidRDefault="00CC402C" w:rsidP="00D41905">
      <w:pPr>
        <w:pStyle w:val="SingleTxtG"/>
        <w:spacing w:after="240" w:line="240" w:lineRule="auto"/>
        <w:ind w:left="3402" w:right="39" w:hanging="1703"/>
        <w:jc w:val="left"/>
        <w:rPr>
          <w:iCs/>
          <w:lang w:val="en-US"/>
        </w:rPr>
      </w:pPr>
      <w:r>
        <w:rPr>
          <w:i/>
        </w:rPr>
        <w:tab/>
      </w:r>
      <w:r w:rsidRPr="00D41905">
        <w:t>INF.47 (IME)</w:t>
      </w:r>
    </w:p>
    <w:p w:rsidR="00B05B84" w:rsidRDefault="00B05B84" w:rsidP="00B05B84">
      <w:pPr>
        <w:pStyle w:val="SingleTxtG"/>
      </w:pPr>
      <w:r>
        <w:t>17.</w:t>
      </w:r>
      <w:r>
        <w:tab/>
        <w:t xml:space="preserve">The Sub-Committee adopted the amendments to the Model Regulations proposed by the Working Group as amendment 6 in annex 2 of its report, as well as the addition of a new section 39 in the Manual of Tests and Criteria </w:t>
      </w:r>
      <w:r w:rsidR="0086793F">
        <w:t xml:space="preserve">as modified by amendment </w:t>
      </w:r>
      <w:r>
        <w:t xml:space="preserve">6 in annex </w:t>
      </w:r>
      <w:r w:rsidR="0086793F">
        <w:t>3</w:t>
      </w:r>
      <w:r>
        <w:t xml:space="preserve"> of the report</w:t>
      </w:r>
      <w:r w:rsidR="0086793F">
        <w:t xml:space="preserve"> (see annex I)</w:t>
      </w:r>
      <w:r>
        <w:t>.</w:t>
      </w:r>
    </w:p>
    <w:p w:rsidR="00B05B84" w:rsidRDefault="00B05B84" w:rsidP="00B05B84">
      <w:pPr>
        <w:pStyle w:val="SingleTxtG"/>
      </w:pPr>
      <w:r>
        <w:t>18.</w:t>
      </w:r>
      <w:r>
        <w:tab/>
      </w:r>
      <w:r w:rsidR="00D442D6">
        <w:t>T</w:t>
      </w:r>
      <w:r>
        <w:t xml:space="preserve">he expert from the United States of America proposed to amend 39.4.4 in order to </w:t>
      </w:r>
      <w:r w:rsidR="00D442D6">
        <w:t xml:space="preserve">provide discretion to the competent authority to determine the appropriate transport </w:t>
      </w:r>
      <w:r w:rsidR="00D442D6">
        <w:lastRenderedPageBreak/>
        <w:t xml:space="preserve">classification </w:t>
      </w:r>
      <w:r>
        <w:t xml:space="preserve">when </w:t>
      </w:r>
      <w:r w:rsidR="00D442D6">
        <w:t xml:space="preserve">the fertilizers have been </w:t>
      </w:r>
      <w:r>
        <w:t xml:space="preserve">tested negatively in accordance with Test Series 2, even when the composition limits relevant for inclusion in the class of explosives are met. </w:t>
      </w:r>
      <w:r w:rsidR="00D442D6">
        <w:t>T</w:t>
      </w:r>
      <w:r>
        <w:t>here was no support for this proposal</w:t>
      </w:r>
      <w:r w:rsidR="00D442D6">
        <w:t>.</w:t>
      </w:r>
    </w:p>
    <w:p w:rsidR="00B05B84" w:rsidRDefault="00B05B84" w:rsidP="00C07A6F">
      <w:pPr>
        <w:pStyle w:val="H23G"/>
        <w:ind w:left="709" w:hanging="709"/>
      </w:pPr>
      <w:r>
        <w:tab/>
      </w:r>
      <w:r>
        <w:tab/>
        <w:t>6.</w:t>
      </w:r>
      <w:r w:rsidR="004A55C7">
        <w:tab/>
      </w:r>
      <w:r w:rsidRPr="00D90360">
        <w:rPr>
          <w:lang w:val="en-US"/>
        </w:rPr>
        <w:t xml:space="preserve">Application of </w:t>
      </w:r>
      <w:r>
        <w:rPr>
          <w:lang w:val="en-US"/>
        </w:rPr>
        <w:t>security p</w:t>
      </w:r>
      <w:r w:rsidRPr="00D90360">
        <w:rPr>
          <w:lang w:val="en-US"/>
        </w:rPr>
        <w:t>rovisions to Explosives N.O.S</w:t>
      </w:r>
      <w:r>
        <w:rPr>
          <w:lang w:val="en-US"/>
        </w:rPr>
        <w:t>.</w:t>
      </w:r>
    </w:p>
    <w:p w:rsidR="00B05B84" w:rsidRPr="00D41905" w:rsidRDefault="00B05B84" w:rsidP="00C07A6F">
      <w:pPr>
        <w:pStyle w:val="SingleTxtG"/>
        <w:keepNext/>
        <w:keepLines/>
        <w:spacing w:after="0" w:line="240" w:lineRule="auto"/>
        <w:ind w:left="3402" w:right="43" w:hanging="2268"/>
        <w:jc w:val="left"/>
      </w:pPr>
      <w:r w:rsidRPr="00072495">
        <w:rPr>
          <w:i/>
        </w:rPr>
        <w:t xml:space="preserve">Informal documents: </w:t>
      </w:r>
      <w:r w:rsidRPr="00072495">
        <w:rPr>
          <w:i/>
        </w:rPr>
        <w:tab/>
      </w:r>
      <w:r w:rsidRPr="00D41905">
        <w:t>INF.33 (Italy)</w:t>
      </w:r>
    </w:p>
    <w:p w:rsidR="00B05B84" w:rsidRPr="00D41905" w:rsidRDefault="00B05B84" w:rsidP="00C07A6F">
      <w:pPr>
        <w:pStyle w:val="SingleTxtG"/>
        <w:keepNext/>
        <w:keepLines/>
        <w:spacing w:after="240" w:line="240" w:lineRule="auto"/>
        <w:ind w:left="3402" w:right="39" w:hanging="1703"/>
        <w:jc w:val="left"/>
        <w:rPr>
          <w:iCs/>
          <w:lang w:val="en-US"/>
        </w:rPr>
      </w:pPr>
      <w:r>
        <w:rPr>
          <w:i/>
        </w:rPr>
        <w:tab/>
      </w:r>
      <w:r w:rsidRPr="00D41905">
        <w:t>INF.44 (</w:t>
      </w:r>
      <w:r w:rsidR="00D442D6">
        <w:t>United Kingdom</w:t>
      </w:r>
      <w:r w:rsidRPr="00D41905">
        <w:t>)</w:t>
      </w:r>
    </w:p>
    <w:p w:rsidR="00D442D6" w:rsidRDefault="00D442D6" w:rsidP="00C07A6F">
      <w:pPr>
        <w:pStyle w:val="SingleTxtG"/>
        <w:keepNext/>
        <w:keepLines/>
      </w:pPr>
      <w:r>
        <w:t>19</w:t>
      </w:r>
      <w:r w:rsidR="001B4BDB">
        <w:t>.</w:t>
      </w:r>
      <w:r>
        <w:tab/>
        <w:t>The Sub-Committee noted the recommendation of the Working Group to include Division 1.6 explosives in table 1.4.1 of the Model Regulations as high-consequence dangerous goods. However several experts underlined that this recommendation was based on informal documents that had been submitted very late and the Sub-Committee agreed that this recommendation would have to be considered again in the next biennium on the basis of an official proposal that the expert from the United Kingdom offered to prepare.</w:t>
      </w:r>
    </w:p>
    <w:p w:rsidR="00971472" w:rsidRDefault="00C93A1A" w:rsidP="00CF5271">
      <w:pPr>
        <w:pStyle w:val="SingleTxtG"/>
      </w:pPr>
      <w:r>
        <w:t>20.</w:t>
      </w:r>
      <w:r>
        <w:tab/>
        <w:t xml:space="preserve">More generally, for explosives classified under </w:t>
      </w:r>
      <w:proofErr w:type="spellStart"/>
      <w:r>
        <w:t>n.o.s</w:t>
      </w:r>
      <w:proofErr w:type="spellEnd"/>
      <w:r>
        <w:t xml:space="preserve"> entries, the Sub-Committee noted the view of the Working Group that an alternate solution for the time being would be to identify required security provisions on specific competent authority approvals, and that this alternate solution was acceptable to the expert from Italy.</w:t>
      </w:r>
    </w:p>
    <w:p w:rsidR="00A56EB2" w:rsidRPr="000B765F" w:rsidRDefault="00A56EB2" w:rsidP="00D76FC8">
      <w:pPr>
        <w:pStyle w:val="H1G"/>
        <w:keepNext w:val="0"/>
        <w:keepLines w:val="0"/>
      </w:pPr>
      <w:r w:rsidRPr="000B765F">
        <w:tab/>
        <w:t>C.</w:t>
      </w:r>
      <w:r w:rsidRPr="000B765F">
        <w:tab/>
        <w:t>Listing, classification and packing</w:t>
      </w:r>
    </w:p>
    <w:p w:rsidR="00A56EB2" w:rsidRPr="000B765F" w:rsidRDefault="00A56EB2" w:rsidP="00D76FC8">
      <w:pPr>
        <w:pStyle w:val="H23G"/>
        <w:keepNext w:val="0"/>
        <w:keepLines w:val="0"/>
      </w:pPr>
      <w:r w:rsidRPr="000B765F">
        <w:tab/>
        <w:t>1.</w:t>
      </w:r>
      <w:r w:rsidRPr="000B765F">
        <w:tab/>
        <w:t>Proposal to modify packing instruction P902</w:t>
      </w:r>
    </w:p>
    <w:p w:rsidR="00A56EB2" w:rsidRPr="000B765F" w:rsidRDefault="00A56EB2" w:rsidP="00D76FC8">
      <w:pPr>
        <w:pStyle w:val="SingleTxtG"/>
      </w:pPr>
      <w:r w:rsidRPr="00DF27B3">
        <w:rPr>
          <w:i/>
          <w:iCs/>
        </w:rPr>
        <w:t>Document</w:t>
      </w:r>
      <w:r w:rsidRPr="000B765F">
        <w:t>:</w:t>
      </w:r>
      <w:r w:rsidRPr="000B765F">
        <w:tab/>
      </w:r>
      <w:r w:rsidR="00031EFA">
        <w:tab/>
      </w:r>
      <w:r w:rsidR="00031EFA">
        <w:tab/>
      </w:r>
      <w:r w:rsidRPr="000B765F">
        <w:t>ST/SG/AC.10/C.3/2016/59 (COSTHA)</w:t>
      </w:r>
    </w:p>
    <w:p w:rsidR="00A56EB2" w:rsidRDefault="00473A0C" w:rsidP="00D76FC8">
      <w:pPr>
        <w:pStyle w:val="SingleTxtG"/>
      </w:pPr>
      <w:r>
        <w:t>21</w:t>
      </w:r>
      <w:r w:rsidR="00A56EB2" w:rsidRPr="000B765F">
        <w:t>.</w:t>
      </w:r>
      <w:r w:rsidR="00A56EB2" w:rsidRPr="000B765F">
        <w:tab/>
        <w:t>The proposal to modify packing instruction P902 was adopted and extended to packing instruction LP902 (see annex</w:t>
      </w:r>
      <w:r w:rsidR="00A56EB2">
        <w:t xml:space="preserve"> </w:t>
      </w:r>
      <w:r w:rsidR="001D4218">
        <w:t>I</w:t>
      </w:r>
      <w:r w:rsidR="001D4218" w:rsidRPr="000B765F">
        <w:t>).</w:t>
      </w:r>
    </w:p>
    <w:p w:rsidR="00A56EB2" w:rsidRPr="000B765F" w:rsidRDefault="00A56EB2" w:rsidP="00D76FC8">
      <w:pPr>
        <w:pStyle w:val="H23G"/>
        <w:keepNext w:val="0"/>
        <w:keepLines w:val="0"/>
      </w:pPr>
      <w:r w:rsidRPr="000B765F">
        <w:tab/>
        <w:t>2.</w:t>
      </w:r>
      <w:r w:rsidRPr="000B765F">
        <w:tab/>
        <w:t>Reflection of toxicity for UN Nos. 2248, 2264 and 2357</w:t>
      </w:r>
    </w:p>
    <w:p w:rsidR="00A56EB2" w:rsidRPr="000B765F" w:rsidRDefault="00A56EB2" w:rsidP="00D76FC8">
      <w:pPr>
        <w:pStyle w:val="SingleTxtG"/>
      </w:pPr>
      <w:r w:rsidRPr="00DF27B3">
        <w:rPr>
          <w:i/>
          <w:iCs/>
        </w:rPr>
        <w:t>Document</w:t>
      </w:r>
      <w:r w:rsidRPr="000B765F">
        <w:t>:</w:t>
      </w:r>
      <w:r w:rsidRPr="000B765F">
        <w:tab/>
      </w:r>
      <w:r w:rsidR="00031EFA">
        <w:tab/>
      </w:r>
      <w:r w:rsidR="00031EFA">
        <w:tab/>
      </w:r>
      <w:r w:rsidRPr="000B765F">
        <w:t>ST/SG/AC.10/C.3/2016/64 (Republic of Korea)</w:t>
      </w:r>
    </w:p>
    <w:p w:rsidR="00A56EB2" w:rsidRPr="000B765F" w:rsidRDefault="00A56EB2" w:rsidP="00D76FC8">
      <w:pPr>
        <w:pStyle w:val="SingleTxtG"/>
      </w:pPr>
      <w:r w:rsidRPr="00DF27B3">
        <w:rPr>
          <w:i/>
          <w:iCs/>
        </w:rPr>
        <w:t>Informal document</w:t>
      </w:r>
      <w:r w:rsidRPr="000B765F">
        <w:t>:</w:t>
      </w:r>
      <w:r w:rsidRPr="000B765F">
        <w:tab/>
      </w:r>
      <w:r w:rsidR="00031EFA">
        <w:tab/>
      </w:r>
      <w:r w:rsidRPr="000B765F">
        <w:t>INF.42 (CEFIC)</w:t>
      </w:r>
    </w:p>
    <w:p w:rsidR="00A56EB2" w:rsidRDefault="00473A0C" w:rsidP="00D76FC8">
      <w:pPr>
        <w:pStyle w:val="SingleTxtG"/>
      </w:pPr>
      <w:r>
        <w:t>22</w:t>
      </w:r>
      <w:r w:rsidR="00A56EB2" w:rsidRPr="000B765F">
        <w:t>.</w:t>
      </w:r>
      <w:r w:rsidR="00A56EB2" w:rsidRPr="000B765F">
        <w:tab/>
        <w:t xml:space="preserve">The Sub-Committee noted that the data provided by the Republic of Korea </w:t>
      </w:r>
      <w:r w:rsidR="001D4218">
        <w:t>needed further consideration</w:t>
      </w:r>
      <w:r w:rsidR="00A56EB2" w:rsidRPr="000B765F">
        <w:t>. It also noted that substances belonging to Class 8, packing group II and, because of their inhalation toxicity, to Division 6.1, packing group II, should be classified in Division 6.1 rather than Class 8. Some experts also thought that it would be important to check thoroughly whether the proposed changes in classification would not imply changes in conditions of transport.</w:t>
      </w:r>
    </w:p>
    <w:p w:rsidR="00A56EB2" w:rsidRDefault="00473A0C" w:rsidP="00D76FC8">
      <w:pPr>
        <w:pStyle w:val="SingleTxtG"/>
      </w:pPr>
      <w:r>
        <w:t>23</w:t>
      </w:r>
      <w:r w:rsidR="00A56EB2" w:rsidRPr="000B765F">
        <w:t>.</w:t>
      </w:r>
      <w:r w:rsidR="00A56EB2" w:rsidRPr="000B765F">
        <w:tab/>
        <w:t>The expert from the Republic of Korea said that she would submit a new proposal at the next session.</w:t>
      </w:r>
    </w:p>
    <w:p w:rsidR="00A56EB2" w:rsidRPr="000B765F" w:rsidRDefault="00A56EB2" w:rsidP="00D76FC8">
      <w:pPr>
        <w:pStyle w:val="H23G"/>
        <w:keepNext w:val="0"/>
        <w:keepLines w:val="0"/>
      </w:pPr>
      <w:r w:rsidRPr="000B765F">
        <w:tab/>
        <w:t>3.</w:t>
      </w:r>
      <w:r w:rsidRPr="000B765F">
        <w:tab/>
        <w:t xml:space="preserve">Packing instruction P620 for Category </w:t>
      </w:r>
      <w:proofErr w:type="gramStart"/>
      <w:r w:rsidRPr="000B765F">
        <w:t>A</w:t>
      </w:r>
      <w:proofErr w:type="gramEnd"/>
      <w:r w:rsidRPr="000B765F">
        <w:t xml:space="preserve"> infectious substances</w:t>
      </w:r>
    </w:p>
    <w:p w:rsidR="00A56EB2" w:rsidRPr="000B765F" w:rsidRDefault="00A56EB2" w:rsidP="00D76FC8">
      <w:pPr>
        <w:pStyle w:val="SingleTxtG"/>
      </w:pPr>
      <w:r w:rsidRPr="00DF27B3">
        <w:rPr>
          <w:i/>
          <w:iCs/>
        </w:rPr>
        <w:t>Informal document</w:t>
      </w:r>
      <w:r w:rsidRPr="000B765F">
        <w:t>:</w:t>
      </w:r>
      <w:r w:rsidRPr="000B765F">
        <w:tab/>
      </w:r>
      <w:r w:rsidR="00031EFA">
        <w:tab/>
      </w:r>
      <w:r w:rsidRPr="000B765F">
        <w:t>INF.19 (Norway)</w:t>
      </w:r>
    </w:p>
    <w:p w:rsidR="00A56EB2" w:rsidRDefault="00473A0C" w:rsidP="00D76FC8">
      <w:pPr>
        <w:pStyle w:val="SingleTxtG"/>
      </w:pPr>
      <w:r>
        <w:t>24</w:t>
      </w:r>
      <w:r w:rsidR="00A56EB2" w:rsidRPr="000B765F">
        <w:t>.</w:t>
      </w:r>
      <w:r w:rsidR="00A56EB2" w:rsidRPr="000B765F">
        <w:tab/>
        <w:t>The proposed amendment to additional requirement 3 of packing instruction P620 was adopted (see annex</w:t>
      </w:r>
      <w:r w:rsidR="00A56EB2">
        <w:t xml:space="preserve"> </w:t>
      </w:r>
      <w:r w:rsidR="001D4218">
        <w:t>I</w:t>
      </w:r>
      <w:r w:rsidR="001D4218" w:rsidRPr="000B765F">
        <w:t>).</w:t>
      </w:r>
    </w:p>
    <w:p w:rsidR="00A56EB2" w:rsidRPr="000B765F" w:rsidRDefault="00A56EB2" w:rsidP="00D76FC8">
      <w:pPr>
        <w:pStyle w:val="H23G"/>
        <w:keepNext w:val="0"/>
        <w:keepLines w:val="0"/>
      </w:pPr>
      <w:r w:rsidRPr="000B765F">
        <w:tab/>
        <w:t>4.</w:t>
      </w:r>
      <w:r w:rsidRPr="000B765F">
        <w:tab/>
        <w:t>Proper shipping name for a polymerizing substance that does meet other criteria for inclusion in Classes 1-8</w:t>
      </w:r>
    </w:p>
    <w:p w:rsidR="00A56EB2" w:rsidRPr="000B765F" w:rsidRDefault="00A56EB2" w:rsidP="00D76FC8">
      <w:pPr>
        <w:pStyle w:val="SingleTxtG"/>
      </w:pPr>
      <w:r w:rsidRPr="00DF27B3">
        <w:rPr>
          <w:i/>
          <w:iCs/>
        </w:rPr>
        <w:t>Document</w:t>
      </w:r>
      <w:r w:rsidRPr="000B765F">
        <w:t>:</w:t>
      </w:r>
      <w:r w:rsidRPr="000B765F">
        <w:tab/>
      </w:r>
      <w:r w:rsidR="00031EFA">
        <w:tab/>
      </w:r>
      <w:r w:rsidR="00031EFA">
        <w:tab/>
      </w:r>
      <w:r w:rsidRPr="000B765F">
        <w:t>ST/SG/AC.10/C.3/2016/72 (Austria)</w:t>
      </w:r>
    </w:p>
    <w:p w:rsidR="009127AF" w:rsidRDefault="00473A0C" w:rsidP="00D76FC8">
      <w:pPr>
        <w:pStyle w:val="SingleTxtG"/>
      </w:pPr>
      <w:r>
        <w:lastRenderedPageBreak/>
        <w:t>25</w:t>
      </w:r>
      <w:r w:rsidR="00A56EB2" w:rsidRPr="000B765F">
        <w:t>.</w:t>
      </w:r>
      <w:r w:rsidR="00A56EB2" w:rsidRPr="000B765F">
        <w:tab/>
        <w:t xml:space="preserve">The proposal to include a new subparagraph (b) to 3.1.2.6 to add the words </w:t>
      </w:r>
      <w:r w:rsidR="00A56EB2">
        <w:t>“</w:t>
      </w:r>
      <w:r w:rsidR="00A56EB2" w:rsidRPr="000B765F">
        <w:t>TEMPERATURE CONTROLLED</w:t>
      </w:r>
      <w:r w:rsidR="00A56EB2">
        <w:t>”</w:t>
      </w:r>
      <w:r w:rsidR="00A56EB2" w:rsidRPr="000B765F">
        <w:t xml:space="preserve"> to the official shipping name when temperature control must be used was put to a vote and adopted (see annex</w:t>
      </w:r>
      <w:r w:rsidR="00A56EB2">
        <w:t xml:space="preserve"> </w:t>
      </w:r>
      <w:r w:rsidR="001D4218">
        <w:t>I</w:t>
      </w:r>
      <w:r w:rsidR="001D4218" w:rsidRPr="000B765F">
        <w:t>)</w:t>
      </w:r>
    </w:p>
    <w:p w:rsidR="00A56EB2" w:rsidRPr="002F5DEB" w:rsidRDefault="00A56EB2" w:rsidP="00C07A6F">
      <w:pPr>
        <w:pStyle w:val="H23G"/>
      </w:pPr>
      <w:r w:rsidRPr="002F5DEB">
        <w:tab/>
        <w:t>5.</w:t>
      </w:r>
      <w:r w:rsidRPr="002F5DEB">
        <w:tab/>
        <w:t xml:space="preserve">Exemptions for polymerizing substances </w:t>
      </w:r>
    </w:p>
    <w:p w:rsidR="00A56EB2" w:rsidRPr="002F5DEB" w:rsidRDefault="00A56EB2" w:rsidP="00C07A6F">
      <w:pPr>
        <w:pStyle w:val="SingleTxtG"/>
        <w:keepNext/>
        <w:keepLines/>
      </w:pPr>
      <w:r w:rsidRPr="00A0300B">
        <w:rPr>
          <w:i/>
          <w:iCs/>
        </w:rPr>
        <w:t>Informal document</w:t>
      </w:r>
      <w:r w:rsidRPr="002F5DEB">
        <w:t>:</w:t>
      </w:r>
      <w:r w:rsidRPr="002F5DEB">
        <w:tab/>
      </w:r>
      <w:r w:rsidR="00031EFA">
        <w:tab/>
      </w:r>
      <w:r w:rsidRPr="002F5DEB">
        <w:t>INF.29 (CEFIC)</w:t>
      </w:r>
    </w:p>
    <w:p w:rsidR="00A56EB2" w:rsidRDefault="00473A0C" w:rsidP="00D76FC8">
      <w:pPr>
        <w:pStyle w:val="SingleTxtG"/>
      </w:pPr>
      <w:r>
        <w:t>26</w:t>
      </w:r>
      <w:r w:rsidR="00A56EB2" w:rsidRPr="002F5DEB">
        <w:t>.</w:t>
      </w:r>
      <w:r w:rsidR="00A56EB2" w:rsidRPr="002F5DEB">
        <w:tab/>
        <w:t>Although several delegations expressed their support for the principle of the proposal, as it had been submitted late, CEFIC was requested to submit a formal proposal at the next session.</w:t>
      </w:r>
    </w:p>
    <w:p w:rsidR="00A56EB2" w:rsidRPr="002F5DEB" w:rsidRDefault="00A56EB2" w:rsidP="00D76FC8">
      <w:pPr>
        <w:pStyle w:val="H23G"/>
        <w:keepNext w:val="0"/>
        <w:keepLines w:val="0"/>
      </w:pPr>
      <w:r w:rsidRPr="002F5DEB">
        <w:tab/>
        <w:t>6.</w:t>
      </w:r>
      <w:r w:rsidRPr="002F5DEB">
        <w:tab/>
        <w:t xml:space="preserve">Special provision 308 for fish meal (fish scrap), stabilised (UN No. 2216): Class 9 </w:t>
      </w:r>
    </w:p>
    <w:p w:rsidR="00A56EB2" w:rsidRPr="002F5DEB" w:rsidRDefault="00A56EB2" w:rsidP="00D76FC8">
      <w:pPr>
        <w:pStyle w:val="SingleTxtG"/>
      </w:pPr>
      <w:r w:rsidRPr="00A0300B">
        <w:rPr>
          <w:i/>
          <w:iCs/>
        </w:rPr>
        <w:t>Document</w:t>
      </w:r>
      <w:r w:rsidRPr="002F5DEB">
        <w:t>:</w:t>
      </w:r>
      <w:r w:rsidRPr="002F5DEB">
        <w:tab/>
      </w:r>
      <w:r w:rsidR="00031EFA">
        <w:tab/>
      </w:r>
      <w:r w:rsidR="00031EFA">
        <w:tab/>
      </w:r>
      <w:r w:rsidRPr="002F5DEB">
        <w:t xml:space="preserve">ST/SG/AC.10/C.3/2016/82 (IFFO) </w:t>
      </w:r>
    </w:p>
    <w:p w:rsidR="00A56EB2" w:rsidRPr="002F5DEB" w:rsidRDefault="00A56EB2" w:rsidP="00D76FC8">
      <w:pPr>
        <w:pStyle w:val="SingleTxtG"/>
      </w:pPr>
      <w:r w:rsidRPr="00A0300B">
        <w:rPr>
          <w:i/>
          <w:iCs/>
        </w:rPr>
        <w:t>Informal document</w:t>
      </w:r>
      <w:r w:rsidRPr="002F5DEB">
        <w:t>:</w:t>
      </w:r>
      <w:r w:rsidRPr="002F5DEB">
        <w:tab/>
      </w:r>
      <w:r w:rsidR="00031EFA">
        <w:tab/>
      </w:r>
      <w:r w:rsidRPr="002F5DEB">
        <w:t>INF.24 (IFFO)</w:t>
      </w:r>
    </w:p>
    <w:p w:rsidR="00A56EB2" w:rsidRDefault="00473A0C" w:rsidP="00D76FC8">
      <w:pPr>
        <w:pStyle w:val="SingleTxtG"/>
      </w:pPr>
      <w:r>
        <w:t>27</w:t>
      </w:r>
      <w:r w:rsidR="00A56EB2" w:rsidRPr="002F5DEB">
        <w:t>.</w:t>
      </w:r>
      <w:r w:rsidR="00A56EB2" w:rsidRPr="002F5DEB">
        <w:tab/>
        <w:t>It was emphasized that the transport of stabilized fish meal had been subject only to regulations for maritime transport and that the proposal contained in informal document INF.24 would affect only the IMDG Code. The question thus arose as to whether that proposal should not first be referred to IMO for consideration.</w:t>
      </w:r>
    </w:p>
    <w:p w:rsidR="00A56EB2" w:rsidRDefault="00473A0C" w:rsidP="00D76FC8">
      <w:pPr>
        <w:pStyle w:val="SingleTxtG"/>
      </w:pPr>
      <w:r>
        <w:t>28</w:t>
      </w:r>
      <w:r w:rsidR="00A56EB2" w:rsidRPr="002F5DEB">
        <w:t>.</w:t>
      </w:r>
      <w:r w:rsidR="00A56EB2" w:rsidRPr="002F5DEB">
        <w:tab/>
        <w:t>The Sub-Committee agreed that it would ultimately fall to IMO to give an opinion on the requisite amendments to the IMDG Code, but that, as the problem raised should be resolved as quickly as possible, it would be desirable to amend special provision 308 immediately even if that meant having to go back over the matter after IMO had also discussed it.</w:t>
      </w:r>
    </w:p>
    <w:p w:rsidR="00A56EB2" w:rsidRDefault="00473A0C" w:rsidP="00D76FC8">
      <w:pPr>
        <w:pStyle w:val="SingleTxtG"/>
      </w:pPr>
      <w:r>
        <w:t>29</w:t>
      </w:r>
      <w:r w:rsidR="00A56EB2" w:rsidRPr="002F5DEB">
        <w:t>.</w:t>
      </w:r>
      <w:r w:rsidR="00A56EB2" w:rsidRPr="002F5DEB">
        <w:tab/>
        <w:t>The proposed amendment was therefore put to a vote and adopted without any objections (see annex</w:t>
      </w:r>
      <w:r w:rsidR="00A56EB2">
        <w:t xml:space="preserve"> </w:t>
      </w:r>
      <w:r w:rsidR="001D4218">
        <w:t>I</w:t>
      </w:r>
      <w:r w:rsidR="001D4218" w:rsidRPr="002F5DEB">
        <w:t>).</w:t>
      </w:r>
    </w:p>
    <w:p w:rsidR="00A223DE" w:rsidRPr="004D1B50" w:rsidRDefault="00A223DE" w:rsidP="00A223DE">
      <w:pPr>
        <w:pStyle w:val="H23G"/>
        <w:keepNext w:val="0"/>
        <w:keepLines w:val="0"/>
      </w:pPr>
      <w:r w:rsidRPr="004D1B50">
        <w:tab/>
        <w:t>7.</w:t>
      </w:r>
      <w:r w:rsidRPr="004D1B50">
        <w:tab/>
        <w:t>Classification of infected animals</w:t>
      </w:r>
    </w:p>
    <w:p w:rsidR="00A223DE" w:rsidRPr="004D1B50" w:rsidRDefault="00A223DE" w:rsidP="00A223DE">
      <w:pPr>
        <w:pStyle w:val="SingleTxtG"/>
      </w:pPr>
      <w:r w:rsidRPr="00AF0FED">
        <w:rPr>
          <w:i/>
          <w:iCs/>
        </w:rPr>
        <w:t>Document:</w:t>
      </w:r>
      <w:r w:rsidRPr="004D1B50">
        <w:tab/>
      </w:r>
      <w:r>
        <w:tab/>
      </w:r>
      <w:r>
        <w:tab/>
      </w:r>
      <w:r w:rsidRPr="004D1B50">
        <w:t>ST/SG/AC.10/C.3/2016/77 (WHO and FAO)</w:t>
      </w:r>
    </w:p>
    <w:p w:rsidR="00A223DE" w:rsidRDefault="00473A0C" w:rsidP="00A223DE">
      <w:pPr>
        <w:pStyle w:val="SingleTxtG"/>
      </w:pPr>
      <w:r>
        <w:t>30</w:t>
      </w:r>
      <w:r w:rsidR="00A223DE" w:rsidRPr="004D1B50">
        <w:t>.</w:t>
      </w:r>
      <w:r w:rsidR="00A223DE" w:rsidRPr="004D1B50">
        <w:tab/>
      </w:r>
      <w:r w:rsidR="001D4218">
        <w:t xml:space="preserve">Opinions were divided on whether the proposed changes to the definition of patient specimens and animal material might lead to confusion. </w:t>
      </w:r>
      <w:r w:rsidR="00A223DE" w:rsidRPr="004D1B50">
        <w:t>The three proposals were put to the vote separately and adopted. The Sub-Committee noted that the adoption of the amendments to 2.6.3.6.2 rendered that paragraph unnecessary and therefore decided to delete it (see annex</w:t>
      </w:r>
      <w:r w:rsidR="00A223DE">
        <w:t xml:space="preserve"> </w:t>
      </w:r>
      <w:r w:rsidR="001D4218">
        <w:t>I</w:t>
      </w:r>
      <w:r w:rsidR="001D4218" w:rsidRPr="004D1B50">
        <w:t>).</w:t>
      </w:r>
    </w:p>
    <w:p w:rsidR="00A223DE" w:rsidRPr="00B502E6" w:rsidRDefault="00A223DE" w:rsidP="00A223DE">
      <w:pPr>
        <w:pStyle w:val="H23G"/>
        <w:keepNext w:val="0"/>
        <w:keepLines w:val="0"/>
      </w:pPr>
      <w:r w:rsidRPr="00B502E6">
        <w:tab/>
        <w:t>8.</w:t>
      </w:r>
      <w:r w:rsidRPr="00B502E6">
        <w:tab/>
        <w:t>Revision of Chapter 2.8</w:t>
      </w:r>
    </w:p>
    <w:p w:rsidR="00A223DE" w:rsidRPr="00B502E6" w:rsidRDefault="00A223DE" w:rsidP="00A223DE">
      <w:pPr>
        <w:pStyle w:val="SingleTxtG"/>
      </w:pPr>
      <w:r w:rsidRPr="00DD0130">
        <w:rPr>
          <w:i/>
          <w:iCs/>
        </w:rPr>
        <w:t>Document</w:t>
      </w:r>
      <w:r>
        <w:t>:</w:t>
      </w:r>
      <w:r>
        <w:tab/>
      </w:r>
      <w:r>
        <w:tab/>
      </w:r>
      <w:r>
        <w:tab/>
      </w:r>
      <w:r w:rsidRPr="00B502E6">
        <w:t>ST/SG/AC.10/C.3/2016/50 (Canada, CEFIC and AISE)</w:t>
      </w:r>
    </w:p>
    <w:p w:rsidR="00A223DE" w:rsidRPr="00B502E6" w:rsidRDefault="00A223DE" w:rsidP="00A223DE">
      <w:pPr>
        <w:pStyle w:val="SingleTxtG"/>
      </w:pPr>
      <w:r w:rsidRPr="00DD0130">
        <w:rPr>
          <w:i/>
          <w:iCs/>
        </w:rPr>
        <w:t>Informal documents</w:t>
      </w:r>
      <w:r>
        <w:t>:</w:t>
      </w:r>
      <w:r>
        <w:tab/>
      </w:r>
      <w:r>
        <w:tab/>
      </w:r>
      <w:r w:rsidRPr="00B502E6">
        <w:t>INF.5, INF.25 and INF.49 (Canada, CEFIC and AISE)</w:t>
      </w:r>
    </w:p>
    <w:p w:rsidR="00A223DE" w:rsidRDefault="00473A0C" w:rsidP="00A223DE">
      <w:pPr>
        <w:pStyle w:val="SingleTxtG"/>
      </w:pPr>
      <w:r>
        <w:t>31</w:t>
      </w:r>
      <w:r w:rsidR="00A223DE" w:rsidRPr="00B502E6">
        <w:t>.</w:t>
      </w:r>
      <w:r w:rsidR="00A223DE" w:rsidRPr="00B502E6">
        <w:tab/>
        <w:t>Further to some editorial comments on the proposals of Canada, CEFIC and AISE, the Sub-</w:t>
      </w:r>
      <w:r w:rsidR="001D4218">
        <w:t>C</w:t>
      </w:r>
      <w:r w:rsidR="001D4218" w:rsidRPr="00B502E6">
        <w:t xml:space="preserve">ommittee </w:t>
      </w:r>
      <w:r w:rsidR="00A223DE" w:rsidRPr="00B502E6">
        <w:t>adopted the revised text of Chapter 2.8 presented in informal document INF.49, with the remaining square brackets deleted.</w:t>
      </w:r>
    </w:p>
    <w:p w:rsidR="00A223DE" w:rsidRDefault="00473A0C" w:rsidP="00A223DE">
      <w:pPr>
        <w:pStyle w:val="SingleTxtG"/>
      </w:pPr>
      <w:r>
        <w:t>32</w:t>
      </w:r>
      <w:r w:rsidR="00A223DE" w:rsidRPr="00B502E6">
        <w:t>.</w:t>
      </w:r>
      <w:r w:rsidR="00A223DE" w:rsidRPr="00B502E6">
        <w:tab/>
        <w:t>As for the mention of 2015 for the OECD guidelines referenced in footnotes 1-4, the Sub</w:t>
      </w:r>
      <w:r w:rsidR="001D4218">
        <w:t>-C</w:t>
      </w:r>
      <w:r w:rsidR="00A223DE" w:rsidRPr="00B502E6">
        <w:t xml:space="preserve">ommittee was of the view that, in practice, for classifications done before the entry into force of those new provisions, the principles established by OECD should be upheld. According to those principles, test results obtained from a deleted guideline or </w:t>
      </w:r>
      <w:r w:rsidR="001D4218">
        <w:t xml:space="preserve">from a former edition of </w:t>
      </w:r>
      <w:r w:rsidR="00A223DE" w:rsidRPr="00B502E6">
        <w:t xml:space="preserve">an updated guideline remained acceptable if the test had begun before the effective date </w:t>
      </w:r>
      <w:r w:rsidR="00B74164">
        <w:t xml:space="preserve">of </w:t>
      </w:r>
      <w:r w:rsidR="00A223DE" w:rsidRPr="00B502E6">
        <w:t>deletion of the guideline</w:t>
      </w:r>
      <w:r w:rsidR="001F23C7">
        <w:t xml:space="preserve"> or of deletion of the former edition of the updated guideline</w:t>
      </w:r>
      <w:r w:rsidR="00A223DE" w:rsidRPr="00B502E6">
        <w:t>. The date of deletion became effective 18 months after the OECD Council took a decision on the deletion.</w:t>
      </w:r>
    </w:p>
    <w:p w:rsidR="00A223DE" w:rsidRDefault="00473A0C" w:rsidP="00C07A6F">
      <w:pPr>
        <w:pStyle w:val="SingleTxtG"/>
        <w:keepNext/>
        <w:keepLines/>
      </w:pPr>
      <w:r>
        <w:lastRenderedPageBreak/>
        <w:t>33</w:t>
      </w:r>
      <w:r w:rsidR="00A223DE" w:rsidRPr="00B502E6">
        <w:t>.</w:t>
      </w:r>
      <w:r w:rsidR="00A223DE" w:rsidRPr="00B502E6">
        <w:tab/>
        <w:t xml:space="preserve">It was emphasized that that revised version of Chapter 2.8 reflected the effort to harmonize it with the provisions of GHS in the transport sector even if </w:t>
      </w:r>
      <w:r w:rsidR="001F23C7">
        <w:t>some differences remained</w:t>
      </w:r>
      <w:r w:rsidR="00A223DE" w:rsidRPr="00B502E6">
        <w:t>. The Chair would explain to the GHS Sub-Committee the outstanding differences and the reasons for those differences.</w:t>
      </w:r>
    </w:p>
    <w:p w:rsidR="00A223DE" w:rsidRDefault="00A223DE" w:rsidP="00A223DE">
      <w:pPr>
        <w:pStyle w:val="H23G"/>
        <w:keepNext w:val="0"/>
        <w:keepLines w:val="0"/>
      </w:pPr>
      <w:r>
        <w:tab/>
        <w:t>9.</w:t>
      </w:r>
      <w:r>
        <w:tab/>
        <w:t>Dangerous goods in machinery, apparatus or articles, N.O.S</w:t>
      </w:r>
    </w:p>
    <w:p w:rsidR="00A223DE" w:rsidRDefault="00A223DE" w:rsidP="00A223DE">
      <w:pPr>
        <w:pStyle w:val="SingleTxtG"/>
        <w:jc w:val="left"/>
      </w:pPr>
      <w:r>
        <w:rPr>
          <w:i/>
        </w:rPr>
        <w:t>Documents:</w:t>
      </w:r>
      <w:r>
        <w:rPr>
          <w:i/>
        </w:rPr>
        <w:tab/>
      </w:r>
      <w:r>
        <w:rPr>
          <w:i/>
        </w:rPr>
        <w:tab/>
      </w:r>
      <w:r>
        <w:rPr>
          <w:i/>
        </w:rPr>
        <w:tab/>
      </w:r>
      <w:r>
        <w:t>ST/SG/AC.10/C.3/2016/54 (United Kingdom)</w:t>
      </w:r>
      <w:r>
        <w:br/>
      </w:r>
      <w:r>
        <w:tab/>
      </w:r>
      <w:r>
        <w:tab/>
      </w:r>
      <w:r>
        <w:tab/>
      </w:r>
      <w:r>
        <w:tab/>
        <w:t>ST/SG/AC.10/C.3/2016/49 (Germany)</w:t>
      </w:r>
    </w:p>
    <w:p w:rsidR="00A223DE" w:rsidRPr="001307DD" w:rsidRDefault="00A223DE" w:rsidP="00A223DE">
      <w:pPr>
        <w:pStyle w:val="SingleTxtG"/>
        <w:jc w:val="left"/>
      </w:pPr>
      <w:r>
        <w:rPr>
          <w:i/>
        </w:rPr>
        <w:t>Informal document:</w:t>
      </w:r>
      <w:r>
        <w:tab/>
      </w:r>
      <w:r>
        <w:tab/>
        <w:t>INF.54 (United Kingdom)</w:t>
      </w:r>
    </w:p>
    <w:p w:rsidR="00A223DE" w:rsidRDefault="00473A0C" w:rsidP="00A223DE">
      <w:pPr>
        <w:pStyle w:val="SingleTxtG"/>
      </w:pPr>
      <w:r>
        <w:t>34</w:t>
      </w:r>
      <w:r w:rsidR="00A223DE">
        <w:t>.</w:t>
      </w:r>
      <w:r w:rsidR="00A223DE">
        <w:tab/>
        <w:t xml:space="preserve">Following discussion in plenary session and lunchtime working group sessions, the proposals in informal document INF.54 were adopted with some changes (see annex </w:t>
      </w:r>
      <w:r w:rsidR="001F23C7">
        <w:t>I).</w:t>
      </w:r>
    </w:p>
    <w:p w:rsidR="00A223DE" w:rsidRDefault="00A223DE" w:rsidP="00A223DE">
      <w:pPr>
        <w:pStyle w:val="H23G"/>
        <w:keepNext w:val="0"/>
        <w:keepLines w:val="0"/>
      </w:pPr>
      <w:r>
        <w:tab/>
        <w:t>10.</w:t>
      </w:r>
      <w:r>
        <w:tab/>
        <w:t xml:space="preserve">Transport of Category </w:t>
      </w:r>
      <w:proofErr w:type="gramStart"/>
      <w:r>
        <w:t>A</w:t>
      </w:r>
      <w:proofErr w:type="gramEnd"/>
      <w:r>
        <w:t xml:space="preserve"> infectious wastes</w:t>
      </w:r>
    </w:p>
    <w:p w:rsidR="00A223DE" w:rsidRDefault="00A223DE" w:rsidP="00A223DE">
      <w:pPr>
        <w:pStyle w:val="SingleTxtG"/>
        <w:jc w:val="left"/>
      </w:pPr>
      <w:r w:rsidRPr="00F663D0">
        <w:rPr>
          <w:i/>
        </w:rPr>
        <w:t>Documents</w:t>
      </w:r>
      <w:r>
        <w:t>:</w:t>
      </w:r>
      <w:r>
        <w:tab/>
      </w:r>
      <w:r>
        <w:tab/>
      </w:r>
      <w:r>
        <w:tab/>
        <w:t>ST/SG/AC.10/C.3/2016/65 (United Kingdom and Canada)</w:t>
      </w:r>
      <w:r>
        <w:br/>
      </w:r>
      <w:r>
        <w:tab/>
      </w:r>
      <w:r>
        <w:tab/>
      </w:r>
      <w:r>
        <w:tab/>
      </w:r>
      <w:r>
        <w:tab/>
        <w:t>ST/SG/AC.10/C.3/2016/69 (Germany)</w:t>
      </w:r>
    </w:p>
    <w:p w:rsidR="00A223DE" w:rsidRDefault="00A223DE" w:rsidP="00A223DE">
      <w:pPr>
        <w:pStyle w:val="SingleTxtG"/>
        <w:jc w:val="left"/>
      </w:pPr>
      <w:r w:rsidRPr="00F663D0">
        <w:rPr>
          <w:i/>
        </w:rPr>
        <w:t>Informal documents</w:t>
      </w:r>
      <w:r>
        <w:t>:</w:t>
      </w:r>
      <w:r>
        <w:tab/>
      </w:r>
      <w:r>
        <w:tab/>
        <w:t>INF.37 (Germany)</w:t>
      </w:r>
      <w:r>
        <w:br/>
      </w:r>
      <w:r>
        <w:tab/>
      </w:r>
      <w:r>
        <w:tab/>
      </w:r>
      <w:r>
        <w:tab/>
      </w:r>
      <w:r>
        <w:tab/>
        <w:t xml:space="preserve">INF.56 and INF.56/Rev.1 (Canada, Germany and United </w:t>
      </w:r>
      <w:r>
        <w:tab/>
      </w:r>
      <w:r>
        <w:tab/>
      </w:r>
      <w:r>
        <w:tab/>
      </w:r>
      <w:r>
        <w:tab/>
        <w:t>Kingdom)</w:t>
      </w:r>
    </w:p>
    <w:p w:rsidR="00A223DE" w:rsidRDefault="00473A0C" w:rsidP="00A223DE">
      <w:pPr>
        <w:pStyle w:val="SingleTxtG"/>
      </w:pPr>
      <w:r>
        <w:t>35</w:t>
      </w:r>
      <w:r w:rsidR="00A223DE">
        <w:t>.</w:t>
      </w:r>
      <w:r w:rsidR="00A223DE">
        <w:tab/>
        <w:t>Despite long discussions in plenary session and lunchtime working group meetings, the Sub-Committee considere</w:t>
      </w:r>
      <w:r w:rsidR="00CF389F">
        <w:t xml:space="preserve">d that there was not enough </w:t>
      </w:r>
      <w:proofErr w:type="gramStart"/>
      <w:r w:rsidR="00CF389F">
        <w:t>cons</w:t>
      </w:r>
      <w:r w:rsidR="00A223DE">
        <w:t>ensus</w:t>
      </w:r>
      <w:proofErr w:type="gramEnd"/>
      <w:r w:rsidR="00A223DE">
        <w:t xml:space="preserve"> on the proposals in INF.56/Rev.1 to take a sound decision at this session and decided that this question should be further discussed during the next biennium. Interested delegations were invited to contact the expert from Canada who will organize conference calls in order to prepare a new proposal for consideration at the next session.</w:t>
      </w:r>
    </w:p>
    <w:p w:rsidR="00A56EB2" w:rsidRPr="002F5DEB" w:rsidRDefault="00A56EB2" w:rsidP="00D76FC8">
      <w:pPr>
        <w:pStyle w:val="H1G"/>
        <w:keepNext w:val="0"/>
        <w:keepLines w:val="0"/>
      </w:pPr>
      <w:r w:rsidRPr="002F5DEB">
        <w:tab/>
        <w:t>D.</w:t>
      </w:r>
      <w:r w:rsidRPr="002F5DEB">
        <w:tab/>
        <w:t>Electric storage systems</w:t>
      </w:r>
    </w:p>
    <w:p w:rsidR="00A56EB2" w:rsidRPr="002F5DEB" w:rsidRDefault="00A56EB2" w:rsidP="00D76FC8">
      <w:pPr>
        <w:pStyle w:val="H23G"/>
        <w:keepNext w:val="0"/>
        <w:keepLines w:val="0"/>
      </w:pPr>
      <w:r w:rsidRPr="002F5DEB">
        <w:tab/>
        <w:t>1.</w:t>
      </w:r>
      <w:r w:rsidRPr="002F5DEB">
        <w:tab/>
        <w:t xml:space="preserve">Large </w:t>
      </w:r>
      <w:proofErr w:type="spellStart"/>
      <w:r w:rsidRPr="002F5DEB">
        <w:t>packagings</w:t>
      </w:r>
      <w:proofErr w:type="spellEnd"/>
      <w:r w:rsidRPr="002F5DEB">
        <w:t xml:space="preserve"> for lithium batteries of small production runs or for prototype lithium batteries</w:t>
      </w:r>
    </w:p>
    <w:p w:rsidR="00A56EB2" w:rsidRPr="002F5DEB" w:rsidRDefault="00A56EB2" w:rsidP="00D76FC8">
      <w:pPr>
        <w:pStyle w:val="SingleTxtG"/>
      </w:pPr>
      <w:r w:rsidRPr="00257D94">
        <w:rPr>
          <w:i/>
          <w:iCs/>
        </w:rPr>
        <w:t>Document</w:t>
      </w:r>
      <w:r w:rsidRPr="002F5DEB">
        <w:t>:</w:t>
      </w:r>
      <w:r w:rsidRPr="002F5DEB">
        <w:tab/>
      </w:r>
      <w:r w:rsidR="00031EFA">
        <w:tab/>
      </w:r>
      <w:r w:rsidR="00031EFA">
        <w:tab/>
      </w:r>
      <w:r w:rsidRPr="002F5DEB">
        <w:t>ST/SG/AC.10/C.3/2016/52 (Germany)</w:t>
      </w:r>
    </w:p>
    <w:p w:rsidR="00A56EB2" w:rsidRDefault="00E55EF6" w:rsidP="00D76FC8">
      <w:pPr>
        <w:pStyle w:val="SingleTxtG"/>
      </w:pPr>
      <w:r>
        <w:t>36</w:t>
      </w:r>
      <w:r w:rsidR="00A56EB2" w:rsidRPr="002F5DEB">
        <w:t>.</w:t>
      </w:r>
      <w:r w:rsidR="00A56EB2" w:rsidRPr="002F5DEB">
        <w:tab/>
        <w:t>The proposal presented as option 1 was adopted with some editorial changes (see annex</w:t>
      </w:r>
      <w:r w:rsidR="00A56EB2">
        <w:t xml:space="preserve"> </w:t>
      </w:r>
      <w:r w:rsidR="001F23C7">
        <w:t>I</w:t>
      </w:r>
      <w:r w:rsidR="001F23C7" w:rsidRPr="002F5DEB">
        <w:t>).</w:t>
      </w:r>
    </w:p>
    <w:p w:rsidR="00A56EB2" w:rsidRDefault="00E55EF6" w:rsidP="00D76FC8">
      <w:pPr>
        <w:pStyle w:val="SingleTxtG"/>
      </w:pPr>
      <w:r>
        <w:t>37</w:t>
      </w:r>
      <w:r w:rsidR="00A56EB2" w:rsidRPr="002F5DEB">
        <w:t>.</w:t>
      </w:r>
      <w:r w:rsidR="00A56EB2" w:rsidRPr="002F5DEB">
        <w:tab/>
        <w:t>It was recalled that the Sub-Committee had already agreed that, when there was a reference to carriage without packaging in the packing instructions in Chapter 4.1, for example P903 (4), P909 (3) etc., there was no limit on the maximum mass of the articles or equipment that could be carried unpackaged. It was agreed, however, that it would be useful for that interpretation to be reflected in the text of the Model Regulations in future.</w:t>
      </w:r>
    </w:p>
    <w:p w:rsidR="00A56EB2" w:rsidRPr="002F5DEB" w:rsidRDefault="00A56EB2" w:rsidP="00D76FC8">
      <w:pPr>
        <w:pStyle w:val="H23G"/>
        <w:keepNext w:val="0"/>
        <w:keepLines w:val="0"/>
      </w:pPr>
      <w:r w:rsidRPr="002F5DEB">
        <w:tab/>
        <w:t>2.</w:t>
      </w:r>
      <w:r w:rsidRPr="002F5DEB">
        <w:tab/>
        <w:t>CTUs equipped with tracking devices containing lithium batteries</w:t>
      </w:r>
    </w:p>
    <w:p w:rsidR="00A56EB2" w:rsidRPr="002F5DEB" w:rsidRDefault="00A56EB2" w:rsidP="00D76FC8">
      <w:pPr>
        <w:pStyle w:val="SingleTxtG"/>
      </w:pPr>
      <w:r w:rsidRPr="00257D94">
        <w:rPr>
          <w:i/>
          <w:iCs/>
        </w:rPr>
        <w:t>Document</w:t>
      </w:r>
      <w:r w:rsidRPr="002F5DEB">
        <w:t>:</w:t>
      </w:r>
      <w:r w:rsidRPr="002F5DEB">
        <w:tab/>
      </w:r>
      <w:r w:rsidR="00031EFA">
        <w:tab/>
      </w:r>
      <w:r w:rsidR="00031EFA">
        <w:tab/>
      </w:r>
      <w:r w:rsidRPr="002F5DEB">
        <w:t>ST/SG/AC.10/C.3/2016/56 (Germany)</w:t>
      </w:r>
    </w:p>
    <w:p w:rsidR="00A56EB2" w:rsidRDefault="00E55EF6" w:rsidP="00D76FC8">
      <w:pPr>
        <w:pStyle w:val="SingleTxtG"/>
      </w:pPr>
      <w:r>
        <w:t>38</w:t>
      </w:r>
      <w:r w:rsidR="00A56EB2" w:rsidRPr="002F5DEB">
        <w:t>.</w:t>
      </w:r>
      <w:r w:rsidR="00A56EB2" w:rsidRPr="002F5DEB">
        <w:tab/>
        <w:t xml:space="preserve">Opinion was divided on the proposal to introduce a new section into Chapter 5.5 </w:t>
      </w:r>
      <w:r w:rsidR="001F23C7">
        <w:t xml:space="preserve">regarding provisions </w:t>
      </w:r>
      <w:r w:rsidR="00A56EB2" w:rsidRPr="002F5DEB">
        <w:t xml:space="preserve">for tracking devices. Concerning the drafting of the proposed text, it was noted that the </w:t>
      </w:r>
      <w:r w:rsidR="001F23C7">
        <w:t>provisions</w:t>
      </w:r>
      <w:r w:rsidR="001F23C7" w:rsidRPr="002F5DEB">
        <w:t xml:space="preserve"> </w:t>
      </w:r>
      <w:r w:rsidR="00A56EB2" w:rsidRPr="002F5DEB">
        <w:t xml:space="preserve">should be applied to tracking devices rather than cargo transport units, as CTUs might contain other dangerous goods. Some delegations said that Chapter 5.5 was not the ideal place or that the matter should be dealt with in modal instruments governing the carriage of dangerous goods, or even instruments governing cargo transport units in general. Others said that the question should be addressed in a more </w:t>
      </w:r>
      <w:r w:rsidR="00A56EB2" w:rsidRPr="002F5DEB">
        <w:lastRenderedPageBreak/>
        <w:t>general way, for example through a special provision or in Part 1, given that equipment other than cargo transport units, such as packaging or pallets, might also be fitted out with such devices.</w:t>
      </w:r>
    </w:p>
    <w:p w:rsidR="00A56EB2" w:rsidRDefault="00E55EF6" w:rsidP="00D76FC8">
      <w:pPr>
        <w:pStyle w:val="SingleTxtG"/>
      </w:pPr>
      <w:r>
        <w:t>39</w:t>
      </w:r>
      <w:r w:rsidR="00A56EB2" w:rsidRPr="002F5DEB">
        <w:t>.</w:t>
      </w:r>
      <w:r w:rsidR="00A56EB2" w:rsidRPr="002F5DEB">
        <w:tab/>
        <w:t>It was pointed out that those tracking devices might contain powerful lithium batteries. Several delegations considered that there was good reason to include provisions in the Model Regulations even if they were not prepared to make a decision at the present session on the basis of the document from Germany.</w:t>
      </w:r>
    </w:p>
    <w:p w:rsidR="009127AF" w:rsidRDefault="00E55EF6" w:rsidP="00D76FC8">
      <w:pPr>
        <w:pStyle w:val="SingleTxtG"/>
      </w:pPr>
      <w:r>
        <w:t>40</w:t>
      </w:r>
      <w:r w:rsidR="00A56EB2" w:rsidRPr="002F5DEB">
        <w:t>.</w:t>
      </w:r>
      <w:r w:rsidR="00A56EB2" w:rsidRPr="002F5DEB">
        <w:tab/>
        <w:t>The expert from Germany withdrew her proposal but said that she might raise the question again in the next biennium.</w:t>
      </w:r>
    </w:p>
    <w:p w:rsidR="00A56EB2" w:rsidRPr="004D1B50" w:rsidRDefault="00A56EB2" w:rsidP="00D41905">
      <w:pPr>
        <w:pStyle w:val="H23G"/>
      </w:pPr>
      <w:r w:rsidRPr="004D1B50">
        <w:tab/>
        <w:t>3.</w:t>
      </w:r>
      <w:r w:rsidRPr="004D1B50">
        <w:tab/>
        <w:t>Transport of damaged/defective lithium batteries, step I</w:t>
      </w:r>
    </w:p>
    <w:p w:rsidR="00A56EB2" w:rsidRDefault="00A56EB2" w:rsidP="00D41905">
      <w:pPr>
        <w:pStyle w:val="SingleTxtG"/>
        <w:keepNext/>
        <w:keepLines/>
      </w:pPr>
      <w:r w:rsidRPr="004B519E">
        <w:rPr>
          <w:i/>
          <w:iCs/>
        </w:rPr>
        <w:t>Document:</w:t>
      </w:r>
      <w:r w:rsidRPr="004D1B50">
        <w:tab/>
      </w:r>
      <w:r w:rsidR="00031EFA">
        <w:tab/>
      </w:r>
      <w:r w:rsidR="00031EFA">
        <w:tab/>
      </w:r>
      <w:r w:rsidRPr="004D1B50">
        <w:t>ST/SG/AC.10/C.3/2016/67 (OICA,</w:t>
      </w:r>
      <w:r>
        <w:t xml:space="preserve"> </w:t>
      </w:r>
      <w:r w:rsidRPr="004D1B50">
        <w:t>RECHARGE)</w:t>
      </w:r>
    </w:p>
    <w:p w:rsidR="004C5BCC" w:rsidRDefault="001F23C7" w:rsidP="00D41905">
      <w:pPr>
        <w:pStyle w:val="SingleTxtG"/>
        <w:keepNext/>
        <w:keepLines/>
      </w:pPr>
      <w:r>
        <w:rPr>
          <w:i/>
        </w:rPr>
        <w:t>Inform</w:t>
      </w:r>
      <w:r>
        <w:rPr>
          <w:i/>
        </w:rPr>
        <w:tab/>
        <w:t>al documents:</w:t>
      </w:r>
      <w:r>
        <w:rPr>
          <w:i/>
        </w:rPr>
        <w:tab/>
      </w:r>
      <w:r>
        <w:rPr>
          <w:i/>
        </w:rPr>
        <w:tab/>
      </w:r>
      <w:r w:rsidRPr="001307DD">
        <w:t>INF.50 and</w:t>
      </w:r>
      <w:r>
        <w:rPr>
          <w:i/>
        </w:rPr>
        <w:t xml:space="preserve"> </w:t>
      </w:r>
      <w:r>
        <w:t>INF.55 (RECHARGE and OICA)</w:t>
      </w:r>
    </w:p>
    <w:p w:rsidR="00A56EB2" w:rsidRDefault="004C5BCC" w:rsidP="00D41905">
      <w:pPr>
        <w:pStyle w:val="SingleTxtG"/>
        <w:keepNext/>
        <w:keepLines/>
      </w:pPr>
      <w:r>
        <w:t>41.</w:t>
      </w:r>
      <w:r>
        <w:tab/>
      </w:r>
      <w:r w:rsidR="00A56EB2" w:rsidRPr="004D1B50">
        <w:t>The proposals made in the document were discussed at length. The Sub-Committee was aware of the rapid developments in the electric vehicles market and of situations that the industry and the competent authorities would have to deal with in the case of accidents that could damage the batteries, but several delegations were not prepared to adopt the proposals as they stood. Some considered it regrettable that the concepts of damage and fault were still not clearly defined and that the proposed text still called for action by the competent authority if the damaged or defective batteries were liable to react dangerously. A number of delegations welcomed the inclusion in the annex of advice for the competent authorities, but found it unclear how that advice would be made available to the competent authorities.</w:t>
      </w:r>
    </w:p>
    <w:p w:rsidR="00A56EB2" w:rsidRDefault="00E55EF6" w:rsidP="00D76FC8">
      <w:pPr>
        <w:pStyle w:val="SingleTxtG"/>
      </w:pPr>
      <w:r>
        <w:t>42</w:t>
      </w:r>
      <w:r w:rsidR="00A56EB2" w:rsidRPr="004D1B50">
        <w:t>.</w:t>
      </w:r>
      <w:r w:rsidR="00A56EB2" w:rsidRPr="004D1B50">
        <w:tab/>
        <w:t>The representative of OICA proposed drafting a new proposal during the session, taking account of the comments made. The Sub-Committee agreed to that suggestion, on the condition that it should have sufficient time to examine the new proposal.</w:t>
      </w:r>
    </w:p>
    <w:p w:rsidR="00A223DE" w:rsidRDefault="00E55EF6" w:rsidP="00A223DE">
      <w:pPr>
        <w:pStyle w:val="SingleTxtG"/>
      </w:pPr>
      <w:r>
        <w:t>43</w:t>
      </w:r>
      <w:r w:rsidR="00A223DE">
        <w:t>.</w:t>
      </w:r>
      <w:r w:rsidR="00A223DE">
        <w:tab/>
        <w:t xml:space="preserve">A first draft (INF.50) was developed in parallel to the plenary session, which led to a second draft (INF.55). When discussed in plenary session, the proposals contained in INF.55 were amended editorially, then put to the vote and adopted with a large majority (see annex </w:t>
      </w:r>
      <w:r w:rsidR="001F23C7">
        <w:t>I).</w:t>
      </w:r>
    </w:p>
    <w:p w:rsidR="00A56EB2" w:rsidRPr="004D1B50" w:rsidRDefault="00A56EB2" w:rsidP="00D76FC8">
      <w:pPr>
        <w:pStyle w:val="H23G"/>
        <w:keepNext w:val="0"/>
        <w:keepLines w:val="0"/>
      </w:pPr>
      <w:r w:rsidRPr="004D1B50">
        <w:tab/>
        <w:t>4.</w:t>
      </w:r>
      <w:r w:rsidRPr="004D1B50">
        <w:tab/>
        <w:t>Transport of damaged/defective lithium batteries, step II</w:t>
      </w:r>
    </w:p>
    <w:p w:rsidR="00A56EB2" w:rsidRPr="004D1B50" w:rsidRDefault="00A56EB2" w:rsidP="00D76FC8">
      <w:pPr>
        <w:pStyle w:val="SingleTxtG"/>
      </w:pPr>
      <w:r w:rsidRPr="006F1B2E">
        <w:rPr>
          <w:i/>
          <w:iCs/>
        </w:rPr>
        <w:t>Informal document:</w:t>
      </w:r>
      <w:r w:rsidRPr="004D1B50">
        <w:tab/>
      </w:r>
      <w:r w:rsidR="00031EFA">
        <w:tab/>
      </w:r>
      <w:r w:rsidRPr="004D1B50">
        <w:t>INF.22 (RECHARGE)</w:t>
      </w:r>
    </w:p>
    <w:p w:rsidR="00A56EB2" w:rsidRDefault="00E55EF6" w:rsidP="00D76FC8">
      <w:pPr>
        <w:pStyle w:val="SingleTxtG"/>
      </w:pPr>
      <w:r>
        <w:t>44</w:t>
      </w:r>
      <w:r w:rsidR="00A56EB2" w:rsidRPr="004D1B50">
        <w:t>.</w:t>
      </w:r>
      <w:r w:rsidR="00A56EB2" w:rsidRPr="004D1B50">
        <w:tab/>
        <w:t>The Sub-Committee noted the information provided on the types of hazards that may result from lithium batteries and the envisaged levels of severity that would make it possible, in the second stage of the work, to provide for appropriate packaging for damaged or defective batteries.</w:t>
      </w:r>
    </w:p>
    <w:p w:rsidR="00A56EB2" w:rsidRPr="00DF35A7" w:rsidRDefault="00A56EB2" w:rsidP="00D76FC8">
      <w:pPr>
        <w:pStyle w:val="H23G"/>
        <w:keepNext w:val="0"/>
        <w:keepLines w:val="0"/>
      </w:pPr>
      <w:r w:rsidRPr="00DF35A7">
        <w:tab/>
        <w:t>5.</w:t>
      </w:r>
      <w:r w:rsidRPr="00DF35A7">
        <w:tab/>
        <w:t>Classification of rechargeable lithium metal polymer batteries</w:t>
      </w:r>
    </w:p>
    <w:p w:rsidR="00A56EB2" w:rsidRPr="00DF35A7" w:rsidRDefault="00A56EB2" w:rsidP="00D76FC8">
      <w:pPr>
        <w:pStyle w:val="SingleTxtG"/>
      </w:pPr>
      <w:r w:rsidRPr="00A265FE">
        <w:rPr>
          <w:i/>
          <w:iCs/>
        </w:rPr>
        <w:t>Document</w:t>
      </w:r>
      <w:r w:rsidRPr="00DF35A7">
        <w:t>:</w:t>
      </w:r>
      <w:r w:rsidRPr="00DF35A7">
        <w:tab/>
      </w:r>
      <w:r w:rsidR="00031EFA">
        <w:tab/>
      </w:r>
      <w:r w:rsidR="00031EFA">
        <w:tab/>
      </w:r>
      <w:r w:rsidRPr="00DF35A7">
        <w:t>ST/SG/AC.10/C.3/2016/68 (RECHARGE and PRBA)</w:t>
      </w:r>
    </w:p>
    <w:p w:rsidR="00A56EB2" w:rsidRDefault="00E55EF6" w:rsidP="00D76FC8">
      <w:pPr>
        <w:pStyle w:val="SingleTxtG"/>
      </w:pPr>
      <w:r>
        <w:t>45</w:t>
      </w:r>
      <w:r w:rsidR="00A56EB2" w:rsidRPr="00DF35A7">
        <w:t>.</w:t>
      </w:r>
      <w:r w:rsidR="00A56EB2" w:rsidRPr="00DF35A7">
        <w:tab/>
      </w:r>
      <w:r w:rsidR="00D713BC">
        <w:t>Most delegations agreed that the current provisions for lithium metal batteries applied</w:t>
      </w:r>
      <w:r w:rsidR="00A56EB2" w:rsidRPr="00DF35A7">
        <w:t xml:space="preserve">. </w:t>
      </w:r>
      <w:r w:rsidR="00D713BC">
        <w:t xml:space="preserve">Many </w:t>
      </w:r>
      <w:r w:rsidR="00A56EB2" w:rsidRPr="00DF35A7">
        <w:t>delegations recognized the industry</w:t>
      </w:r>
      <w:r w:rsidR="00A56EB2">
        <w:t>’</w:t>
      </w:r>
      <w:r w:rsidR="00A56EB2" w:rsidRPr="00DF35A7">
        <w:t>s efforts to develop less dangerous cells and batteries but they were not in favour of adding new entries to the list of dangerous goods whenever new technologies emerged. Some considered that the problems related to the transport of lithium batteries should be addressed more generically and that the work described in informal document INF.22 could offer a possible solution in the future.</w:t>
      </w:r>
    </w:p>
    <w:p w:rsidR="00A56EB2" w:rsidRDefault="00E55EF6" w:rsidP="00D76FC8">
      <w:pPr>
        <w:pStyle w:val="SingleTxtG"/>
      </w:pPr>
      <w:r>
        <w:lastRenderedPageBreak/>
        <w:t>46</w:t>
      </w:r>
      <w:r w:rsidR="00A56EB2" w:rsidRPr="00DF35A7">
        <w:t>.</w:t>
      </w:r>
      <w:r w:rsidR="00A56EB2" w:rsidRPr="00DF35A7">
        <w:tab/>
        <w:t>The representative of RECHARGE concluded that, for the time being, his proposal did not have sufficient backing. He withdrew it.</w:t>
      </w:r>
    </w:p>
    <w:p w:rsidR="00A56EB2" w:rsidRPr="00DF35A7" w:rsidRDefault="00A56EB2" w:rsidP="00D76FC8">
      <w:pPr>
        <w:pStyle w:val="H23G"/>
        <w:keepNext w:val="0"/>
        <w:keepLines w:val="0"/>
      </w:pPr>
      <w:r w:rsidRPr="00DF35A7">
        <w:tab/>
        <w:t>6.</w:t>
      </w:r>
      <w:r w:rsidRPr="00DF35A7">
        <w:tab/>
        <w:t>Comments on the new entry for lithium batteries installed in cargo transport units (UN No. 3536 and special provision 389)</w:t>
      </w:r>
    </w:p>
    <w:p w:rsidR="00A56EB2" w:rsidRPr="00DF35A7" w:rsidRDefault="00A56EB2" w:rsidP="00D76FC8">
      <w:pPr>
        <w:pStyle w:val="SingleTxtG"/>
      </w:pPr>
      <w:r w:rsidRPr="00A265FE">
        <w:rPr>
          <w:i/>
          <w:iCs/>
        </w:rPr>
        <w:t>Informal document</w:t>
      </w:r>
      <w:r w:rsidRPr="00DF35A7">
        <w:t>:</w:t>
      </w:r>
      <w:r w:rsidRPr="00DF35A7">
        <w:tab/>
      </w:r>
      <w:r w:rsidR="00031EFA">
        <w:tab/>
      </w:r>
      <w:r w:rsidRPr="00DF35A7">
        <w:t>INF.43 (Switzerland)</w:t>
      </w:r>
    </w:p>
    <w:p w:rsidR="00A56EB2" w:rsidRDefault="00E55EF6" w:rsidP="00D76FC8">
      <w:pPr>
        <w:pStyle w:val="SingleTxtG"/>
        <w:rPr>
          <w:i/>
        </w:rPr>
      </w:pPr>
      <w:r>
        <w:t>47</w:t>
      </w:r>
      <w:r w:rsidR="00A56EB2" w:rsidRPr="00DF35A7">
        <w:t>.</w:t>
      </w:r>
      <w:r w:rsidR="00A56EB2" w:rsidRPr="00DF35A7">
        <w:tab/>
        <w:t>With the exception of proposal 1, which was adopted (see annex</w:t>
      </w:r>
      <w:r w:rsidR="00A56EB2">
        <w:t xml:space="preserve"> </w:t>
      </w:r>
      <w:r w:rsidR="00D713BC">
        <w:t>I</w:t>
      </w:r>
      <w:r w:rsidR="00D713BC" w:rsidRPr="00DF35A7">
        <w:t xml:space="preserve">), </w:t>
      </w:r>
      <w:r w:rsidR="00A56EB2" w:rsidRPr="00DF35A7">
        <w:t>in the view of most experts the comments had been submitted too late, and the experts thus had not had sufficient time to carry out the necessary consultations in advance. The expert from Switzerland said that he would prepare an official proposal during the forthcoming biennium, after discussion with the experts concerned.</w:t>
      </w:r>
    </w:p>
    <w:p w:rsidR="00313C52" w:rsidRPr="00CB1AE4" w:rsidRDefault="00313C52" w:rsidP="00D76FC8">
      <w:pPr>
        <w:pStyle w:val="H23G"/>
        <w:keepNext w:val="0"/>
        <w:keepLines w:val="0"/>
      </w:pPr>
      <w:r w:rsidRPr="00CB1AE4">
        <w:tab/>
        <w:t>7.</w:t>
      </w:r>
      <w:r w:rsidRPr="00CB1AE4">
        <w:tab/>
        <w:t>The safe transport of lithium batteries by air</w:t>
      </w:r>
    </w:p>
    <w:p w:rsidR="00313C52" w:rsidRPr="00CB1AE4" w:rsidRDefault="00313C52" w:rsidP="00D76FC8">
      <w:pPr>
        <w:pStyle w:val="SingleTxtG"/>
      </w:pPr>
      <w:r w:rsidRPr="00CC17C1">
        <w:rPr>
          <w:i/>
          <w:iCs/>
        </w:rPr>
        <w:t>Document</w:t>
      </w:r>
      <w:r>
        <w:t>:</w:t>
      </w:r>
      <w:r>
        <w:tab/>
      </w:r>
      <w:r w:rsidR="00031EFA">
        <w:tab/>
      </w:r>
      <w:r w:rsidR="00031EFA">
        <w:tab/>
      </w:r>
      <w:r w:rsidRPr="00CB1AE4">
        <w:t>ST/SG/AC.10/C.3/2016/84 (ICAO)</w:t>
      </w:r>
    </w:p>
    <w:p w:rsidR="00313C52" w:rsidRPr="00CB1AE4" w:rsidRDefault="00313C52" w:rsidP="00D41905">
      <w:pPr>
        <w:pStyle w:val="SingleTxtG"/>
        <w:jc w:val="left"/>
      </w:pPr>
      <w:r w:rsidRPr="00CC17C1">
        <w:rPr>
          <w:i/>
          <w:iCs/>
        </w:rPr>
        <w:t>Informal documents</w:t>
      </w:r>
      <w:r w:rsidRPr="00CB1AE4">
        <w:t>:</w:t>
      </w:r>
      <w:r w:rsidRPr="00CB1AE4">
        <w:tab/>
      </w:r>
      <w:r w:rsidR="00D713BC">
        <w:tab/>
        <w:t>INF.22 (RECHARGE)</w:t>
      </w:r>
      <w:r w:rsidR="00D713BC">
        <w:br/>
      </w:r>
      <w:r w:rsidR="00D713BC">
        <w:tab/>
      </w:r>
      <w:r w:rsidR="00D713BC">
        <w:tab/>
      </w:r>
      <w:r w:rsidR="00D713BC">
        <w:tab/>
      </w:r>
      <w:r w:rsidR="00D713BC">
        <w:tab/>
      </w:r>
      <w:r w:rsidRPr="00CB1AE4">
        <w:t>INF.31 and Add.1 and 2 (France)</w:t>
      </w:r>
    </w:p>
    <w:p w:rsidR="00313C52" w:rsidRPr="00CB1AE4" w:rsidRDefault="00933E8B" w:rsidP="00D76FC8">
      <w:pPr>
        <w:pStyle w:val="SingleTxtG"/>
      </w:pPr>
      <w:r>
        <w:t>48</w:t>
      </w:r>
      <w:r w:rsidR="00313C52" w:rsidRPr="00CB1AE4">
        <w:t>.</w:t>
      </w:r>
      <w:r w:rsidR="00313C52" w:rsidRPr="00CB1AE4">
        <w:tab/>
        <w:t>The Sub-Committee noted that ICAO was continuing its work to address problems related to the specific requirements of air transport and had expressed the desire to work with the Sub-Committee specifically on:</w:t>
      </w:r>
    </w:p>
    <w:p w:rsidR="00313C52" w:rsidRPr="00CB1AE4" w:rsidRDefault="00313C52" w:rsidP="00D76FC8">
      <w:pPr>
        <w:pStyle w:val="SingleTxtG"/>
      </w:pPr>
      <w:r>
        <w:tab/>
      </w:r>
      <w:r w:rsidRPr="00CB1AE4">
        <w:t>(a)</w:t>
      </w:r>
      <w:r w:rsidRPr="00CB1AE4">
        <w:tab/>
      </w:r>
      <w:proofErr w:type="gramStart"/>
      <w:r w:rsidRPr="00CB1AE4">
        <w:t>establishing</w:t>
      </w:r>
      <w:proofErr w:type="gramEnd"/>
      <w:r w:rsidRPr="00CB1AE4">
        <w:t xml:space="preserve"> greater granularity with respect to the classification of different </w:t>
      </w:r>
      <w:r w:rsidR="004C5BCC">
        <w:tab/>
      </w:r>
      <w:r w:rsidRPr="00CB1AE4">
        <w:t>lithium cell and battery types;</w:t>
      </w:r>
    </w:p>
    <w:p w:rsidR="00313C52" w:rsidRDefault="00313C52" w:rsidP="00D76FC8">
      <w:pPr>
        <w:pStyle w:val="SingleTxtG"/>
      </w:pPr>
      <w:r>
        <w:tab/>
      </w:r>
      <w:r w:rsidRPr="00CB1AE4">
        <w:t>(b)</w:t>
      </w:r>
      <w:r w:rsidRPr="00CB1AE4">
        <w:tab/>
      </w:r>
      <w:proofErr w:type="gramStart"/>
      <w:r w:rsidRPr="00CB1AE4">
        <w:t>addressing</w:t>
      </w:r>
      <w:proofErr w:type="gramEnd"/>
      <w:r w:rsidRPr="00CB1AE4">
        <w:t xml:space="preserve"> the risks posed by non-compliant shipments</w:t>
      </w:r>
      <w:r w:rsidR="00D713BC">
        <w:t>.</w:t>
      </w:r>
      <w:r w:rsidRPr="00CB1AE4">
        <w:t>.</w:t>
      </w:r>
    </w:p>
    <w:p w:rsidR="00313C52" w:rsidRDefault="00933E8B" w:rsidP="00D76FC8">
      <w:pPr>
        <w:pStyle w:val="SingleTxtG"/>
      </w:pPr>
      <w:r>
        <w:t>49</w:t>
      </w:r>
      <w:r w:rsidR="00313C52" w:rsidRPr="00CB1AE4">
        <w:t>.</w:t>
      </w:r>
      <w:r w:rsidR="00313C52" w:rsidRPr="00CB1AE4">
        <w:tab/>
        <w:t xml:space="preserve">The Sub-Committee agreed to follow up on the request from ICAO and to include a specific item in its programme of work. It would, however, be necessary to proceed in stages. The first stage would consist in developing an entirely new system of criteria based on the intrinsic </w:t>
      </w:r>
      <w:r w:rsidR="00D713BC">
        <w:t>hazards</w:t>
      </w:r>
      <w:r w:rsidR="00D713BC" w:rsidRPr="00CB1AE4">
        <w:t xml:space="preserve"> </w:t>
      </w:r>
      <w:r w:rsidR="00313C52" w:rsidRPr="00CB1AE4">
        <w:t>posed by the various types of cells and batteries. In that connection, the Sub-Committee welcomed the work already done by France, as described in informal documents INF.31 and Add.1 and 2, in particular the two studies performed by INERIS (INF.31/Add.1, Opportunity of having a classification system for the transport of batteries, basic specifications for a testing programme; and INF.31/Add.2, Comparison of thermal and toxic effects of the fire of batteries and other goods in transport by a heavy goods vehicle). In the second stage, once the criteria were established, it would be possible to determine the corresponding conditions of transport (see also under item 8, Programme of work for the biennium 2017-2018).</w:t>
      </w:r>
    </w:p>
    <w:p w:rsidR="00933E8B" w:rsidRPr="00CB1AE4" w:rsidRDefault="00933E8B" w:rsidP="00D76FC8">
      <w:pPr>
        <w:pStyle w:val="SingleTxtG"/>
      </w:pPr>
      <w:r>
        <w:t>50.</w:t>
      </w:r>
      <w:r>
        <w:tab/>
        <w:t xml:space="preserve">The Sub-Committee reaffirmed its commitment to addressing concerns expressed by ICAO, specifically to working with ICAO more closely to address this important agenda item </w:t>
      </w:r>
      <w:r w:rsidR="007A199B">
        <w:t>including</w:t>
      </w:r>
      <w:r>
        <w:t xml:space="preserve"> Sub-Committee involvement within ICAO Dangerous Goods related meetings.</w:t>
      </w:r>
    </w:p>
    <w:p w:rsidR="00313C52" w:rsidRPr="00CB1AE4" w:rsidRDefault="00313C52" w:rsidP="00D76FC8">
      <w:pPr>
        <w:pStyle w:val="H23G"/>
        <w:keepNext w:val="0"/>
        <w:keepLines w:val="0"/>
      </w:pPr>
      <w:r>
        <w:tab/>
      </w:r>
      <w:r w:rsidRPr="00CB1AE4">
        <w:t>8.</w:t>
      </w:r>
      <w:r w:rsidRPr="00CB1AE4">
        <w:tab/>
        <w:t>Sodium-ion batteries</w:t>
      </w:r>
    </w:p>
    <w:p w:rsidR="00313C52" w:rsidRPr="00CB1AE4" w:rsidRDefault="00313C52" w:rsidP="00D76FC8">
      <w:pPr>
        <w:pStyle w:val="SingleTxtG"/>
      </w:pPr>
      <w:r w:rsidRPr="00CC17C1">
        <w:rPr>
          <w:i/>
          <w:iCs/>
        </w:rPr>
        <w:t>Informal document</w:t>
      </w:r>
      <w:r w:rsidRPr="00CB1AE4">
        <w:t>:</w:t>
      </w:r>
      <w:r w:rsidRPr="00CB1AE4">
        <w:tab/>
      </w:r>
      <w:r w:rsidR="00031EFA">
        <w:tab/>
      </w:r>
      <w:r w:rsidRPr="00CB1AE4">
        <w:t>INF.13 (United Kingdom)</w:t>
      </w:r>
    </w:p>
    <w:p w:rsidR="00A56EB2" w:rsidRDefault="00933E8B" w:rsidP="00D76FC8">
      <w:pPr>
        <w:pStyle w:val="SingleTxtG"/>
        <w:rPr>
          <w:i/>
        </w:rPr>
      </w:pPr>
      <w:r>
        <w:t>51</w:t>
      </w:r>
      <w:r w:rsidR="00313C52" w:rsidRPr="00CB1AE4">
        <w:t>.</w:t>
      </w:r>
      <w:r w:rsidR="00313C52" w:rsidRPr="00CB1AE4">
        <w:tab/>
        <w:t>The Sub-Committee accepted a proposal to consider the question of the carriage of sodium-ion batteries during the forthcoming biennium.</w:t>
      </w:r>
    </w:p>
    <w:p w:rsidR="00DB1AE2" w:rsidRPr="002942F1" w:rsidRDefault="00DB1AE2" w:rsidP="00D41905">
      <w:pPr>
        <w:pStyle w:val="H23G"/>
      </w:pPr>
      <w:r w:rsidRPr="002942F1">
        <w:lastRenderedPageBreak/>
        <w:tab/>
      </w:r>
      <w:r w:rsidR="001D245A">
        <w:t>9</w:t>
      </w:r>
      <w:r w:rsidRPr="002942F1">
        <w:t>.</w:t>
      </w:r>
      <w:r w:rsidRPr="002942F1">
        <w:tab/>
        <w:t>Amendments to Special Provision 376</w:t>
      </w:r>
    </w:p>
    <w:p w:rsidR="00DB1AE2" w:rsidRPr="002942F1" w:rsidRDefault="00DB1AE2" w:rsidP="00D41905">
      <w:pPr>
        <w:pStyle w:val="SingleTxtG"/>
        <w:keepNext/>
        <w:keepLines/>
      </w:pPr>
      <w:r w:rsidRPr="00664582">
        <w:rPr>
          <w:i/>
          <w:iCs/>
        </w:rPr>
        <w:t>Informal document</w:t>
      </w:r>
      <w:r w:rsidRPr="009E31E5">
        <w:rPr>
          <w:i/>
          <w:iCs/>
        </w:rPr>
        <w:t>:</w:t>
      </w:r>
      <w:r w:rsidRPr="009E31E5">
        <w:rPr>
          <w:i/>
          <w:iCs/>
        </w:rPr>
        <w:tab/>
      </w:r>
      <w:r>
        <w:rPr>
          <w:i/>
          <w:iCs/>
        </w:rPr>
        <w:tab/>
      </w:r>
      <w:r w:rsidRPr="002942F1">
        <w:t>INF.45 (PRBA)</w:t>
      </w:r>
    </w:p>
    <w:p w:rsidR="00DB1AE2" w:rsidRDefault="00933E8B" w:rsidP="00D41905">
      <w:pPr>
        <w:pStyle w:val="SingleTxtG"/>
        <w:keepNext/>
        <w:keepLines/>
      </w:pPr>
      <w:r>
        <w:t>52</w:t>
      </w:r>
      <w:r w:rsidR="00DB1AE2" w:rsidRPr="002942F1">
        <w:t>.</w:t>
      </w:r>
      <w:r w:rsidR="00DB1AE2" w:rsidRPr="002942F1">
        <w:tab/>
        <w:t>Several delegations noted that there had been lengthy discussions on the text of Special Provision 376 in the past and they did not wish to amend it on the basis of a last-minute informal document.</w:t>
      </w:r>
    </w:p>
    <w:p w:rsidR="00DB1AE2" w:rsidRDefault="00933E8B" w:rsidP="00D76FC8">
      <w:pPr>
        <w:pStyle w:val="SingleTxtG"/>
      </w:pPr>
      <w:r>
        <w:t>53</w:t>
      </w:r>
      <w:r w:rsidR="00DB1AE2" w:rsidRPr="002942F1">
        <w:t>.</w:t>
      </w:r>
      <w:r w:rsidR="00DB1AE2" w:rsidRPr="002942F1">
        <w:tab/>
        <w:t>The expert from France said that the Special Provision did not apply to all damaged or defective batteries, but only to those that no longer corresponded to the tested type.</w:t>
      </w:r>
    </w:p>
    <w:p w:rsidR="00DB1AE2" w:rsidRDefault="00933E8B" w:rsidP="00D76FC8">
      <w:pPr>
        <w:pStyle w:val="SingleTxtG"/>
      </w:pPr>
      <w:r>
        <w:t>54</w:t>
      </w:r>
      <w:r w:rsidR="00DB1AE2" w:rsidRPr="002942F1">
        <w:t>.</w:t>
      </w:r>
      <w:r w:rsidR="00DB1AE2" w:rsidRPr="002942F1">
        <w:tab/>
        <w:t>The representative of PRBA said that he would raise the matter again during the next biennium.</w:t>
      </w:r>
    </w:p>
    <w:p w:rsidR="00EE353D" w:rsidRDefault="00EE353D" w:rsidP="00EE353D">
      <w:pPr>
        <w:pStyle w:val="H23G"/>
        <w:keepNext w:val="0"/>
        <w:keepLines w:val="0"/>
      </w:pPr>
      <w:r>
        <w:tab/>
      </w:r>
      <w:r w:rsidR="001D245A">
        <w:t>10</w:t>
      </w:r>
      <w:r>
        <w:t>.</w:t>
      </w:r>
      <w:r>
        <w:tab/>
        <w:t>Corrections to ST/SG/AC.10/C.3/2016/55, paragraph 38.3.3 (c) of the Manual of Tests and Criteria</w:t>
      </w:r>
    </w:p>
    <w:p w:rsidR="00EE353D" w:rsidRDefault="00EE353D" w:rsidP="00EE353D">
      <w:pPr>
        <w:pStyle w:val="SingleTxtG"/>
      </w:pPr>
      <w:r>
        <w:rPr>
          <w:i/>
        </w:rPr>
        <w:t>Informal document:</w:t>
      </w:r>
      <w:r>
        <w:rPr>
          <w:i/>
        </w:rPr>
        <w:tab/>
      </w:r>
      <w:r>
        <w:rPr>
          <w:i/>
        </w:rPr>
        <w:tab/>
      </w:r>
      <w:r>
        <w:t>INF.57 (France)</w:t>
      </w:r>
    </w:p>
    <w:p w:rsidR="00EE353D" w:rsidRDefault="00933E8B" w:rsidP="00EE353D">
      <w:pPr>
        <w:pStyle w:val="SingleTxtG"/>
      </w:pPr>
      <w:r>
        <w:t>55</w:t>
      </w:r>
      <w:r w:rsidR="00EE353D">
        <w:t>.</w:t>
      </w:r>
      <w:r w:rsidR="00EE353D">
        <w:tab/>
        <w:t xml:space="preserve">The correction proposed by France </w:t>
      </w:r>
      <w:r w:rsidR="007A199B">
        <w:t xml:space="preserve">to the previously adopted amendment </w:t>
      </w:r>
      <w:r w:rsidR="00EE353D">
        <w:t xml:space="preserve">was adopted (see annex </w:t>
      </w:r>
      <w:r w:rsidR="00473A0C">
        <w:t>I).</w:t>
      </w:r>
    </w:p>
    <w:p w:rsidR="00EE353D" w:rsidRDefault="00EE353D" w:rsidP="00EE353D">
      <w:pPr>
        <w:pStyle w:val="H23G"/>
        <w:keepNext w:val="0"/>
        <w:keepLines w:val="0"/>
      </w:pPr>
      <w:r>
        <w:tab/>
      </w:r>
      <w:r w:rsidR="001D245A">
        <w:t>11</w:t>
      </w:r>
      <w:r>
        <w:t>.</w:t>
      </w:r>
      <w:r>
        <w:tab/>
        <w:t>Lithium battery test report</w:t>
      </w:r>
    </w:p>
    <w:p w:rsidR="00EE353D" w:rsidRDefault="00EE353D" w:rsidP="00EE353D">
      <w:pPr>
        <w:pStyle w:val="SingleTxtG"/>
        <w:jc w:val="left"/>
      </w:pPr>
      <w:r>
        <w:rPr>
          <w:i/>
        </w:rPr>
        <w:t>Document:</w:t>
      </w:r>
      <w:r>
        <w:rPr>
          <w:i/>
        </w:rPr>
        <w:tab/>
      </w:r>
      <w:r>
        <w:rPr>
          <w:i/>
        </w:rPr>
        <w:tab/>
      </w:r>
      <w:r>
        <w:rPr>
          <w:i/>
        </w:rPr>
        <w:tab/>
      </w:r>
      <w:r>
        <w:t>ST/SG/AC.10/C.3/2016/74 (PRBA)</w:t>
      </w:r>
      <w:r>
        <w:br/>
      </w:r>
      <w:r>
        <w:tab/>
      </w:r>
      <w:r>
        <w:tab/>
      </w:r>
      <w:r>
        <w:tab/>
      </w:r>
      <w:r>
        <w:tab/>
        <w:t>ST/SG/AC.10/C.3/2016/75 (France)</w:t>
      </w:r>
    </w:p>
    <w:p w:rsidR="00EE353D" w:rsidRPr="001D631B" w:rsidRDefault="00EE353D" w:rsidP="00EE353D">
      <w:pPr>
        <w:pStyle w:val="SingleTxtG"/>
        <w:jc w:val="left"/>
      </w:pPr>
      <w:r>
        <w:rPr>
          <w:i/>
        </w:rPr>
        <w:t>Informal documents:</w:t>
      </w:r>
      <w:r>
        <w:tab/>
      </w:r>
      <w:r>
        <w:tab/>
        <w:t>INF.51 (PRBA; RECHARGE)</w:t>
      </w:r>
      <w:r>
        <w:br/>
      </w:r>
      <w:r>
        <w:tab/>
      </w:r>
      <w:r>
        <w:tab/>
      </w:r>
      <w:r>
        <w:tab/>
      </w:r>
      <w:r>
        <w:tab/>
        <w:t xml:space="preserve">INF.61 (United States of America on behalf of a </w:t>
      </w:r>
      <w:r>
        <w:tab/>
      </w:r>
      <w:r>
        <w:tab/>
      </w:r>
      <w:r>
        <w:tab/>
      </w:r>
      <w:r>
        <w:tab/>
      </w:r>
      <w:r>
        <w:tab/>
      </w:r>
      <w:r>
        <w:tab/>
        <w:t>drafting group)</w:t>
      </w:r>
    </w:p>
    <w:p w:rsidR="00EE353D" w:rsidRDefault="00933E8B" w:rsidP="00EE353D">
      <w:pPr>
        <w:pStyle w:val="SingleTxtG"/>
      </w:pPr>
      <w:r>
        <w:t>56</w:t>
      </w:r>
      <w:r w:rsidR="00EE353D">
        <w:t>.</w:t>
      </w:r>
      <w:r w:rsidR="00EE353D">
        <w:tab/>
        <w:t>The Sub-Committee decided that a requirement for the availability of a test summary should be included in section 2.9.4 of the Model Regulations but that the details of the test summary should be indicated in the Manual of Tests and Criteria. The drafting of texts reflecting this decision and other comments made by delegations was entrusted to a drafting group whose conclusions (INF.61) were adopted with some modifications (see annex</w:t>
      </w:r>
      <w:r w:rsidR="00473A0C">
        <w:t xml:space="preserve"> I</w:t>
      </w:r>
      <w:r w:rsidR="00EE353D">
        <w:t>).</w:t>
      </w:r>
    </w:p>
    <w:p w:rsidR="00EE353D" w:rsidRDefault="00EE353D" w:rsidP="00D41905">
      <w:pPr>
        <w:pStyle w:val="H23G"/>
      </w:pPr>
      <w:r>
        <w:tab/>
      </w:r>
      <w:r w:rsidR="001D245A">
        <w:t>12</w:t>
      </w:r>
      <w:r>
        <w:t>.</w:t>
      </w:r>
      <w:r>
        <w:tab/>
        <w:t>Requirem</w:t>
      </w:r>
      <w:r w:rsidR="007A199B">
        <w:t>ents for pack</w:t>
      </w:r>
      <w:r>
        <w:t>ing damaged or defective lithium batteries</w:t>
      </w:r>
    </w:p>
    <w:p w:rsidR="00EE353D" w:rsidRDefault="00EE353D" w:rsidP="00D41905">
      <w:pPr>
        <w:pStyle w:val="SingleTxtG"/>
        <w:keepNext/>
        <w:keepLines/>
        <w:jc w:val="left"/>
      </w:pPr>
      <w:r>
        <w:rPr>
          <w:i/>
        </w:rPr>
        <w:t>Document:</w:t>
      </w:r>
      <w:r>
        <w:rPr>
          <w:i/>
        </w:rPr>
        <w:tab/>
      </w:r>
      <w:r>
        <w:rPr>
          <w:i/>
        </w:rPr>
        <w:tab/>
      </w:r>
      <w:r>
        <w:rPr>
          <w:i/>
        </w:rPr>
        <w:tab/>
      </w:r>
      <w:r>
        <w:t>ST/SG/AC.10/C.3/2016/76 (PRBA)</w:t>
      </w:r>
    </w:p>
    <w:p w:rsidR="00EE353D" w:rsidRDefault="00EE353D" w:rsidP="00EE353D">
      <w:pPr>
        <w:pStyle w:val="SingleTxtG"/>
      </w:pPr>
      <w:r w:rsidRPr="00794680">
        <w:rPr>
          <w:i/>
        </w:rPr>
        <w:t>Informal document</w:t>
      </w:r>
      <w:r>
        <w:t>:</w:t>
      </w:r>
      <w:r>
        <w:tab/>
      </w:r>
      <w:r>
        <w:tab/>
        <w:t>INF.52 (PRBA)</w:t>
      </w:r>
    </w:p>
    <w:p w:rsidR="00EE353D" w:rsidRDefault="00933E8B" w:rsidP="00EE353D">
      <w:pPr>
        <w:pStyle w:val="SingleTxtG"/>
      </w:pPr>
      <w:r>
        <w:t>57</w:t>
      </w:r>
      <w:r w:rsidR="00EE353D">
        <w:t>.</w:t>
      </w:r>
      <w:r w:rsidR="00EE353D">
        <w:tab/>
        <w:t xml:space="preserve">Several experts felt that the question of recall/recovery of defective or damaged small batteries from consumers should preferably be dealt with at modal level and were not favourable to the PRBA proposals since effective </w:t>
      </w:r>
      <w:r w:rsidR="00473A0C">
        <w:t xml:space="preserve">collection </w:t>
      </w:r>
      <w:r w:rsidR="00EE353D">
        <w:t>systems were already in place at regional level.</w:t>
      </w:r>
    </w:p>
    <w:p w:rsidR="00EE353D" w:rsidRDefault="00933E8B" w:rsidP="00EE353D">
      <w:pPr>
        <w:pStyle w:val="SingleTxtG"/>
      </w:pPr>
      <w:r>
        <w:t>58</w:t>
      </w:r>
      <w:r w:rsidR="00EE353D">
        <w:t>.</w:t>
      </w:r>
      <w:r w:rsidR="00EE353D">
        <w:tab/>
        <w:t>Following discussion in plenary session and consultation with interested delegations, the representative of PRBA drafted a new proposal of amendment to special provision 376 in INF.52. As there was still reluctance to the adoption of this proposal, the representative of PRBA withdraw it and said he would submit new proposals in the next biennium to take account of the various comments made.</w:t>
      </w:r>
    </w:p>
    <w:p w:rsidR="00EE353D" w:rsidRDefault="00EE353D" w:rsidP="00C07A6F">
      <w:pPr>
        <w:pStyle w:val="H23G"/>
      </w:pPr>
      <w:r>
        <w:lastRenderedPageBreak/>
        <w:tab/>
      </w:r>
      <w:r w:rsidR="0022374C">
        <w:t>13</w:t>
      </w:r>
      <w:r>
        <w:t>.</w:t>
      </w:r>
      <w:r>
        <w:tab/>
        <w:t>Lithium battery T.2 thermal test</w:t>
      </w:r>
    </w:p>
    <w:p w:rsidR="00EE353D" w:rsidRDefault="00EE353D" w:rsidP="00C07A6F">
      <w:pPr>
        <w:pStyle w:val="SingleTxtG"/>
        <w:keepNext/>
        <w:keepLines/>
      </w:pPr>
      <w:r w:rsidRPr="000B0DE8">
        <w:rPr>
          <w:i/>
        </w:rPr>
        <w:t>Document</w:t>
      </w:r>
      <w:r>
        <w:t>:</w:t>
      </w:r>
      <w:r>
        <w:tab/>
      </w:r>
      <w:r>
        <w:tab/>
      </w:r>
      <w:r>
        <w:tab/>
        <w:t>ST/SG/AC.10/C.3/2016/81 (PRBA, RECHARGE)</w:t>
      </w:r>
    </w:p>
    <w:p w:rsidR="00EE353D" w:rsidRPr="000B0DE8" w:rsidRDefault="00EE353D" w:rsidP="00C07A6F">
      <w:pPr>
        <w:pStyle w:val="SingleTxtG"/>
        <w:keepNext/>
        <w:keepLines/>
        <w:jc w:val="left"/>
      </w:pPr>
      <w:r>
        <w:rPr>
          <w:i/>
        </w:rPr>
        <w:t>Informal documents:</w:t>
      </w:r>
      <w:r>
        <w:rPr>
          <w:i/>
        </w:rPr>
        <w:tab/>
      </w:r>
      <w:r>
        <w:rPr>
          <w:i/>
        </w:rPr>
        <w:tab/>
      </w:r>
      <w:r>
        <w:t>INF.40 (PRBA, RECHARGE)</w:t>
      </w:r>
      <w:r>
        <w:br/>
      </w:r>
      <w:r>
        <w:tab/>
      </w:r>
      <w:r>
        <w:tab/>
      </w:r>
      <w:r>
        <w:tab/>
      </w:r>
      <w:r>
        <w:tab/>
        <w:t>INF.58 (PRBA)</w:t>
      </w:r>
    </w:p>
    <w:p w:rsidR="00EE353D" w:rsidRDefault="0022374C" w:rsidP="00C07A6F">
      <w:pPr>
        <w:pStyle w:val="SingleTxtG"/>
        <w:keepNext/>
        <w:keepLines/>
      </w:pPr>
      <w:r>
        <w:t>59</w:t>
      </w:r>
      <w:r w:rsidR="00EE353D">
        <w:t>.</w:t>
      </w:r>
      <w:r w:rsidR="00EE353D">
        <w:tab/>
        <w:t>Although some experts agreed that there might be some procedural problems due to the activation of safety protective components when testing cells or batteries equipped which such components, most experts did not support the proposal of decreasing the testing temperature from 72 to 65° C.</w:t>
      </w:r>
    </w:p>
    <w:p w:rsidR="00EE353D" w:rsidRDefault="0022374C" w:rsidP="00EE353D">
      <w:pPr>
        <w:pStyle w:val="SingleTxtG"/>
      </w:pPr>
      <w:r>
        <w:t>60</w:t>
      </w:r>
      <w:r w:rsidR="00EE353D">
        <w:t>.</w:t>
      </w:r>
      <w:r w:rsidR="00EE353D">
        <w:tab/>
        <w:t>The representative of PRBA said that he would consider submitting a new proposal in the next biennium to take account of the comments made.</w:t>
      </w:r>
    </w:p>
    <w:p w:rsidR="00EE353D" w:rsidRDefault="00EE353D" w:rsidP="00EE353D">
      <w:pPr>
        <w:pStyle w:val="H23G"/>
        <w:keepNext w:val="0"/>
        <w:keepLines w:val="0"/>
      </w:pPr>
      <w:r>
        <w:tab/>
      </w:r>
      <w:r w:rsidR="0022374C">
        <w:t>14</w:t>
      </w:r>
      <w:r>
        <w:t>.</w:t>
      </w:r>
      <w:r>
        <w:tab/>
        <w:t>Editorial correction to 3.3.1</w:t>
      </w:r>
    </w:p>
    <w:p w:rsidR="00EE353D" w:rsidRDefault="00EE353D" w:rsidP="00EE353D">
      <w:pPr>
        <w:pStyle w:val="SingleTxtG"/>
        <w:jc w:val="left"/>
      </w:pPr>
      <w:r>
        <w:rPr>
          <w:i/>
        </w:rPr>
        <w:t>Informal document:</w:t>
      </w:r>
      <w:r>
        <w:rPr>
          <w:i/>
        </w:rPr>
        <w:tab/>
      </w:r>
      <w:r>
        <w:rPr>
          <w:i/>
        </w:rPr>
        <w:tab/>
      </w:r>
      <w:r>
        <w:t>INF.48 (Germany)</w:t>
      </w:r>
    </w:p>
    <w:p w:rsidR="00EE353D" w:rsidRDefault="0022374C" w:rsidP="00EE353D">
      <w:pPr>
        <w:pStyle w:val="SingleTxtG"/>
      </w:pPr>
      <w:r>
        <w:t>61</w:t>
      </w:r>
      <w:r w:rsidR="00EE353D">
        <w:t>.</w:t>
      </w:r>
      <w:r w:rsidR="00EE353D">
        <w:tab/>
        <w:t xml:space="preserve">The Sub-Committee agreed that the introductory text of 3.3.1 should be amended but preferred to replace the current marking example by a reference to the marking of “LITHIUM BATTERIES FOR DISPOSAL” as required under special provision 377 (see annex </w:t>
      </w:r>
      <w:r>
        <w:t>I</w:t>
      </w:r>
      <w:r w:rsidR="00EE353D">
        <w:t>).</w:t>
      </w:r>
    </w:p>
    <w:p w:rsidR="00DB1AE2" w:rsidRPr="002942F1" w:rsidRDefault="00DB1AE2" w:rsidP="00D76FC8">
      <w:pPr>
        <w:pStyle w:val="H1G"/>
        <w:keepNext w:val="0"/>
        <w:keepLines w:val="0"/>
      </w:pPr>
      <w:r w:rsidRPr="002942F1">
        <w:tab/>
        <w:t>E.</w:t>
      </w:r>
      <w:r w:rsidRPr="002942F1">
        <w:tab/>
        <w:t>Transport of gases</w:t>
      </w:r>
    </w:p>
    <w:p w:rsidR="00DB1AE2" w:rsidRPr="002942F1" w:rsidRDefault="00DB1AE2" w:rsidP="00D76FC8">
      <w:pPr>
        <w:pStyle w:val="H23G"/>
        <w:keepNext w:val="0"/>
        <w:keepLines w:val="0"/>
      </w:pPr>
      <w:r w:rsidRPr="002942F1">
        <w:tab/>
      </w:r>
      <w:r w:rsidRPr="002942F1">
        <w:tab/>
        <w:t>Transport of gas tanks for motor vehicles</w:t>
      </w:r>
    </w:p>
    <w:p w:rsidR="00DB1AE2" w:rsidRPr="002942F1" w:rsidRDefault="00DB1AE2" w:rsidP="00D76FC8">
      <w:pPr>
        <w:pStyle w:val="SingleTxtG"/>
      </w:pPr>
      <w:r w:rsidRPr="00664582">
        <w:rPr>
          <w:i/>
          <w:iCs/>
        </w:rPr>
        <w:t>Document</w:t>
      </w:r>
      <w:r w:rsidRPr="009E31E5">
        <w:rPr>
          <w:i/>
          <w:iCs/>
        </w:rPr>
        <w:t>:</w:t>
      </w:r>
      <w:r>
        <w:tab/>
      </w:r>
      <w:r>
        <w:tab/>
      </w:r>
      <w:r>
        <w:tab/>
      </w:r>
      <w:r w:rsidRPr="002942F1">
        <w:t>ST/SG/AC.10/C.3/2016/51 (Germany)</w:t>
      </w:r>
    </w:p>
    <w:p w:rsidR="00DB1AE2" w:rsidRPr="002942F1" w:rsidRDefault="00DB1AE2" w:rsidP="00D76FC8">
      <w:pPr>
        <w:pStyle w:val="SingleTxtG"/>
      </w:pPr>
      <w:r w:rsidRPr="00664582">
        <w:rPr>
          <w:i/>
          <w:iCs/>
        </w:rPr>
        <w:t>Informal document</w:t>
      </w:r>
      <w:r w:rsidRPr="009E31E5">
        <w:rPr>
          <w:i/>
          <w:iCs/>
        </w:rPr>
        <w:t>:</w:t>
      </w:r>
      <w:r>
        <w:tab/>
      </w:r>
      <w:r>
        <w:tab/>
      </w:r>
      <w:r w:rsidRPr="002942F1">
        <w:t>INF.53 (Germany)</w:t>
      </w:r>
    </w:p>
    <w:p w:rsidR="00DB1AE2" w:rsidRDefault="0022374C" w:rsidP="00D76FC8">
      <w:pPr>
        <w:pStyle w:val="SingleTxtG"/>
      </w:pPr>
      <w:r>
        <w:t>62</w:t>
      </w:r>
      <w:r w:rsidR="00DB1AE2" w:rsidRPr="002942F1">
        <w:t>.</w:t>
      </w:r>
      <w:r w:rsidR="00DB1AE2" w:rsidRPr="002942F1">
        <w:tab/>
        <w:t xml:space="preserve">The Sub-Committee adopted by consensus the proposals made by Germany on the basis of option 2 in document ST/SG/AC.10/C.3/2016/51, revised during the session in line with informal document INF.53, with some corrections (see annex </w:t>
      </w:r>
      <w:r>
        <w:t>I</w:t>
      </w:r>
      <w:r w:rsidR="00DB1AE2" w:rsidRPr="002942F1">
        <w:t>).</w:t>
      </w:r>
    </w:p>
    <w:p w:rsidR="00DB1AE2" w:rsidRPr="002942F1" w:rsidRDefault="00DB1AE2" w:rsidP="00D76FC8">
      <w:pPr>
        <w:pStyle w:val="H1G"/>
        <w:keepNext w:val="0"/>
        <w:keepLines w:val="0"/>
      </w:pPr>
      <w:r w:rsidRPr="002942F1">
        <w:tab/>
        <w:t>F.</w:t>
      </w:r>
      <w:r w:rsidRPr="002942F1">
        <w:tab/>
        <w:t>Miscellaneous pending issues</w:t>
      </w:r>
    </w:p>
    <w:p w:rsidR="00DB1AE2" w:rsidRPr="002942F1" w:rsidRDefault="00DB1AE2" w:rsidP="00D76FC8">
      <w:pPr>
        <w:pStyle w:val="H23G"/>
        <w:keepNext w:val="0"/>
        <w:keepLines w:val="0"/>
      </w:pPr>
      <w:r w:rsidRPr="002942F1">
        <w:tab/>
      </w:r>
      <w:r w:rsidRPr="002942F1">
        <w:tab/>
        <w:t xml:space="preserve">Polymerizing substances </w:t>
      </w:r>
      <w:r w:rsidR="002C4F4D">
        <w:t>-</w:t>
      </w:r>
      <w:r w:rsidRPr="002942F1">
        <w:t xml:space="preserve"> information on emergency and control temperature</w:t>
      </w:r>
      <w:r w:rsidR="002C4F4D">
        <w:t>s</w:t>
      </w:r>
    </w:p>
    <w:p w:rsidR="00DB1AE2" w:rsidRPr="002942F1" w:rsidRDefault="00DB1AE2" w:rsidP="00D76FC8">
      <w:pPr>
        <w:pStyle w:val="SingleTxtG"/>
      </w:pPr>
      <w:r w:rsidRPr="00664582">
        <w:rPr>
          <w:i/>
          <w:iCs/>
        </w:rPr>
        <w:t>Document</w:t>
      </w:r>
      <w:r w:rsidRPr="000C4730">
        <w:rPr>
          <w:i/>
          <w:iCs/>
        </w:rPr>
        <w:t>:</w:t>
      </w:r>
      <w:r>
        <w:tab/>
      </w:r>
      <w:r>
        <w:tab/>
      </w:r>
      <w:r>
        <w:tab/>
      </w:r>
      <w:r w:rsidRPr="002942F1">
        <w:t>ST/SG/AC.10/C.3/2016/70 (Germany)</w:t>
      </w:r>
    </w:p>
    <w:p w:rsidR="00DB1AE2" w:rsidRPr="002942F1" w:rsidRDefault="00DB1AE2" w:rsidP="00D76FC8">
      <w:pPr>
        <w:pStyle w:val="SingleTxtG"/>
      </w:pPr>
      <w:r w:rsidRPr="00664582">
        <w:rPr>
          <w:i/>
          <w:iCs/>
        </w:rPr>
        <w:t>Informal document</w:t>
      </w:r>
      <w:r w:rsidRPr="000C4730">
        <w:rPr>
          <w:i/>
          <w:iCs/>
        </w:rPr>
        <w:t>:</w:t>
      </w:r>
      <w:r>
        <w:tab/>
      </w:r>
      <w:r>
        <w:tab/>
      </w:r>
      <w:r w:rsidRPr="002942F1">
        <w:t>INF.41 (United Kingdom)</w:t>
      </w:r>
    </w:p>
    <w:p w:rsidR="00DB1AE2" w:rsidRDefault="002C4F4D" w:rsidP="00D76FC8">
      <w:pPr>
        <w:pStyle w:val="SingleTxtG"/>
      </w:pPr>
      <w:r>
        <w:t>63</w:t>
      </w:r>
      <w:r w:rsidR="00DB1AE2" w:rsidRPr="002942F1">
        <w:t>.</w:t>
      </w:r>
      <w:r w:rsidR="00DB1AE2" w:rsidRPr="002942F1">
        <w:tab/>
        <w:t xml:space="preserve">The Sub-Committee adopted the proposals made by Germany with some changes (see annex </w:t>
      </w:r>
      <w:r>
        <w:t>I</w:t>
      </w:r>
      <w:r w:rsidR="00DB1AE2" w:rsidRPr="002942F1">
        <w:t>). The proposals made by the United Kingdom had been transmitted too late for the experts to consider them during the current session and would thus need to be submitted to a future session, if the expert from the United Kingdom wished to do so.</w:t>
      </w:r>
    </w:p>
    <w:p w:rsidR="00DB1AE2" w:rsidRDefault="00DB1AE2" w:rsidP="00D76FC8">
      <w:pPr>
        <w:pStyle w:val="HChG"/>
        <w:keepNext w:val="0"/>
        <w:keepLines w:val="0"/>
      </w:pPr>
      <w:r>
        <w:tab/>
        <w:t>IV.</w:t>
      </w:r>
      <w:r>
        <w:tab/>
        <w:t>Global harmonization of transport of dangerous goods regulations with the Model Regulations (agenda item 3)</w:t>
      </w:r>
    </w:p>
    <w:p w:rsidR="00DB1AE2" w:rsidRDefault="00DB1AE2" w:rsidP="00D76FC8">
      <w:pPr>
        <w:pStyle w:val="H23G"/>
        <w:keepNext w:val="0"/>
        <w:keepLines w:val="0"/>
      </w:pPr>
      <w:r>
        <w:tab/>
      </w:r>
      <w:r>
        <w:tab/>
        <w:t>Differences related to UN 1386 in the IMSBC and IMDG codes and the Model Regulations</w:t>
      </w:r>
    </w:p>
    <w:p w:rsidR="00DB1AE2" w:rsidRPr="001307DD" w:rsidRDefault="00DB1AE2" w:rsidP="00D76FC8">
      <w:pPr>
        <w:pStyle w:val="SingleTxtG"/>
      </w:pPr>
      <w:r>
        <w:rPr>
          <w:i/>
        </w:rPr>
        <w:t>Document:</w:t>
      </w:r>
      <w:r>
        <w:rPr>
          <w:i/>
        </w:rPr>
        <w:tab/>
      </w:r>
      <w:r>
        <w:rPr>
          <w:i/>
        </w:rPr>
        <w:tab/>
      </w:r>
      <w:r>
        <w:rPr>
          <w:i/>
        </w:rPr>
        <w:tab/>
      </w:r>
      <w:r>
        <w:t>ST/SG/AC.10/C.3/2016/63 (Spain)</w:t>
      </w:r>
    </w:p>
    <w:p w:rsidR="00DB1AE2" w:rsidRPr="001307DD" w:rsidRDefault="00C07A6F" w:rsidP="00D76FC8">
      <w:pPr>
        <w:pStyle w:val="SingleTxtG"/>
      </w:pPr>
      <w:r>
        <w:rPr>
          <w:i/>
        </w:rPr>
        <w:t>Inform</w:t>
      </w:r>
      <w:r w:rsidR="00DB1AE2">
        <w:rPr>
          <w:i/>
        </w:rPr>
        <w:t>al document:</w:t>
      </w:r>
      <w:r w:rsidR="00DB1AE2">
        <w:rPr>
          <w:i/>
        </w:rPr>
        <w:tab/>
      </w:r>
      <w:r w:rsidR="00DB1AE2">
        <w:rPr>
          <w:i/>
        </w:rPr>
        <w:tab/>
      </w:r>
      <w:r w:rsidR="00DB1AE2">
        <w:t>INF.4 (Spain)</w:t>
      </w:r>
    </w:p>
    <w:p w:rsidR="00DB1AE2" w:rsidRDefault="002C4F4D" w:rsidP="00D76FC8">
      <w:pPr>
        <w:pStyle w:val="SingleTxtG"/>
      </w:pPr>
      <w:r>
        <w:lastRenderedPageBreak/>
        <w:t>64</w:t>
      </w:r>
      <w:r w:rsidR="00DB1AE2">
        <w:t>.</w:t>
      </w:r>
      <w:r w:rsidR="00DB1AE2">
        <w:tab/>
        <w:t xml:space="preserve">The Sub-Committee noted the concern of the expert from Spain at the differences between the description of the entry for seed cake (UN No. 1386) in the IMDG Code and the Model Regulations. The representative of IMO explained that this issue was currently under discussion at IMO and was complex because the entries UN No. 1386 and UN No. 2217 were both used in the context of carriage in packaged form (IMDG Code) and that of solid bulk cargoes (IMSBC Code) and a </w:t>
      </w:r>
      <w:r>
        <w:t xml:space="preserve">correspondence </w:t>
      </w:r>
      <w:r w:rsidR="00DB1AE2">
        <w:t>group had been established to consider the question.</w:t>
      </w:r>
    </w:p>
    <w:p w:rsidR="00DB1AE2" w:rsidRDefault="002C4F4D" w:rsidP="00D76FC8">
      <w:pPr>
        <w:pStyle w:val="SingleTxtG"/>
      </w:pPr>
      <w:r>
        <w:t>65</w:t>
      </w:r>
      <w:r w:rsidR="00DB1AE2">
        <w:t>.</w:t>
      </w:r>
      <w:r w:rsidR="00DB1AE2">
        <w:tab/>
        <w:t xml:space="preserve">The Sub-Committee was conscious that seed cake is carried in very large quantities by sea and invited IMO to keep it informed of the developments notably if IMO felt that the current description in the Model Regulations </w:t>
      </w:r>
      <w:proofErr w:type="gramStart"/>
      <w:r w:rsidR="00DB1AE2">
        <w:t>would need</w:t>
      </w:r>
      <w:proofErr w:type="gramEnd"/>
      <w:r w:rsidR="00DB1AE2">
        <w:t xml:space="preserve"> be amended. It wished that, as a result of this work, the descriptions could be harmonized as appropriate in order to avoid misunderstandings and confusion.</w:t>
      </w:r>
    </w:p>
    <w:p w:rsidR="00DB1AE2" w:rsidRPr="002942F1" w:rsidRDefault="00503440" w:rsidP="00D76FC8">
      <w:pPr>
        <w:pStyle w:val="HChG"/>
        <w:keepNext w:val="0"/>
        <w:keepLines w:val="0"/>
      </w:pPr>
      <w:r>
        <w:tab/>
        <w:t>V.</w:t>
      </w:r>
      <w:r>
        <w:tab/>
        <w:t>Guiding P</w:t>
      </w:r>
      <w:r w:rsidR="00DB1AE2" w:rsidRPr="002942F1">
        <w:t>rinciples for the Model Regulations (agenda item 4)</w:t>
      </w:r>
    </w:p>
    <w:p w:rsidR="00DB1AE2" w:rsidRPr="002942F1" w:rsidRDefault="00DB1AE2" w:rsidP="00D76FC8">
      <w:pPr>
        <w:pStyle w:val="H23G"/>
        <w:keepNext w:val="0"/>
        <w:keepLines w:val="0"/>
      </w:pPr>
      <w:r w:rsidRPr="002942F1">
        <w:tab/>
      </w:r>
      <w:r w:rsidRPr="002942F1">
        <w:tab/>
        <w:t>Assignment of E-Codes</w:t>
      </w:r>
    </w:p>
    <w:p w:rsidR="00DB1AE2" w:rsidRPr="002942F1" w:rsidRDefault="00DB1AE2" w:rsidP="00D76FC8">
      <w:pPr>
        <w:pStyle w:val="SingleTxtG"/>
      </w:pPr>
      <w:r w:rsidRPr="00664582">
        <w:rPr>
          <w:i/>
          <w:iCs/>
        </w:rPr>
        <w:t>Document</w:t>
      </w:r>
      <w:r w:rsidRPr="007F7D20">
        <w:rPr>
          <w:i/>
          <w:iCs/>
        </w:rPr>
        <w:t>:</w:t>
      </w:r>
      <w:r>
        <w:t xml:space="preserve"> </w:t>
      </w:r>
      <w:r>
        <w:tab/>
      </w:r>
      <w:r>
        <w:tab/>
      </w:r>
      <w:r>
        <w:tab/>
      </w:r>
      <w:r w:rsidRPr="002942F1">
        <w:t>ST/SG/AC.10/C.3/2016/78 (United States of America)</w:t>
      </w:r>
    </w:p>
    <w:p w:rsidR="00DB1AE2" w:rsidRPr="002942F1" w:rsidRDefault="00DB1AE2" w:rsidP="00D76FC8">
      <w:pPr>
        <w:pStyle w:val="SingleTxtG"/>
      </w:pPr>
      <w:r w:rsidRPr="00664582">
        <w:rPr>
          <w:i/>
          <w:iCs/>
        </w:rPr>
        <w:t>Informal document</w:t>
      </w:r>
      <w:r w:rsidRPr="007F7D20">
        <w:rPr>
          <w:i/>
          <w:iCs/>
        </w:rPr>
        <w:t>:</w:t>
      </w:r>
      <w:r>
        <w:tab/>
      </w:r>
      <w:r>
        <w:tab/>
      </w:r>
      <w:r w:rsidRPr="002942F1">
        <w:t>INF.6 (United States of America)</w:t>
      </w:r>
    </w:p>
    <w:p w:rsidR="00DB1AE2" w:rsidRDefault="002C4F4D" w:rsidP="00D76FC8">
      <w:pPr>
        <w:pStyle w:val="SingleTxtG"/>
        <w:rPr>
          <w:i/>
        </w:rPr>
      </w:pPr>
      <w:r>
        <w:t>66</w:t>
      </w:r>
      <w:r w:rsidR="00DB1AE2" w:rsidRPr="002942F1">
        <w:t>.</w:t>
      </w:r>
      <w:r w:rsidR="00DB1AE2" w:rsidRPr="002942F1">
        <w:tab/>
        <w:t xml:space="preserve">The Sub-Committee agreed to replace the </w:t>
      </w:r>
      <w:r>
        <w:t>t</w:t>
      </w:r>
      <w:r w:rsidR="00DB1AE2" w:rsidRPr="002942F1">
        <w:t xml:space="preserve">able of </w:t>
      </w:r>
      <w:r>
        <w:t xml:space="preserve">the </w:t>
      </w:r>
      <w:r w:rsidR="00DB1AE2" w:rsidRPr="002942F1">
        <w:t xml:space="preserve">Guiding Principles by that proposed by the expert from the United States of America (see annex </w:t>
      </w:r>
      <w:r>
        <w:t>III</w:t>
      </w:r>
      <w:r w:rsidR="00DB1AE2" w:rsidRPr="002942F1">
        <w:t>).</w:t>
      </w:r>
    </w:p>
    <w:p w:rsidR="007E3FCA" w:rsidRDefault="007E3FCA" w:rsidP="007E3FCA">
      <w:pPr>
        <w:pStyle w:val="HChG"/>
        <w:keepNext w:val="0"/>
        <w:keepLines w:val="0"/>
      </w:pPr>
      <w:r>
        <w:tab/>
        <w:t>VI.</w:t>
      </w:r>
      <w:r>
        <w:tab/>
        <w:t>Cooperation with the International Atomic Energy Agency (agenda item 5)</w:t>
      </w:r>
    </w:p>
    <w:p w:rsidR="007E3FCA" w:rsidRDefault="007E3FCA" w:rsidP="007E3FCA">
      <w:pPr>
        <w:pStyle w:val="SingleTxtG"/>
      </w:pPr>
      <w:r w:rsidRPr="00907202">
        <w:rPr>
          <w:i/>
        </w:rPr>
        <w:t>Informal document</w:t>
      </w:r>
      <w:r>
        <w:t>:</w:t>
      </w:r>
      <w:r>
        <w:tab/>
      </w:r>
      <w:r>
        <w:tab/>
        <w:t>INF.28 (Secretariat)</w:t>
      </w:r>
    </w:p>
    <w:p w:rsidR="007E3FCA" w:rsidRDefault="005F13FB" w:rsidP="007E3FCA">
      <w:pPr>
        <w:pStyle w:val="SingleTxtG"/>
      </w:pPr>
      <w:r>
        <w:t>67</w:t>
      </w:r>
      <w:r w:rsidR="007E3FCA">
        <w:t>.</w:t>
      </w:r>
      <w:r w:rsidR="007E3FCA">
        <w:tab/>
        <w:t>The various corrections to the 19</w:t>
      </w:r>
      <w:r w:rsidR="007E3FCA" w:rsidRPr="00907202">
        <w:rPr>
          <w:vertAlign w:val="superscript"/>
        </w:rPr>
        <w:t>th</w:t>
      </w:r>
      <w:r w:rsidR="007E3FCA">
        <w:t xml:space="preserve"> revised edition of the Recommendations on the Transport of Dangerous Goods, Model Regulations, proposed by the Secretariat, were adopted (see annex </w:t>
      </w:r>
      <w:r>
        <w:t>IV</w:t>
      </w:r>
      <w:r w:rsidR="007E3FCA">
        <w:t>).</w:t>
      </w:r>
    </w:p>
    <w:p w:rsidR="00313C52" w:rsidRPr="00B502E6" w:rsidRDefault="00313C52" w:rsidP="00D76FC8">
      <w:pPr>
        <w:pStyle w:val="HChG"/>
        <w:keepNext w:val="0"/>
        <w:keepLines w:val="0"/>
      </w:pPr>
      <w:r w:rsidRPr="00B502E6">
        <w:tab/>
        <w:t xml:space="preserve">VII. </w:t>
      </w:r>
      <w:r w:rsidRPr="00B502E6">
        <w:tab/>
        <w:t>New proposals for amendments to the Model Regulations on the Transport of Dangerous Goods (agenda item 6)</w:t>
      </w:r>
    </w:p>
    <w:p w:rsidR="00313C52" w:rsidRPr="00B502E6" w:rsidRDefault="00313C52" w:rsidP="00D76FC8">
      <w:pPr>
        <w:pStyle w:val="H1G"/>
        <w:keepNext w:val="0"/>
        <w:keepLines w:val="0"/>
      </w:pPr>
      <w:r w:rsidRPr="00B502E6">
        <w:tab/>
        <w:t>A.</w:t>
      </w:r>
      <w:r w:rsidRPr="00B502E6">
        <w:tab/>
        <w:t>Amendments to section 2.9.4 - lithium batteries and special provision 310</w:t>
      </w:r>
    </w:p>
    <w:p w:rsidR="00313C52" w:rsidRPr="00B502E6" w:rsidRDefault="00313C52" w:rsidP="00D76FC8">
      <w:pPr>
        <w:pStyle w:val="SingleTxtG"/>
      </w:pPr>
      <w:r w:rsidRPr="00DD0130">
        <w:rPr>
          <w:i/>
          <w:iCs/>
        </w:rPr>
        <w:t>Document</w:t>
      </w:r>
      <w:r>
        <w:t>:</w:t>
      </w:r>
      <w:r>
        <w:tab/>
      </w:r>
      <w:r w:rsidR="00031EFA">
        <w:tab/>
      </w:r>
      <w:r w:rsidR="00031EFA">
        <w:tab/>
      </w:r>
      <w:r w:rsidRPr="00B502E6">
        <w:t>ST/SG/AC.10/C.3/2016/71 (PRBA and RECHARGE)</w:t>
      </w:r>
    </w:p>
    <w:p w:rsidR="00313C52" w:rsidRDefault="005F13FB" w:rsidP="00D76FC8">
      <w:pPr>
        <w:pStyle w:val="SingleTxtG"/>
      </w:pPr>
      <w:r>
        <w:t>6</w:t>
      </w:r>
      <w:r w:rsidR="00313C52" w:rsidRPr="00B502E6">
        <w:t>8.</w:t>
      </w:r>
      <w:r w:rsidR="00313C52" w:rsidRPr="00B502E6">
        <w:tab/>
        <w:t xml:space="preserve">Some delegations supported the deletion of provisions that were redundant, but, in general, experts would like to keep the essential requirements for classification in section 2.9.4. </w:t>
      </w:r>
    </w:p>
    <w:p w:rsidR="00313C52" w:rsidRDefault="005F13FB" w:rsidP="00D76FC8">
      <w:pPr>
        <w:pStyle w:val="SingleTxtG"/>
      </w:pPr>
      <w:r>
        <w:t>6</w:t>
      </w:r>
      <w:r w:rsidR="00313C52" w:rsidRPr="00B502E6">
        <w:t>9.</w:t>
      </w:r>
      <w:r w:rsidR="00313C52" w:rsidRPr="00B502E6">
        <w:tab/>
        <w:t>It was also confirmed that the application of special provision 310 did not entail an exemption from the application of the requirements in 2.9.4.</w:t>
      </w:r>
    </w:p>
    <w:p w:rsidR="00313C52" w:rsidRDefault="00C0050D" w:rsidP="00D76FC8">
      <w:pPr>
        <w:pStyle w:val="SingleTxtG"/>
      </w:pPr>
      <w:r>
        <w:t>7</w:t>
      </w:r>
      <w:r w:rsidR="00313C52" w:rsidRPr="00B502E6">
        <w:t>0.</w:t>
      </w:r>
      <w:r w:rsidR="00313C52" w:rsidRPr="00B502E6">
        <w:tab/>
        <w:t>It was noted that, in practice, compliance with the 2.9.4 (c) was not necessarily achieved by design, as protection against a short circuit during carriage was sometimes achieved by removable means of protection, for example when units were being transported for installation on specialized systems.</w:t>
      </w:r>
    </w:p>
    <w:p w:rsidR="00A56EB2" w:rsidRDefault="00C0050D" w:rsidP="00D76FC8">
      <w:pPr>
        <w:pStyle w:val="SingleTxtG"/>
        <w:rPr>
          <w:i/>
        </w:rPr>
      </w:pPr>
      <w:r>
        <w:lastRenderedPageBreak/>
        <w:t>7</w:t>
      </w:r>
      <w:r w:rsidR="00313C52" w:rsidRPr="00B502E6">
        <w:t>1.</w:t>
      </w:r>
      <w:r w:rsidR="00313C52" w:rsidRPr="00B502E6">
        <w:tab/>
        <w:t>In the light of the discussions, the representative of PRBA withdrew his proposal and said that he would return to it during the next biennium.</w:t>
      </w:r>
    </w:p>
    <w:p w:rsidR="00031EFA" w:rsidRPr="002942F1" w:rsidRDefault="00031EFA" w:rsidP="00C0050D">
      <w:pPr>
        <w:pStyle w:val="H1G"/>
      </w:pPr>
      <w:r w:rsidRPr="002942F1">
        <w:tab/>
      </w:r>
      <w:r w:rsidR="00C0050D">
        <w:t>B</w:t>
      </w:r>
      <w:r w:rsidRPr="002942F1">
        <w:t>.</w:t>
      </w:r>
      <w:r w:rsidRPr="002942F1">
        <w:tab/>
        <w:t xml:space="preserve">Maximum capacity of composite </w:t>
      </w:r>
      <w:proofErr w:type="spellStart"/>
      <w:r w:rsidRPr="002942F1">
        <w:t>packagings</w:t>
      </w:r>
      <w:proofErr w:type="spellEnd"/>
      <w:r w:rsidRPr="002942F1">
        <w:t xml:space="preserve"> 6HH1 for packing group I</w:t>
      </w:r>
    </w:p>
    <w:p w:rsidR="00031EFA" w:rsidRPr="00415BD8" w:rsidRDefault="00031EFA" w:rsidP="00D76FC8">
      <w:pPr>
        <w:pStyle w:val="SingleTxtG"/>
        <w:rPr>
          <w:lang w:val="fr-CH"/>
        </w:rPr>
      </w:pPr>
      <w:r w:rsidRPr="00664582">
        <w:rPr>
          <w:i/>
          <w:iCs/>
          <w:lang w:val="fr-CH"/>
        </w:rPr>
        <w:t>Document</w:t>
      </w:r>
      <w:r w:rsidRPr="007D4E95">
        <w:rPr>
          <w:i/>
          <w:iCs/>
          <w:lang w:val="fr-CH"/>
        </w:rPr>
        <w:t>:</w:t>
      </w:r>
      <w:r>
        <w:rPr>
          <w:lang w:val="fr-CH"/>
        </w:rPr>
        <w:tab/>
      </w:r>
      <w:r>
        <w:rPr>
          <w:lang w:val="fr-CH"/>
        </w:rPr>
        <w:tab/>
      </w:r>
      <w:r>
        <w:rPr>
          <w:lang w:val="fr-CH"/>
        </w:rPr>
        <w:tab/>
      </w:r>
      <w:r w:rsidRPr="00415BD8">
        <w:rPr>
          <w:lang w:val="fr-CH"/>
        </w:rPr>
        <w:t>ST/SG/AC.10/C.3/2016/57 (ICPP)</w:t>
      </w:r>
    </w:p>
    <w:p w:rsidR="00031EFA" w:rsidRPr="00415BD8" w:rsidRDefault="00031EFA" w:rsidP="00D76FC8">
      <w:pPr>
        <w:pStyle w:val="SingleTxtG"/>
        <w:rPr>
          <w:lang w:val="fr-CH"/>
        </w:rPr>
      </w:pPr>
      <w:r w:rsidRPr="00664582">
        <w:rPr>
          <w:i/>
          <w:iCs/>
          <w:lang w:val="fr-CH"/>
        </w:rPr>
        <w:t>Informal document</w:t>
      </w:r>
      <w:r w:rsidRPr="007D4E95">
        <w:rPr>
          <w:i/>
          <w:iCs/>
          <w:lang w:val="fr-CH"/>
        </w:rPr>
        <w:t>:</w:t>
      </w:r>
      <w:r>
        <w:rPr>
          <w:lang w:val="fr-CH"/>
        </w:rPr>
        <w:tab/>
      </w:r>
      <w:r>
        <w:rPr>
          <w:lang w:val="fr-CH"/>
        </w:rPr>
        <w:tab/>
      </w:r>
      <w:r w:rsidRPr="00415BD8">
        <w:rPr>
          <w:lang w:val="fr-CH"/>
        </w:rPr>
        <w:t>INF.3/Rev.1 (ICPP)</w:t>
      </w:r>
    </w:p>
    <w:p w:rsidR="00031EFA" w:rsidRDefault="00EA5F2C" w:rsidP="00D76FC8">
      <w:pPr>
        <w:pStyle w:val="SingleTxtG"/>
      </w:pPr>
      <w:r>
        <w:t>7</w:t>
      </w:r>
      <w:r w:rsidR="00031EFA" w:rsidRPr="002942F1">
        <w:t>2.</w:t>
      </w:r>
      <w:r w:rsidR="00031EFA" w:rsidRPr="002942F1">
        <w:tab/>
        <w:t>The proposal to set the maximum capacity at 250 litres instead of 120 litres was adopted by consensus (see annex</w:t>
      </w:r>
      <w:r w:rsidR="00031EFA">
        <w:t xml:space="preserve"> </w:t>
      </w:r>
      <w:r>
        <w:t>I</w:t>
      </w:r>
      <w:r w:rsidR="00031EFA" w:rsidRPr="002942F1">
        <w:t>).</w:t>
      </w:r>
    </w:p>
    <w:p w:rsidR="00031EFA" w:rsidRPr="002942F1" w:rsidRDefault="00031EFA" w:rsidP="00D41905">
      <w:pPr>
        <w:pStyle w:val="H1G"/>
      </w:pPr>
      <w:r w:rsidRPr="002942F1">
        <w:tab/>
      </w:r>
      <w:r w:rsidR="00EA5F2C">
        <w:t>C</w:t>
      </w:r>
      <w:r w:rsidRPr="002942F1">
        <w:t>.</w:t>
      </w:r>
      <w:r w:rsidRPr="002942F1">
        <w:tab/>
        <w:t>Lead lining testing requirements for bromine portable tanks</w:t>
      </w:r>
    </w:p>
    <w:p w:rsidR="00031EFA" w:rsidRPr="002942F1" w:rsidRDefault="00031EFA" w:rsidP="00D76FC8">
      <w:pPr>
        <w:pStyle w:val="SingleTxtG"/>
      </w:pPr>
      <w:r w:rsidRPr="00664582">
        <w:rPr>
          <w:i/>
          <w:iCs/>
        </w:rPr>
        <w:t>Document</w:t>
      </w:r>
      <w:r w:rsidRPr="007D4E95">
        <w:rPr>
          <w:i/>
          <w:iCs/>
        </w:rPr>
        <w:t>:</w:t>
      </w:r>
      <w:r>
        <w:tab/>
      </w:r>
      <w:r>
        <w:tab/>
      </w:r>
      <w:r>
        <w:tab/>
      </w:r>
      <w:r w:rsidRPr="002942F1">
        <w:t>ST/SG/AC.10/C.3/2016/79 (United States of America)</w:t>
      </w:r>
    </w:p>
    <w:p w:rsidR="00031EFA" w:rsidRPr="002942F1" w:rsidRDefault="00031EFA" w:rsidP="00D76FC8">
      <w:pPr>
        <w:pStyle w:val="SingleTxtG"/>
      </w:pPr>
      <w:r w:rsidRPr="00664582">
        <w:rPr>
          <w:i/>
          <w:iCs/>
        </w:rPr>
        <w:t>Informal document</w:t>
      </w:r>
      <w:r w:rsidRPr="007D4E95">
        <w:rPr>
          <w:i/>
          <w:iCs/>
        </w:rPr>
        <w:t>:</w:t>
      </w:r>
      <w:r>
        <w:tab/>
      </w:r>
      <w:r>
        <w:tab/>
      </w:r>
      <w:r w:rsidRPr="002942F1">
        <w:t>INF.34 (United States of America)</w:t>
      </w:r>
    </w:p>
    <w:p w:rsidR="00031EFA" w:rsidRDefault="00EA5F2C" w:rsidP="00D76FC8">
      <w:pPr>
        <w:pStyle w:val="SingleTxtG"/>
      </w:pPr>
      <w:r>
        <w:t>7</w:t>
      </w:r>
      <w:r w:rsidR="00031EFA" w:rsidRPr="002942F1">
        <w:t>3.</w:t>
      </w:r>
      <w:r w:rsidR="00031EFA" w:rsidRPr="002942F1">
        <w:tab/>
        <w:t xml:space="preserve">The proposal to amend the T10 </w:t>
      </w:r>
      <w:r w:rsidR="00503440">
        <w:t>portable tank instruction</w:t>
      </w:r>
      <w:r w:rsidR="00031EFA" w:rsidRPr="002942F1">
        <w:t xml:space="preserve"> to allow the transport of</w:t>
      </w:r>
      <w:r w:rsidR="00031EFA">
        <w:t xml:space="preserve"> </w:t>
      </w:r>
      <w:proofErr w:type="spellStart"/>
      <w:r w:rsidR="00031EFA" w:rsidRPr="002942F1">
        <w:t>uncleaned</w:t>
      </w:r>
      <w:proofErr w:type="spellEnd"/>
      <w:r w:rsidR="00031EFA" w:rsidRPr="002942F1">
        <w:t xml:space="preserve"> empty bromine tanks for three months after the date of expiry of the last liner inspec</w:t>
      </w:r>
      <w:r w:rsidR="00031EFA">
        <w:t xml:space="preserve">tion was adopted (see annex </w:t>
      </w:r>
      <w:r>
        <w:t>I</w:t>
      </w:r>
      <w:r w:rsidR="00031EFA">
        <w:t>).</w:t>
      </w:r>
    </w:p>
    <w:p w:rsidR="00031EFA" w:rsidRPr="002942F1" w:rsidRDefault="00031EFA" w:rsidP="00D41905">
      <w:pPr>
        <w:pStyle w:val="H1G"/>
      </w:pPr>
      <w:r w:rsidRPr="002942F1">
        <w:tab/>
      </w:r>
      <w:r w:rsidR="00EA5F2C">
        <w:t>D</w:t>
      </w:r>
      <w:r w:rsidRPr="002942F1">
        <w:t>.</w:t>
      </w:r>
      <w:r w:rsidRPr="002942F1">
        <w:tab/>
        <w:t>Classification of mixtures of environmentally hazardous substances</w:t>
      </w:r>
    </w:p>
    <w:p w:rsidR="00031EFA" w:rsidRPr="002942F1" w:rsidRDefault="00031EFA" w:rsidP="00D76FC8">
      <w:pPr>
        <w:pStyle w:val="SingleTxtG"/>
      </w:pPr>
      <w:r w:rsidRPr="00664582">
        <w:rPr>
          <w:i/>
          <w:iCs/>
        </w:rPr>
        <w:t>Document</w:t>
      </w:r>
      <w:r w:rsidRPr="007D4E95">
        <w:rPr>
          <w:i/>
          <w:iCs/>
        </w:rPr>
        <w:t>:</w:t>
      </w:r>
      <w:r>
        <w:tab/>
      </w:r>
      <w:r>
        <w:tab/>
      </w:r>
      <w:r>
        <w:tab/>
      </w:r>
      <w:r w:rsidRPr="002942F1">
        <w:t>ST/SG/AC.10/C.3/2016/80 (United States of America)</w:t>
      </w:r>
    </w:p>
    <w:p w:rsidR="00031EFA" w:rsidRDefault="00E23EB6" w:rsidP="00D76FC8">
      <w:pPr>
        <w:pStyle w:val="SingleTxtG"/>
      </w:pPr>
      <w:r>
        <w:t>7</w:t>
      </w:r>
      <w:r w:rsidR="00031EFA" w:rsidRPr="002942F1">
        <w:t>4.</w:t>
      </w:r>
      <w:r w:rsidR="00031EFA" w:rsidRPr="002942F1">
        <w:tab/>
        <w:t xml:space="preserve">The Sub-Committee agreed that the end of the sentence in 2.9.3.4.6.5.1, which came from GHS, was not relevant to the Model Regulations and so approved the proposal that should be deleted (see annex </w:t>
      </w:r>
      <w:r>
        <w:t>I</w:t>
      </w:r>
      <w:r w:rsidR="00031EFA" w:rsidRPr="002942F1">
        <w:t>).</w:t>
      </w:r>
    </w:p>
    <w:p w:rsidR="00031EFA" w:rsidRPr="002942F1" w:rsidRDefault="00031EFA" w:rsidP="00D41905">
      <w:pPr>
        <w:pStyle w:val="H1G"/>
      </w:pPr>
      <w:r w:rsidRPr="002942F1">
        <w:tab/>
      </w:r>
      <w:r w:rsidR="00E23EB6">
        <w:t>E</w:t>
      </w:r>
      <w:r w:rsidRPr="002942F1">
        <w:t>.</w:t>
      </w:r>
      <w:r w:rsidRPr="002942F1">
        <w:tab/>
        <w:t xml:space="preserve">Marking and documentation of large salvage </w:t>
      </w:r>
      <w:proofErr w:type="spellStart"/>
      <w:r w:rsidRPr="002942F1">
        <w:t>packagings</w:t>
      </w:r>
      <w:proofErr w:type="spellEnd"/>
    </w:p>
    <w:p w:rsidR="00031EFA" w:rsidRPr="002942F1" w:rsidRDefault="00031EFA" w:rsidP="00D76FC8">
      <w:pPr>
        <w:pStyle w:val="SingleTxtG"/>
      </w:pPr>
      <w:r w:rsidRPr="00664582">
        <w:rPr>
          <w:i/>
          <w:iCs/>
        </w:rPr>
        <w:t>Informal document</w:t>
      </w:r>
      <w:r w:rsidRPr="007D4E95">
        <w:rPr>
          <w:i/>
          <w:iCs/>
        </w:rPr>
        <w:t>:</w:t>
      </w:r>
      <w:r>
        <w:tab/>
      </w:r>
      <w:r>
        <w:tab/>
      </w:r>
      <w:r w:rsidRPr="002942F1">
        <w:t>INF.26 (Germany)</w:t>
      </w:r>
    </w:p>
    <w:p w:rsidR="00031EFA" w:rsidRDefault="00E23EB6" w:rsidP="00D76FC8">
      <w:pPr>
        <w:pStyle w:val="SingleTxtG"/>
      </w:pPr>
      <w:r>
        <w:t>7</w:t>
      </w:r>
      <w:r w:rsidR="00031EFA" w:rsidRPr="002942F1">
        <w:t>5.</w:t>
      </w:r>
      <w:r w:rsidR="00031EFA" w:rsidRPr="002942F1">
        <w:tab/>
        <w:t xml:space="preserve">The proposed amendments to 5.2.1.3 and 5.4.1.5.3 were adopted (see annex </w:t>
      </w:r>
      <w:r>
        <w:t>I</w:t>
      </w:r>
      <w:r w:rsidR="00031EFA" w:rsidRPr="002942F1">
        <w:t>).</w:t>
      </w:r>
    </w:p>
    <w:p w:rsidR="00031EFA" w:rsidRDefault="00031EFA" w:rsidP="00D76FC8">
      <w:pPr>
        <w:pStyle w:val="H1G"/>
        <w:keepNext w:val="0"/>
        <w:keepLines w:val="0"/>
      </w:pPr>
      <w:r>
        <w:tab/>
        <w:t>F.</w:t>
      </w:r>
      <w:r>
        <w:tab/>
        <w:t>Adsorbed gases – exemptions for gases of division 2.2 (non-toxic, non-flammable)</w:t>
      </w:r>
    </w:p>
    <w:p w:rsidR="00031EFA" w:rsidRDefault="00031EFA" w:rsidP="00D76FC8">
      <w:pPr>
        <w:pStyle w:val="SingleTxtG"/>
      </w:pPr>
      <w:r>
        <w:rPr>
          <w:i/>
        </w:rPr>
        <w:t>Informal document:</w:t>
      </w:r>
      <w:r>
        <w:rPr>
          <w:i/>
        </w:rPr>
        <w:tab/>
      </w:r>
      <w:r>
        <w:rPr>
          <w:i/>
        </w:rPr>
        <w:tab/>
      </w:r>
      <w:r>
        <w:t>INF.38 (Germany)</w:t>
      </w:r>
    </w:p>
    <w:p w:rsidR="00031EFA" w:rsidRDefault="008A7E01" w:rsidP="00D76FC8">
      <w:pPr>
        <w:pStyle w:val="SingleTxtG"/>
      </w:pPr>
      <w:r>
        <w:t>7</w:t>
      </w:r>
      <w:r w:rsidR="00031EFA">
        <w:t>6.</w:t>
      </w:r>
      <w:r w:rsidR="00031EFA">
        <w:tab/>
        <w:t>As the proposal had been submitted late and not all delegations had the possibility to carry out the necessary consultations, the proposal of amendment to 2.2.2.3 was deferred to the next session.</w:t>
      </w:r>
    </w:p>
    <w:p w:rsidR="008A7E01" w:rsidRDefault="008A7E01" w:rsidP="00D41905">
      <w:pPr>
        <w:pStyle w:val="H1G"/>
      </w:pPr>
      <w:r>
        <w:tab/>
        <w:t>G.</w:t>
      </w:r>
      <w:r>
        <w:tab/>
        <w:t>New UN entries for electronic detonators</w:t>
      </w:r>
    </w:p>
    <w:p w:rsidR="008A7E01" w:rsidRDefault="008A7E01" w:rsidP="00D41905">
      <w:pPr>
        <w:pStyle w:val="SingleTxtG"/>
        <w:jc w:val="left"/>
      </w:pPr>
      <w:r>
        <w:rPr>
          <w:i/>
        </w:rPr>
        <w:t>Informal document</w:t>
      </w:r>
      <w:r w:rsidR="00503440">
        <w:rPr>
          <w:i/>
        </w:rPr>
        <w:t>s</w:t>
      </w:r>
      <w:r>
        <w:rPr>
          <w:i/>
        </w:rPr>
        <w:t>:</w:t>
      </w:r>
      <w:r>
        <w:tab/>
      </w:r>
      <w:r>
        <w:tab/>
        <w:t>INF.30 (AEISG)</w:t>
      </w:r>
      <w:r>
        <w:br/>
      </w:r>
      <w:r>
        <w:tab/>
      </w:r>
      <w:r>
        <w:tab/>
      </w:r>
      <w:r>
        <w:tab/>
      </w:r>
      <w:r>
        <w:tab/>
        <w:t>INF.59 (Report of the Working Group on Explosives)</w:t>
      </w:r>
    </w:p>
    <w:p w:rsidR="008A7E01" w:rsidRDefault="008A7E01">
      <w:pPr>
        <w:pStyle w:val="SingleTxtG"/>
      </w:pPr>
      <w:r w:rsidRPr="00910D21">
        <w:t>77.</w:t>
      </w:r>
      <w:r>
        <w:tab/>
        <w:t xml:space="preserve">Noting the conclusions of the Working Group on Explosives (Informal document INF.59, paragraph 10), the Sub-Committee agreed that those delegations interested in introducing new entries for electronic detonators should study the </w:t>
      </w:r>
      <w:r w:rsidRPr="00EA5817">
        <w:t>characteristics</w:t>
      </w:r>
      <w:r>
        <w:t xml:space="preserve"> related to </w:t>
      </w:r>
      <w:r>
        <w:lastRenderedPageBreak/>
        <w:t>transport safety and make proposals in the future if they believe</w:t>
      </w:r>
      <w:r w:rsidR="00503440">
        <w:t>d</w:t>
      </w:r>
      <w:r>
        <w:t xml:space="preserve"> that information gathered warran</w:t>
      </w:r>
      <w:r w:rsidR="00503440">
        <w:t>ted</w:t>
      </w:r>
      <w:r>
        <w:t xml:space="preserve"> further consideration.</w:t>
      </w:r>
    </w:p>
    <w:p w:rsidR="00DB1AE2" w:rsidRDefault="00DB1AE2" w:rsidP="00D76FC8">
      <w:pPr>
        <w:pStyle w:val="HChG"/>
        <w:keepNext w:val="0"/>
        <w:keepLines w:val="0"/>
      </w:pPr>
      <w:r>
        <w:tab/>
        <w:t>VIII.</w:t>
      </w:r>
      <w:r>
        <w:tab/>
        <w:t>Issues relating to the Globally Harmonized System of Classification and Labelling of Chemicals (agenda item 7)</w:t>
      </w:r>
    </w:p>
    <w:p w:rsidR="004B5448" w:rsidRDefault="004B5448" w:rsidP="00D41905">
      <w:pPr>
        <w:pStyle w:val="H1G"/>
        <w:keepNext w:val="0"/>
        <w:keepLines w:val="0"/>
      </w:pPr>
      <w:r>
        <w:tab/>
        <w:t>A.</w:t>
      </w:r>
      <w:r>
        <w:tab/>
        <w:t>Criteria for water-reactivity</w:t>
      </w:r>
    </w:p>
    <w:p w:rsidR="004B5448" w:rsidRDefault="004B5448" w:rsidP="00D41905">
      <w:pPr>
        <w:pStyle w:val="SingleTxtG"/>
      </w:pPr>
      <w:r>
        <w:t>78.</w:t>
      </w:r>
      <w:r>
        <w:tab/>
        <w:t>As no document ha</w:t>
      </w:r>
      <w:r w:rsidR="00503440">
        <w:t>d</w:t>
      </w:r>
      <w:r>
        <w:t xml:space="preserve"> been submitted under this agenda sub-item, no discussion took place on the subject, except that it should remain in the programme of work for the next biennium.</w:t>
      </w:r>
    </w:p>
    <w:p w:rsidR="009E497A" w:rsidRPr="00A347B6" w:rsidRDefault="009E497A" w:rsidP="009E497A">
      <w:pPr>
        <w:pStyle w:val="H1G"/>
        <w:keepNext w:val="0"/>
        <w:keepLines w:val="0"/>
      </w:pPr>
      <w:r>
        <w:tab/>
      </w:r>
      <w:r w:rsidRPr="00A347B6">
        <w:t xml:space="preserve">B. </w:t>
      </w:r>
      <w:r>
        <w:tab/>
      </w:r>
      <w:r w:rsidRPr="00A347B6">
        <w:t>Tests and criteria for oxidizing liquids (Test O.2) and oxidizing solids (Test O.3)</w:t>
      </w:r>
    </w:p>
    <w:p w:rsidR="009E497A" w:rsidRPr="00A347B6" w:rsidRDefault="009E497A" w:rsidP="009E497A">
      <w:pPr>
        <w:pStyle w:val="SingleTxtG"/>
      </w:pPr>
      <w:r w:rsidRPr="002414BC">
        <w:rPr>
          <w:i/>
        </w:rPr>
        <w:t>Document</w:t>
      </w:r>
      <w:r w:rsidRPr="00A347B6">
        <w:t xml:space="preserve">: </w:t>
      </w:r>
      <w:r>
        <w:tab/>
      </w:r>
      <w:r>
        <w:tab/>
      </w:r>
      <w:r>
        <w:tab/>
      </w:r>
      <w:r w:rsidRPr="00A347B6">
        <w:t>ST/SG/AC.10/C.3/2016/73 (France)</w:t>
      </w:r>
    </w:p>
    <w:p w:rsidR="009E497A" w:rsidRDefault="009E497A" w:rsidP="009E497A">
      <w:pPr>
        <w:pStyle w:val="SingleTxtG"/>
      </w:pPr>
      <w:r>
        <w:t>79.</w:t>
      </w:r>
      <w:r>
        <w:tab/>
      </w:r>
      <w:r w:rsidRPr="00A347B6">
        <w:t>The Sub-Committee took note of the final results</w:t>
      </w:r>
      <w:r>
        <w:t xml:space="preserve"> of the Round Robin testing programme and adopted proposals 1 to 4. For the cellulose specifications for test</w:t>
      </w:r>
      <w:r w:rsidR="00584627">
        <w:t>s</w:t>
      </w:r>
      <w:r>
        <w:t xml:space="preserve"> </w:t>
      </w:r>
      <w:r w:rsidR="00584627">
        <w:t xml:space="preserve">O.1 and </w:t>
      </w:r>
      <w:r>
        <w:t>O.3, it was noted that the apparent density of 170 kg/m</w:t>
      </w:r>
      <w:r w:rsidRPr="00A347B6">
        <w:rPr>
          <w:vertAlign w:val="superscript"/>
        </w:rPr>
        <w:t>3</w:t>
      </w:r>
      <w:r>
        <w:t xml:space="preserve"> was approximate and the texts were modified accordingly.</w:t>
      </w:r>
    </w:p>
    <w:p w:rsidR="009E497A" w:rsidRDefault="00584627" w:rsidP="009E497A">
      <w:pPr>
        <w:pStyle w:val="SingleTxtG"/>
      </w:pPr>
      <w:r>
        <w:t>80</w:t>
      </w:r>
      <w:r w:rsidR="009E497A">
        <w:t>.</w:t>
      </w:r>
      <w:r w:rsidR="009E497A">
        <w:tab/>
        <w:t>The Sub-Committee noted that some improvements in test materials and procedures might be needed as a consequence of the replacement of cellulose and therefore adopted proposal 5 to keep this item in the programme of work of the next biennium.</w:t>
      </w:r>
    </w:p>
    <w:p w:rsidR="009E497A" w:rsidRDefault="00584627" w:rsidP="009E497A">
      <w:pPr>
        <w:pStyle w:val="SingleTxtG"/>
      </w:pPr>
      <w:r>
        <w:t>81</w:t>
      </w:r>
      <w:r w:rsidR="009E497A">
        <w:t>.</w:t>
      </w:r>
      <w:r w:rsidR="009E497A">
        <w:tab/>
        <w:t>The Sub-Committee agreed that the replacement of the cellulose for future tests does not invalidate the test results obtained with the cellulose grade currently referred to in the Manual.</w:t>
      </w:r>
    </w:p>
    <w:p w:rsidR="009E497A" w:rsidRDefault="00584627" w:rsidP="009E497A">
      <w:pPr>
        <w:pStyle w:val="SingleTxtG"/>
      </w:pPr>
      <w:r>
        <w:t>82</w:t>
      </w:r>
      <w:r w:rsidR="009E497A">
        <w:t>.</w:t>
      </w:r>
      <w:r w:rsidR="009E497A">
        <w:tab/>
        <w:t>The Sub-Committee invited the GHS Sub-Committee to take note of these developments and to concur with the conclusions.</w:t>
      </w:r>
    </w:p>
    <w:p w:rsidR="00DB1AE2" w:rsidRDefault="00DB1AE2">
      <w:pPr>
        <w:pStyle w:val="H1G"/>
        <w:keepNext w:val="0"/>
        <w:keepLines w:val="0"/>
      </w:pPr>
      <w:r>
        <w:tab/>
        <w:t>C.</w:t>
      </w:r>
      <w:r>
        <w:tab/>
        <w:t>Classification criteria for flammable gases</w:t>
      </w:r>
    </w:p>
    <w:p w:rsidR="00DB1AE2" w:rsidRDefault="00DB1AE2" w:rsidP="00D76FC8">
      <w:pPr>
        <w:pStyle w:val="SingleTxtG"/>
        <w:jc w:val="left"/>
      </w:pPr>
      <w:r>
        <w:rPr>
          <w:i/>
        </w:rPr>
        <w:t>Document:</w:t>
      </w:r>
      <w:r>
        <w:rPr>
          <w:i/>
        </w:rPr>
        <w:tab/>
      </w:r>
      <w:r>
        <w:rPr>
          <w:i/>
        </w:rPr>
        <w:tab/>
      </w:r>
      <w:r>
        <w:rPr>
          <w:i/>
        </w:rPr>
        <w:tab/>
      </w:r>
      <w:r>
        <w:t>ST/SG/AC.10/C.3/2016/58 (Belgium, Japan)</w:t>
      </w:r>
    </w:p>
    <w:p w:rsidR="00DB1AE2" w:rsidRDefault="00DB1AE2" w:rsidP="00D76FC8">
      <w:pPr>
        <w:pStyle w:val="SingleTxtG"/>
        <w:jc w:val="left"/>
      </w:pPr>
      <w:r>
        <w:rPr>
          <w:i/>
        </w:rPr>
        <w:t>Informal documents:</w:t>
      </w:r>
      <w:r>
        <w:tab/>
      </w:r>
      <w:r>
        <w:tab/>
        <w:t>INF.12 and INF.32 (Belgium, Japan)</w:t>
      </w:r>
      <w:r>
        <w:br/>
      </w:r>
      <w:r>
        <w:tab/>
      </w:r>
      <w:r>
        <w:tab/>
      </w:r>
      <w:r>
        <w:tab/>
      </w:r>
      <w:r>
        <w:tab/>
        <w:t>INF.15 (Secretariat)</w:t>
      </w:r>
      <w:r>
        <w:br/>
      </w:r>
      <w:r>
        <w:tab/>
      </w:r>
      <w:r>
        <w:tab/>
      </w:r>
      <w:r>
        <w:tab/>
      </w:r>
      <w:r>
        <w:tab/>
        <w:t>INF.35 (EIGA)</w:t>
      </w:r>
    </w:p>
    <w:p w:rsidR="00DB1AE2" w:rsidRDefault="00880F79" w:rsidP="00D76FC8">
      <w:pPr>
        <w:pStyle w:val="SingleTxtG"/>
      </w:pPr>
      <w:r>
        <w:t>83</w:t>
      </w:r>
      <w:r w:rsidR="00DB1AE2">
        <w:t>.</w:t>
      </w:r>
      <w:r w:rsidR="00DB1AE2">
        <w:tab/>
        <w:t xml:space="preserve">The Sub-Committee recommended that the GHS Sub-Committee adopt the amendments to the GHS proposed by Belgium and Japan on behalf of the informal working group on classification criteria </w:t>
      </w:r>
      <w:r>
        <w:t xml:space="preserve">and hazard communication elements </w:t>
      </w:r>
      <w:r w:rsidR="00DB1AE2">
        <w:t>for flammable gases in document -/C.3/2016/58 and informal document INF.32 with the modifications proposed by the Secretariat in INF.15.</w:t>
      </w:r>
    </w:p>
    <w:p w:rsidR="00DB1AE2" w:rsidRDefault="00880F79" w:rsidP="00D76FC8">
      <w:pPr>
        <w:pStyle w:val="SingleTxtG"/>
      </w:pPr>
      <w:r>
        <w:t>84</w:t>
      </w:r>
      <w:r w:rsidR="00DB1AE2">
        <w:t>.</w:t>
      </w:r>
      <w:r w:rsidR="00DB1AE2">
        <w:tab/>
        <w:t xml:space="preserve">For the options proposed in INF.32 for an explanatory note b) to table A 1.2, the Sub-Committee felt that no note was necessary since the proposed note related to the Division 2.1 transport </w:t>
      </w:r>
      <w:proofErr w:type="spellStart"/>
      <w:r w:rsidR="00DB1AE2">
        <w:t>pictogramme</w:t>
      </w:r>
      <w:proofErr w:type="spellEnd"/>
      <w:r w:rsidR="00DB1AE2">
        <w:t xml:space="preserve"> which was required in transport for the pyrophoric gases and chemically unstable gases of the GHS hazard category 1A.</w:t>
      </w:r>
    </w:p>
    <w:p w:rsidR="00DB1AE2" w:rsidRDefault="00880F79" w:rsidP="00D76FC8">
      <w:pPr>
        <w:pStyle w:val="SingleTxtG"/>
      </w:pPr>
      <w:r>
        <w:t>85</w:t>
      </w:r>
      <w:r w:rsidR="00DB1AE2">
        <w:t>.</w:t>
      </w:r>
      <w:r w:rsidR="00DB1AE2">
        <w:tab/>
        <w:t xml:space="preserve">For the EIGA proposal in informal document INF.35, the general view was that it would be logical to amend the examples given in 2.2.5 and 2.4.4.2 to take account of the </w:t>
      </w:r>
      <w:r w:rsidR="00DB1AE2">
        <w:lastRenderedPageBreak/>
        <w:t>changes to ISO 10156:1996 reflected in ISO 10156:2010, but the Sub-Committee felt that it was up to the GHS Sub-Committee to decide whether the example in 2.2.5 should be updated or both examples in 2.4.4.2 and 2.2.5 should simply be deleted as recommended by EIGA.</w:t>
      </w:r>
    </w:p>
    <w:p w:rsidR="00EC7509" w:rsidRDefault="00EC7509" w:rsidP="00D41905">
      <w:pPr>
        <w:pStyle w:val="H1G"/>
      </w:pPr>
      <w:r>
        <w:tab/>
        <w:t>D.</w:t>
      </w:r>
      <w:r>
        <w:tab/>
        <w:t>Expert judgement and weight of evidence</w:t>
      </w:r>
    </w:p>
    <w:p w:rsidR="00EC7509" w:rsidRDefault="00EC7509" w:rsidP="00D76FC8">
      <w:pPr>
        <w:pStyle w:val="SingleTxtG"/>
      </w:pPr>
      <w:r>
        <w:t>86.</w:t>
      </w:r>
      <w:r>
        <w:tab/>
        <w:t>As no document had been submitted under this agenda sub-item, no discussion took place on this subject which was withdrawn as specific item from the programme of work of the next biennium.</w:t>
      </w:r>
    </w:p>
    <w:p w:rsidR="00EC7509" w:rsidRDefault="00EC7509" w:rsidP="00D41905">
      <w:pPr>
        <w:pStyle w:val="H1G"/>
      </w:pPr>
      <w:r>
        <w:tab/>
        <w:t>E.</w:t>
      </w:r>
      <w:r>
        <w:tab/>
      </w:r>
      <w:proofErr w:type="spellStart"/>
      <w:r>
        <w:t>Corrosivity</w:t>
      </w:r>
      <w:proofErr w:type="spellEnd"/>
      <w:r>
        <w:t xml:space="preserve"> criteria</w:t>
      </w:r>
    </w:p>
    <w:p w:rsidR="00EC7509" w:rsidRDefault="00EC7509">
      <w:pPr>
        <w:pStyle w:val="SingleTxtG"/>
      </w:pPr>
      <w:r>
        <w:t>87.</w:t>
      </w:r>
      <w:r>
        <w:tab/>
        <w:t>As no document had been submitted under this agenda sub-item, no discussion took place on this subject which was withdrawn as specific item from the programme or work of the next biennium.</w:t>
      </w:r>
    </w:p>
    <w:p w:rsidR="00EC7509" w:rsidRDefault="00EC7509" w:rsidP="00D41905">
      <w:pPr>
        <w:pStyle w:val="H1G"/>
      </w:pPr>
      <w:r>
        <w:tab/>
        <w:t>F.</w:t>
      </w:r>
      <w:r>
        <w:tab/>
        <w:t>Updat</w:t>
      </w:r>
      <w:r w:rsidR="00F83E8D">
        <w:t>i</w:t>
      </w:r>
      <w:r>
        <w:t>ng of references to OECD Guidelines</w:t>
      </w:r>
    </w:p>
    <w:p w:rsidR="00EC7509" w:rsidRDefault="00EC7509">
      <w:pPr>
        <w:pStyle w:val="SingleTxtG"/>
      </w:pPr>
      <w:r>
        <w:t>88.</w:t>
      </w:r>
      <w:r>
        <w:tab/>
        <w:t>As no document had been submitted under this agenda sub-item, no discussion took place on this subject, but it was decided to keep it in the programme of work of the next biennium.</w:t>
      </w:r>
    </w:p>
    <w:p w:rsidR="00991FFC" w:rsidRDefault="00991FFC" w:rsidP="00D41905">
      <w:pPr>
        <w:pStyle w:val="H1G"/>
      </w:pPr>
      <w:r>
        <w:tab/>
        <w:t>G.</w:t>
      </w:r>
      <w:r>
        <w:tab/>
        <w:t>Use of the Manual of Tests and Criteria in the context of the GHS</w:t>
      </w:r>
    </w:p>
    <w:p w:rsidR="00991FFC" w:rsidRDefault="00991FFC" w:rsidP="00D41905">
      <w:pPr>
        <w:pStyle w:val="SingleTxtG"/>
        <w:ind w:left="3402" w:hanging="2268"/>
        <w:jc w:val="left"/>
      </w:pPr>
      <w:r>
        <w:rPr>
          <w:i/>
        </w:rPr>
        <w:t>Documents</w:t>
      </w:r>
      <w:r>
        <w:t>:</w:t>
      </w:r>
      <w:r>
        <w:tab/>
      </w:r>
      <w:r>
        <w:tab/>
        <w:t>ST/SG/AC.10/C.3/2016/83 (Chairman of the Working Group on Explosives)</w:t>
      </w:r>
    </w:p>
    <w:p w:rsidR="00991FFC" w:rsidRDefault="00991FFC" w:rsidP="00D41905">
      <w:pPr>
        <w:pStyle w:val="SingleTxtG"/>
        <w:jc w:val="left"/>
      </w:pPr>
      <w:r>
        <w:rPr>
          <w:i/>
        </w:rPr>
        <w:t>Informal documents:</w:t>
      </w:r>
      <w:r>
        <w:rPr>
          <w:i/>
        </w:rPr>
        <w:tab/>
      </w:r>
      <w:r>
        <w:rPr>
          <w:i/>
        </w:rPr>
        <w:tab/>
      </w:r>
      <w:r>
        <w:t xml:space="preserve">INF.7 and Adds. 1-5 (Chairman of the Working Group on </w:t>
      </w:r>
      <w:r>
        <w:tab/>
      </w:r>
      <w:r>
        <w:tab/>
      </w:r>
      <w:r>
        <w:tab/>
      </w:r>
      <w:r>
        <w:tab/>
        <w:t>Explosives)</w:t>
      </w:r>
      <w:r>
        <w:br/>
      </w:r>
      <w:r>
        <w:tab/>
      </w:r>
      <w:r>
        <w:tab/>
      </w:r>
      <w:r>
        <w:tab/>
      </w:r>
      <w:r>
        <w:tab/>
        <w:t>INF.14 (Germany)</w:t>
      </w:r>
      <w:r>
        <w:br/>
      </w:r>
      <w:r>
        <w:tab/>
      </w:r>
      <w:r>
        <w:tab/>
      </w:r>
      <w:r>
        <w:tab/>
      </w:r>
      <w:r>
        <w:tab/>
        <w:t>INF.17 (United States/Canada)</w:t>
      </w:r>
      <w:r>
        <w:br/>
      </w:r>
      <w:r>
        <w:tab/>
      </w:r>
      <w:r>
        <w:tab/>
      </w:r>
      <w:r>
        <w:tab/>
      </w:r>
      <w:r>
        <w:tab/>
        <w:t>INF.36 (Secretariat)</w:t>
      </w:r>
      <w:r>
        <w:br/>
      </w:r>
      <w:r>
        <w:tab/>
      </w:r>
      <w:r>
        <w:tab/>
      </w:r>
      <w:r>
        <w:tab/>
      </w:r>
      <w:r>
        <w:tab/>
        <w:t>INF.59 (Report of the Working Group on Explosives)</w:t>
      </w:r>
    </w:p>
    <w:p w:rsidR="006C38E1" w:rsidRDefault="006C38E1" w:rsidP="006C38E1">
      <w:pPr>
        <w:pStyle w:val="SingleTxtG"/>
      </w:pPr>
      <w:r>
        <w:t>89.</w:t>
      </w:r>
      <w:r>
        <w:tab/>
        <w:t>Regarding the use of the Manual of Tests and Criteria in the context of the GHS, the Sub-Committee noted that the Working Group had agreed only upon a number of amendments to the Manual concerning sections 11, 12, 13, 15, 16, 1</w:t>
      </w:r>
      <w:r w:rsidR="008008DF">
        <w:t>7 and 18 and appendices 5 and 6</w:t>
      </w:r>
      <w:r>
        <w:t xml:space="preserve"> and that this work would have to be pursued during the next biennium.</w:t>
      </w:r>
      <w:r w:rsidR="00503440">
        <w:t xml:space="preserve"> The Secretariat was requested to consolidate the amendments agreed upon by the Working Group in a document to be submitted at the next session.</w:t>
      </w:r>
    </w:p>
    <w:p w:rsidR="00737789" w:rsidRDefault="00CC7A4C">
      <w:pPr>
        <w:pStyle w:val="SingleTxtG"/>
      </w:pPr>
      <w:r>
        <w:t>90.</w:t>
      </w:r>
      <w:r>
        <w:tab/>
        <w:t xml:space="preserve">The Sub-Committee agreed that the amendments to 11.4.1.2.1 and to 13.6.1.3.2 proposed in ST/SG/AC.10/C.3/2016/83 should be treated as corrections and included in an erratum to the sixth revised edition of the Manual of Tests and Criteria, together with the corrections proposed by the Secretariat in informal document INF.36 (see annex </w:t>
      </w:r>
      <w:r w:rsidR="00503440">
        <w:t>II</w:t>
      </w:r>
      <w:r>
        <w:t>).</w:t>
      </w:r>
    </w:p>
    <w:p w:rsidR="007B786B" w:rsidRDefault="00387427" w:rsidP="00C07A6F">
      <w:pPr>
        <w:pStyle w:val="H1G"/>
      </w:pPr>
      <w:r>
        <w:lastRenderedPageBreak/>
        <w:tab/>
        <w:t>H.</w:t>
      </w:r>
      <w:r>
        <w:tab/>
        <w:t>Review of Chapter 2.1 of the GHS</w:t>
      </w:r>
    </w:p>
    <w:p w:rsidR="00387427" w:rsidRPr="00387427" w:rsidRDefault="00387427" w:rsidP="00C07A6F">
      <w:pPr>
        <w:pStyle w:val="SingleTxtG"/>
        <w:keepNext/>
        <w:keepLines/>
        <w:jc w:val="left"/>
      </w:pPr>
      <w:r>
        <w:rPr>
          <w:i/>
        </w:rPr>
        <w:t>Info</w:t>
      </w:r>
      <w:r w:rsidR="00687EB0">
        <w:rPr>
          <w:i/>
        </w:rPr>
        <w:t>r</w:t>
      </w:r>
      <w:r>
        <w:rPr>
          <w:i/>
        </w:rPr>
        <w:t>mal documents:</w:t>
      </w:r>
      <w:r>
        <w:tab/>
      </w:r>
      <w:r>
        <w:tab/>
        <w:t>INF.11 (Sweden)</w:t>
      </w:r>
      <w:r>
        <w:br/>
      </w:r>
      <w:r>
        <w:tab/>
      </w:r>
      <w:r>
        <w:tab/>
      </w:r>
      <w:r>
        <w:tab/>
      </w:r>
      <w:r>
        <w:tab/>
        <w:t>INF.18 (United States of America)</w:t>
      </w:r>
    </w:p>
    <w:p w:rsidR="006C38E1" w:rsidRDefault="006C38E1" w:rsidP="00C07A6F">
      <w:pPr>
        <w:pStyle w:val="SingleTxtG"/>
        <w:keepNext/>
        <w:keepLines/>
      </w:pPr>
      <w:r>
        <w:t>91.</w:t>
      </w:r>
      <w:r>
        <w:tab/>
        <w:t>The Sub-Committee noted also that work on the review of Chapter 2.1 of the GHS would have to be pursued during the next biennium. The Sub-Committee felt that the involvement of experts from sectors other than transport in the work of the Working group on Explosives was highly desirable and expressed the wish that more experts from other sectors would attend its sessions in future.</w:t>
      </w:r>
    </w:p>
    <w:p w:rsidR="00DB1AE2" w:rsidRDefault="00DB1AE2" w:rsidP="00D76FC8">
      <w:pPr>
        <w:pStyle w:val="H1G"/>
        <w:keepNext w:val="0"/>
        <w:keepLines w:val="0"/>
      </w:pPr>
      <w:r>
        <w:tab/>
        <w:t>I.</w:t>
      </w:r>
      <w:r>
        <w:tab/>
        <w:t>Miscellaneous</w:t>
      </w:r>
    </w:p>
    <w:p w:rsidR="00DB1AE2" w:rsidRDefault="00DB1AE2" w:rsidP="00D76FC8">
      <w:pPr>
        <w:pStyle w:val="H23G"/>
        <w:keepNext w:val="0"/>
        <w:keepLines w:val="0"/>
      </w:pPr>
      <w:r>
        <w:tab/>
      </w:r>
      <w:r>
        <w:tab/>
        <w:t>Corrections to the classification of flammable liquids</w:t>
      </w:r>
    </w:p>
    <w:p w:rsidR="00DB1AE2" w:rsidRPr="0050219B" w:rsidRDefault="00DB1AE2" w:rsidP="00D76FC8">
      <w:pPr>
        <w:pStyle w:val="SingleTxtG"/>
      </w:pPr>
      <w:r>
        <w:rPr>
          <w:i/>
        </w:rPr>
        <w:t>Document:</w:t>
      </w:r>
      <w:r>
        <w:rPr>
          <w:i/>
        </w:rPr>
        <w:tab/>
      </w:r>
      <w:r>
        <w:rPr>
          <w:i/>
        </w:rPr>
        <w:tab/>
      </w:r>
      <w:r>
        <w:rPr>
          <w:i/>
        </w:rPr>
        <w:tab/>
      </w:r>
      <w:r>
        <w:t>ST/SG/AC.10/C.3/2016/62 (Germany)</w:t>
      </w:r>
    </w:p>
    <w:p w:rsidR="00DB1AE2" w:rsidRDefault="00FE0C93" w:rsidP="00D76FC8">
      <w:pPr>
        <w:pStyle w:val="SingleTxtG"/>
      </w:pPr>
      <w:r>
        <w:t>92</w:t>
      </w:r>
      <w:r w:rsidR="00DB1AE2">
        <w:t>.</w:t>
      </w:r>
      <w:r w:rsidR="00DB1AE2">
        <w:tab/>
        <w:t>Some experts said that they had not had enough time to evaluate the downstream consequences of the corrections proposed by Germany. The Sub-Committee noted that the corrections were not intended to modify the current transport criteria, and if this were the case, had no objection to the corrections proposed if deemed relevant by the GHS Sub-Committee.</w:t>
      </w:r>
    </w:p>
    <w:p w:rsidR="00DB1AE2" w:rsidRDefault="00DB1AE2" w:rsidP="00D76FC8">
      <w:pPr>
        <w:pStyle w:val="HChG"/>
        <w:keepNext w:val="0"/>
        <w:keepLines w:val="0"/>
      </w:pPr>
      <w:r>
        <w:tab/>
        <w:t xml:space="preserve">IX. </w:t>
      </w:r>
      <w:r>
        <w:tab/>
        <w:t xml:space="preserve">Programme of work </w:t>
      </w:r>
      <w:r w:rsidRPr="002414BC">
        <w:t>for</w:t>
      </w:r>
      <w:r>
        <w:t xml:space="preserve"> the biennium 2017-2018</w:t>
      </w:r>
      <w:r w:rsidR="007E3FCA">
        <w:t xml:space="preserve"> (agenda item 8)</w:t>
      </w:r>
    </w:p>
    <w:p w:rsidR="00DB1AE2" w:rsidRDefault="007E3FCA" w:rsidP="00D76FC8">
      <w:pPr>
        <w:pStyle w:val="H1G"/>
        <w:keepNext w:val="0"/>
        <w:keepLines w:val="0"/>
      </w:pPr>
      <w:r>
        <w:tab/>
      </w:r>
      <w:r w:rsidR="00DB1AE2">
        <w:t xml:space="preserve">A. </w:t>
      </w:r>
      <w:r w:rsidR="00DB1AE2">
        <w:tab/>
        <w:t>Outcome of the evaluation of the global and regional impact of UNECE regulations and United Nations Recommendations on the Transport of Dangerous Goods (2005-2014).</w:t>
      </w:r>
    </w:p>
    <w:p w:rsidR="00DB1AE2" w:rsidRDefault="00FE0C93" w:rsidP="00D76FC8">
      <w:pPr>
        <w:pStyle w:val="SingleTxtG"/>
      </w:pPr>
      <w:r>
        <w:t>93</w:t>
      </w:r>
      <w:r w:rsidR="00DB1AE2">
        <w:t>.</w:t>
      </w:r>
      <w:r w:rsidR="00DB1AE2">
        <w:tab/>
        <w:t xml:space="preserve">The Sub-Committee noted that the evaluation report referred to at the last session (ST/SG/AC.10/C.3/98, paragraph 40 and informal document INF.74 of the </w:t>
      </w:r>
      <w:r>
        <w:t xml:space="preserve">forty-ninth </w:t>
      </w:r>
      <w:r w:rsidR="00DB1AE2">
        <w:t>session) had been made available on the UNECE website</w:t>
      </w:r>
      <w:r w:rsidR="007238F7" w:rsidRPr="007238F7">
        <w:rPr>
          <w:rStyle w:val="FootnoteReference"/>
          <w:sz w:val="20"/>
        </w:rPr>
        <w:footnoteReference w:id="3"/>
      </w:r>
      <w:r w:rsidR="00DB1AE2">
        <w:t xml:space="preserve"> together with a management response and a progress report on follow-up action to be undertaken.</w:t>
      </w:r>
    </w:p>
    <w:p w:rsidR="00DB1AE2" w:rsidRDefault="00FE0C93" w:rsidP="00D76FC8">
      <w:pPr>
        <w:pStyle w:val="SingleTxtG"/>
      </w:pPr>
      <w:r>
        <w:t>94</w:t>
      </w:r>
      <w:r w:rsidR="00DB1AE2">
        <w:t>.</w:t>
      </w:r>
      <w:r w:rsidR="00DB1AE2">
        <w:tab/>
        <w:t>The Sub-Committee noted that the report contained suggestions for items to be included in the programme of work in relation to cooperation with customs, dangerous goods in mail, the development of guidance for implementation and the development of guiding principles for modal regulations. However, the Sub-Committee considered that such items could be included in the programme of work only upon proposal by volunteering delegations committed to lead such work.</w:t>
      </w:r>
    </w:p>
    <w:p w:rsidR="00DB1AE2" w:rsidRDefault="00DB1AE2" w:rsidP="00D76FC8">
      <w:pPr>
        <w:pStyle w:val="H1G"/>
        <w:keepNext w:val="0"/>
        <w:keepLines w:val="0"/>
      </w:pPr>
      <w:r>
        <w:tab/>
        <w:t>B.</w:t>
      </w:r>
      <w:r>
        <w:tab/>
        <w:t>Development of a comprehensive risk-based system to classify lithium batteries and cells for transport</w:t>
      </w:r>
    </w:p>
    <w:p w:rsidR="00DB1AE2" w:rsidRPr="00BA3927" w:rsidRDefault="00DB1AE2" w:rsidP="00D76FC8">
      <w:pPr>
        <w:pStyle w:val="SingleTxtG"/>
      </w:pPr>
      <w:r>
        <w:rPr>
          <w:i/>
        </w:rPr>
        <w:t>Informal document:</w:t>
      </w:r>
      <w:r>
        <w:rPr>
          <w:i/>
        </w:rPr>
        <w:tab/>
      </w:r>
      <w:r>
        <w:rPr>
          <w:i/>
        </w:rPr>
        <w:tab/>
      </w:r>
      <w:r>
        <w:t>INF.60/Rev.1 (United States of America)</w:t>
      </w:r>
    </w:p>
    <w:p w:rsidR="00DB1AE2" w:rsidRDefault="00FE0C93" w:rsidP="00D76FC8">
      <w:pPr>
        <w:pStyle w:val="SingleTxtG"/>
      </w:pPr>
      <w:r>
        <w:t>95</w:t>
      </w:r>
      <w:r w:rsidR="00DB1AE2">
        <w:t>.</w:t>
      </w:r>
      <w:r w:rsidR="00DB1AE2">
        <w:tab/>
        <w:t xml:space="preserve">The Sub-Committee agreed to include this item in the programme of work on the understanding that the system would not be a risk-based system but </w:t>
      </w:r>
      <w:proofErr w:type="gramStart"/>
      <w:r w:rsidR="00DB1AE2">
        <w:t>an</w:t>
      </w:r>
      <w:proofErr w:type="gramEnd"/>
      <w:r w:rsidR="00DB1AE2">
        <w:t xml:space="preserve"> hazard-based </w:t>
      </w:r>
      <w:r w:rsidR="00DB1AE2">
        <w:lastRenderedPageBreak/>
        <w:t xml:space="preserve">system. The work would be carried out by the informal working group on lithium batteries under the chairmanship of the expert from France, and it could be expected that </w:t>
      </w:r>
      <w:r>
        <w:t xml:space="preserve">COSTHA, </w:t>
      </w:r>
      <w:r w:rsidR="00DB1AE2">
        <w:t>PRBA and RECHARGE would provide administrative support. At the first session, which the representative of ICAO offered to host, the group would look at all available data that can already be useful to analyse the effects produced by lithium batteries when they react, and would identify the additional data needed. It would also prepare a work plan that would be submitted to the Sub-Committee for approval at its next session.</w:t>
      </w:r>
    </w:p>
    <w:p w:rsidR="00FE0C93" w:rsidRDefault="00FE0C93" w:rsidP="00D41905">
      <w:pPr>
        <w:pStyle w:val="H1G"/>
      </w:pPr>
      <w:r>
        <w:tab/>
      </w:r>
      <w:r w:rsidR="006C38E1">
        <w:t>C.</w:t>
      </w:r>
      <w:r w:rsidR="006C38E1">
        <w:tab/>
      </w:r>
      <w:r w:rsidR="00DD30A6">
        <w:t>Stability tests for industrial nitrocellulose</w:t>
      </w:r>
    </w:p>
    <w:p w:rsidR="00DD30A6" w:rsidRDefault="00102C9D" w:rsidP="00D41905">
      <w:pPr>
        <w:pStyle w:val="SingleTxtG"/>
        <w:jc w:val="left"/>
      </w:pPr>
      <w:r>
        <w:rPr>
          <w:i/>
        </w:rPr>
        <w:t>Informal documents</w:t>
      </w:r>
      <w:r w:rsidR="00DD30A6">
        <w:t>:</w:t>
      </w:r>
      <w:r w:rsidR="00DD30A6">
        <w:tab/>
      </w:r>
      <w:r w:rsidR="00DD30A6">
        <w:tab/>
        <w:t>INF.39 (Germany)</w:t>
      </w:r>
      <w:r w:rsidR="00DD30A6">
        <w:br/>
      </w:r>
      <w:r w:rsidR="00DD30A6">
        <w:tab/>
      </w:r>
      <w:r w:rsidR="00DD30A6">
        <w:tab/>
      </w:r>
      <w:r w:rsidR="00DD30A6">
        <w:tab/>
      </w:r>
      <w:r w:rsidR="00DD30A6">
        <w:tab/>
        <w:t>INF.59 (Report of the Working Group on Explosives)</w:t>
      </w:r>
    </w:p>
    <w:p w:rsidR="00DD30A6" w:rsidRDefault="00DD30A6" w:rsidP="00D41905">
      <w:pPr>
        <w:pStyle w:val="SingleTxtG"/>
        <w:jc w:val="left"/>
      </w:pPr>
      <w:r>
        <w:t>96.</w:t>
      </w:r>
      <w:r>
        <w:tab/>
        <w:t>The Sub-Committee agreed that the question of stability tests for industrial nitrocellulose should be included in the programme or work of the next biennium.</w:t>
      </w:r>
    </w:p>
    <w:p w:rsidR="00DD30A6" w:rsidRDefault="00C0068A" w:rsidP="00D41905">
      <w:pPr>
        <w:pStyle w:val="H1G"/>
      </w:pPr>
      <w:r>
        <w:tab/>
        <w:t>D.</w:t>
      </w:r>
      <w:r>
        <w:tab/>
        <w:t>Working Group on Explosives</w:t>
      </w:r>
    </w:p>
    <w:p w:rsidR="00C0068A" w:rsidRDefault="00C0068A">
      <w:pPr>
        <w:pStyle w:val="SingleTxtG"/>
      </w:pPr>
      <w:r>
        <w:t>97.</w:t>
      </w:r>
      <w:r>
        <w:tab/>
      </w:r>
      <w:r w:rsidR="00F83E8D">
        <w:t>The Sub-Committee agreed that the Working Group should meet again four times during the next biennium under the Chairmanship of Mr. E de Jong (Netherlands).</w:t>
      </w:r>
    </w:p>
    <w:p w:rsidR="00DB1AE2" w:rsidRDefault="00DB1AE2" w:rsidP="00D76FC8">
      <w:pPr>
        <w:pStyle w:val="H1G"/>
        <w:keepNext w:val="0"/>
        <w:keepLines w:val="0"/>
      </w:pPr>
      <w:r>
        <w:tab/>
      </w:r>
      <w:r w:rsidR="00F83E8D">
        <w:t>E</w:t>
      </w:r>
      <w:r>
        <w:t>.</w:t>
      </w:r>
      <w:r>
        <w:tab/>
        <w:t>Consolidated programme of work for 2017-2018</w:t>
      </w:r>
    </w:p>
    <w:p w:rsidR="00DB1AE2" w:rsidRDefault="00AB6B99" w:rsidP="00D76FC8">
      <w:pPr>
        <w:pStyle w:val="SingleTxtG"/>
      </w:pPr>
      <w:r>
        <w:t>98</w:t>
      </w:r>
      <w:r w:rsidR="00DB1AE2">
        <w:t>.</w:t>
      </w:r>
      <w:r w:rsidR="00DB1AE2">
        <w:tab/>
        <w:t xml:space="preserve">On the basis of the proposals discussed and approved under the various agenda items for this session, the Sub-Committee agreed to include the following items in its work programme for 2017-2018: </w:t>
      </w:r>
    </w:p>
    <w:p w:rsidR="00AB6B99" w:rsidRPr="003219F0" w:rsidRDefault="00AB6B99" w:rsidP="00AB6B99">
      <w:pPr>
        <w:pStyle w:val="SingleTxtG"/>
        <w:ind w:firstLine="567"/>
      </w:pPr>
      <w:r w:rsidRPr="003219F0">
        <w:t>(a)</w:t>
      </w:r>
      <w:r w:rsidRPr="003219F0">
        <w:tab/>
        <w:t>Explosives and related matters (including amendments to the list of dangerous goods</w:t>
      </w:r>
      <w:r>
        <w:t>, electronic detonators;</w:t>
      </w:r>
      <w:r w:rsidRPr="003219F0">
        <w:t xml:space="preserve"> review of test series 6; review of tests in parts I</w:t>
      </w:r>
      <w:r>
        <w:t>, II and III</w:t>
      </w:r>
      <w:r w:rsidRPr="003219F0">
        <w:t xml:space="preserve"> of th</w:t>
      </w:r>
      <w:r>
        <w:t>e Manual of Tests and Criteria (including UN standard detonator, minimum burning pressure (MBP) tests as a possible alternate or replacement for the 8(c) and/or the 8(d) tests);</w:t>
      </w:r>
      <w:r w:rsidRPr="003219F0">
        <w:t xml:space="preserve"> </w:t>
      </w:r>
      <w:r>
        <w:t xml:space="preserve">guidance for application of Test Series 3 and 4; </w:t>
      </w:r>
      <w:r w:rsidRPr="003219F0">
        <w:t>review of packing instructions for explosives</w:t>
      </w:r>
      <w:r>
        <w:t>; stability tests for industrial nitrocellulose; application of security provisions to explosives N.O.S.; classification of articles under UN 0349; test N.1 for readily combustible solids; and review of Chapter 2.1 of the GHS</w:t>
      </w:r>
      <w:r w:rsidRPr="003219F0">
        <w:t>);</w:t>
      </w:r>
    </w:p>
    <w:p w:rsidR="00AB6B99" w:rsidRPr="003219F0" w:rsidRDefault="00AB6B99" w:rsidP="00AB6B99">
      <w:pPr>
        <w:pStyle w:val="SingleTxtG"/>
        <w:ind w:firstLine="567"/>
      </w:pPr>
      <w:r w:rsidRPr="003219F0">
        <w:t>(b)</w:t>
      </w:r>
      <w:r w:rsidRPr="003219F0">
        <w:tab/>
        <w:t>Listing, classification and packing (including amendments to the list of dangerous goods</w:t>
      </w:r>
      <w:r>
        <w:t xml:space="preserve"> and packing instructions, toxicity of UN Nos. 2248, 2264 and 2357, polymerizing substances, seed cake, category A infectious waste)</w:t>
      </w:r>
      <w:r w:rsidRPr="003219F0">
        <w:t xml:space="preserve">; </w:t>
      </w:r>
    </w:p>
    <w:p w:rsidR="00AB6B99" w:rsidRPr="003219F0" w:rsidRDefault="00AB6B99" w:rsidP="00AB6B99">
      <w:pPr>
        <w:pStyle w:val="SingleTxtG"/>
        <w:ind w:firstLine="567"/>
      </w:pPr>
      <w:r w:rsidRPr="003219F0">
        <w:t>(c)</w:t>
      </w:r>
      <w:r w:rsidRPr="003219F0">
        <w:tab/>
        <w:t>Electric storage systems (including testing of lithium batteries</w:t>
      </w:r>
      <w:r>
        <w:t>; hazard-based system for classification of lithium batteries; transport provisions; damaged or defective lithium batteries; and sodium-ion batteries</w:t>
      </w:r>
      <w:r w:rsidRPr="003219F0">
        <w:t>);</w:t>
      </w:r>
    </w:p>
    <w:p w:rsidR="00AB6B99" w:rsidRPr="003219F0" w:rsidRDefault="00AB6B99" w:rsidP="00AB6B99">
      <w:pPr>
        <w:pStyle w:val="SingleTxtG"/>
        <w:ind w:firstLine="567"/>
      </w:pPr>
      <w:r w:rsidRPr="003219F0">
        <w:t>(d)</w:t>
      </w:r>
      <w:r>
        <w:tab/>
      </w:r>
      <w:r w:rsidRPr="003219F0">
        <w:t>Transport of gases (including global recognition of UN and non-UN pressure receptacles);</w:t>
      </w:r>
    </w:p>
    <w:p w:rsidR="00AB6B99" w:rsidRPr="003219F0" w:rsidRDefault="00AB6B99" w:rsidP="00AB6B99">
      <w:pPr>
        <w:pStyle w:val="SingleTxtG"/>
        <w:ind w:firstLine="567"/>
      </w:pPr>
      <w:r>
        <w:t>(e</w:t>
      </w:r>
      <w:r w:rsidRPr="003219F0">
        <w:t>)</w:t>
      </w:r>
      <w:r w:rsidRPr="003219F0">
        <w:tab/>
        <w:t>Miscellaneous pr</w:t>
      </w:r>
      <w:r>
        <w:t xml:space="preserve">oposals of amendments to the </w:t>
      </w:r>
      <w:r w:rsidRPr="003219F0">
        <w:t>Model Regulations (</w:t>
      </w:r>
      <w:proofErr w:type="gramStart"/>
      <w:r w:rsidRPr="003219F0">
        <w:t>including  marking</w:t>
      </w:r>
      <w:proofErr w:type="gramEnd"/>
      <w:r w:rsidRPr="003219F0">
        <w:t xml:space="preserve"> and labelling issues; packaging issues; tank issues);</w:t>
      </w:r>
    </w:p>
    <w:p w:rsidR="00AB6B99" w:rsidRPr="003219F0" w:rsidRDefault="00AB6B99" w:rsidP="00AB6B99">
      <w:pPr>
        <w:pStyle w:val="SingleTxtG"/>
        <w:ind w:firstLine="567"/>
      </w:pPr>
      <w:r w:rsidRPr="003219F0">
        <w:t>(f)</w:t>
      </w:r>
      <w:r w:rsidRPr="003219F0">
        <w:tab/>
        <w:t xml:space="preserve">Cooperation with </w:t>
      </w:r>
      <w:proofErr w:type="gramStart"/>
      <w:r w:rsidRPr="003219F0">
        <w:t>IAEA ;</w:t>
      </w:r>
      <w:proofErr w:type="gramEnd"/>
    </w:p>
    <w:p w:rsidR="00AB6B99" w:rsidRPr="003219F0" w:rsidRDefault="00AB6B99" w:rsidP="00AB6B99">
      <w:pPr>
        <w:pStyle w:val="SingleTxtG"/>
        <w:ind w:firstLine="567"/>
      </w:pPr>
      <w:r w:rsidRPr="003219F0">
        <w:t>(g)</w:t>
      </w:r>
      <w:r w:rsidRPr="003219F0">
        <w:tab/>
        <w:t>Global harmonization of transport of dangerou</w:t>
      </w:r>
      <w:r>
        <w:t xml:space="preserve">s goods regulations with the </w:t>
      </w:r>
      <w:r w:rsidRPr="003219F0">
        <w:t>Model Regulations;</w:t>
      </w:r>
    </w:p>
    <w:p w:rsidR="00AB6B99" w:rsidRPr="003219F0" w:rsidRDefault="00AB6B99" w:rsidP="00AB6B99">
      <w:pPr>
        <w:pStyle w:val="SingleTxtG"/>
        <w:ind w:firstLine="567"/>
      </w:pPr>
      <w:r w:rsidRPr="003219F0">
        <w:t>(h)</w:t>
      </w:r>
      <w:r w:rsidRPr="003219F0">
        <w:tab/>
        <w:t>Guiding principles for the Model Regulations (updating</w:t>
      </w:r>
      <w:proofErr w:type="gramStart"/>
      <w:r>
        <w:t xml:space="preserve">) </w:t>
      </w:r>
      <w:r w:rsidRPr="003219F0">
        <w:t>;</w:t>
      </w:r>
      <w:proofErr w:type="gramEnd"/>
    </w:p>
    <w:p w:rsidR="00AB6B99" w:rsidRDefault="00AB6B99" w:rsidP="00102C9D">
      <w:pPr>
        <w:pStyle w:val="SingleTxtG"/>
        <w:ind w:firstLine="567"/>
      </w:pPr>
      <w:r w:rsidRPr="003219F0">
        <w:lastRenderedPageBreak/>
        <w:t>(</w:t>
      </w:r>
      <w:proofErr w:type="spellStart"/>
      <w:r w:rsidRPr="003219F0">
        <w:t>i</w:t>
      </w:r>
      <w:proofErr w:type="spellEnd"/>
      <w:r w:rsidRPr="003219F0">
        <w:t>)</w:t>
      </w:r>
      <w:r w:rsidRPr="003219F0">
        <w:tab/>
        <w:t xml:space="preserve">Issues relating to the GHS (including </w:t>
      </w:r>
      <w:r>
        <w:t xml:space="preserve"> </w:t>
      </w:r>
      <w:r w:rsidRPr="003219F0">
        <w:t xml:space="preserve">criteria for water-reactivity; </w:t>
      </w:r>
      <w:r>
        <w:t xml:space="preserve">testing of </w:t>
      </w:r>
      <w:r w:rsidRPr="003219F0">
        <w:t>oxidizing</w:t>
      </w:r>
      <w:r>
        <w:t xml:space="preserve"> substances</w:t>
      </w:r>
      <w:r w:rsidRPr="003219F0">
        <w:t>;</w:t>
      </w:r>
      <w:r>
        <w:t xml:space="preserve"> </w:t>
      </w:r>
      <w:r w:rsidRPr="003219F0">
        <w:t xml:space="preserve"> </w:t>
      </w:r>
      <w:r>
        <w:t>references to OECD Guidelines; use of the Manual of Tests and Criteria in the context of GHS).</w:t>
      </w:r>
    </w:p>
    <w:p w:rsidR="00DB1AE2" w:rsidRDefault="00DB1AE2" w:rsidP="00D76FC8">
      <w:pPr>
        <w:pStyle w:val="HChG"/>
        <w:keepNext w:val="0"/>
        <w:keepLines w:val="0"/>
      </w:pPr>
      <w:r>
        <w:tab/>
        <w:t>X.</w:t>
      </w:r>
      <w:r>
        <w:tab/>
        <w:t>Draft resolution 2017/… of the Economic and Social Council (agenda item 9)</w:t>
      </w:r>
    </w:p>
    <w:p w:rsidR="00DB1AE2" w:rsidRDefault="00DB1AE2" w:rsidP="00D76FC8">
      <w:pPr>
        <w:pStyle w:val="SingleTxtG"/>
        <w:jc w:val="left"/>
      </w:pPr>
      <w:r w:rsidRPr="00FE0F6C">
        <w:rPr>
          <w:i/>
        </w:rPr>
        <w:t>Informal document</w:t>
      </w:r>
      <w:r>
        <w:t>:</w:t>
      </w:r>
      <w:r>
        <w:tab/>
      </w:r>
      <w:r>
        <w:tab/>
        <w:t>INF.21 (consolidated draft resolution) (Secretariat)</w:t>
      </w:r>
    </w:p>
    <w:p w:rsidR="00DB1AE2" w:rsidRDefault="00DB1AE2" w:rsidP="00D76FC8">
      <w:pPr>
        <w:pStyle w:val="SingleTxtG"/>
      </w:pPr>
      <w:r>
        <w:t>9</w:t>
      </w:r>
      <w:r w:rsidR="00AB6B99">
        <w:t>9</w:t>
      </w:r>
      <w:r>
        <w:t>.</w:t>
      </w:r>
      <w:r>
        <w:tab/>
        <w:t>The Sub-Committee adopted, without any objection, part A of the proposal draft resolution, on the understanding that</w:t>
      </w:r>
      <w:r w:rsidR="00102C9D">
        <w:t>, for the Manual of Tests and Criteria,</w:t>
      </w:r>
      <w:r w:rsidR="00306CD5">
        <w:t xml:space="preserve"> only the amendments </w:t>
      </w:r>
      <w:r>
        <w:t xml:space="preserve">would need to be published </w:t>
      </w:r>
      <w:r w:rsidR="00102C9D">
        <w:t>and that the publication of a full revised edition was not necessary</w:t>
      </w:r>
      <w:r>
        <w:t>.</w:t>
      </w:r>
    </w:p>
    <w:p w:rsidR="001A46F2" w:rsidRDefault="001A46F2" w:rsidP="00D76FC8">
      <w:pPr>
        <w:pStyle w:val="HChG"/>
        <w:keepNext w:val="0"/>
        <w:keepLines w:val="0"/>
      </w:pPr>
      <w:r>
        <w:tab/>
        <w:t>XI.</w:t>
      </w:r>
      <w:r>
        <w:tab/>
        <w:t>Election of officers for the biennium 2017-2018 (agenda item 10)</w:t>
      </w:r>
    </w:p>
    <w:p w:rsidR="001A46F2" w:rsidRDefault="00AB6B99" w:rsidP="00D76FC8">
      <w:pPr>
        <w:pStyle w:val="SingleTxtG"/>
      </w:pPr>
      <w:r>
        <w:t>100</w:t>
      </w:r>
      <w:r w:rsidR="001A46F2">
        <w:t>.</w:t>
      </w:r>
      <w:r w:rsidR="001A46F2">
        <w:tab/>
        <w:t xml:space="preserve">Mr. D. </w:t>
      </w:r>
      <w:proofErr w:type="spellStart"/>
      <w:r w:rsidR="001A46F2">
        <w:t>Pfund</w:t>
      </w:r>
      <w:proofErr w:type="spellEnd"/>
      <w:r w:rsidR="001A46F2">
        <w:t xml:space="preserve"> (United States of America) and Mr. C. </w:t>
      </w:r>
      <w:proofErr w:type="spellStart"/>
      <w:r w:rsidR="001A46F2">
        <w:t>Pfauvadel</w:t>
      </w:r>
      <w:proofErr w:type="spellEnd"/>
      <w:r w:rsidR="001A46F2">
        <w:t xml:space="preserve"> (France) were re-elected respectively Chairman and Vice-Chairman of the Sub-Committee for the biennium 2017-2018, by acclamation.</w:t>
      </w:r>
    </w:p>
    <w:p w:rsidR="00031EFA" w:rsidRDefault="00031EFA" w:rsidP="00D76FC8">
      <w:pPr>
        <w:pStyle w:val="HChG"/>
        <w:keepNext w:val="0"/>
        <w:keepLines w:val="0"/>
      </w:pPr>
      <w:r>
        <w:tab/>
        <w:t>XII.</w:t>
      </w:r>
      <w:r>
        <w:tab/>
        <w:t>Other business (agenda item 11)</w:t>
      </w:r>
    </w:p>
    <w:p w:rsidR="00031EFA" w:rsidRDefault="00031EFA" w:rsidP="00D76FC8">
      <w:pPr>
        <w:pStyle w:val="H1G"/>
        <w:keepNext w:val="0"/>
        <w:keepLines w:val="0"/>
      </w:pPr>
      <w:r>
        <w:tab/>
        <w:t>A.</w:t>
      </w:r>
      <w:r>
        <w:tab/>
        <w:t>Application for consultative status</w:t>
      </w:r>
      <w:r w:rsidR="0012563D">
        <w:t xml:space="preserve"> by the Medical Device Battery T</w:t>
      </w:r>
      <w:r>
        <w:t>ransport Council (MDBTC)</w:t>
      </w:r>
    </w:p>
    <w:p w:rsidR="00031EFA" w:rsidRDefault="00031EFA" w:rsidP="00D76FC8">
      <w:pPr>
        <w:pStyle w:val="SingleTxtG"/>
      </w:pPr>
      <w:r w:rsidRPr="0050219B">
        <w:rPr>
          <w:i/>
        </w:rPr>
        <w:t>Informal document</w:t>
      </w:r>
      <w:r>
        <w:t>:</w:t>
      </w:r>
      <w:r>
        <w:tab/>
      </w:r>
      <w:r>
        <w:tab/>
        <w:t>INF.8 (MDBTC)</w:t>
      </w:r>
    </w:p>
    <w:p w:rsidR="00031EFA" w:rsidRDefault="00AB6B99" w:rsidP="00D76FC8">
      <w:pPr>
        <w:pStyle w:val="SingleTxtG"/>
      </w:pPr>
      <w:r>
        <w:t>101</w:t>
      </w:r>
      <w:r w:rsidR="00031EFA">
        <w:t>.</w:t>
      </w:r>
      <w:r w:rsidR="00031EFA">
        <w:tab/>
        <w:t xml:space="preserve">The Sub-Committee decided, by majority vote, to grant consultative status to MDBTC in order to allow this organization to participate in discussions within its area of competence. MDBTC was invited to provide relevant data in order to contribute to future work on the development of a new comprehensive </w:t>
      </w:r>
      <w:r>
        <w:t xml:space="preserve">hazard </w:t>
      </w:r>
      <w:r w:rsidR="00031EFA">
        <w:t>based system to classify lithium batteries and cells for transport.</w:t>
      </w:r>
    </w:p>
    <w:p w:rsidR="00031EFA" w:rsidRDefault="00031EFA" w:rsidP="00D76FC8">
      <w:pPr>
        <w:pStyle w:val="H1G"/>
        <w:keepNext w:val="0"/>
        <w:keepLines w:val="0"/>
      </w:pPr>
      <w:r>
        <w:tab/>
        <w:t>B.</w:t>
      </w:r>
      <w:r>
        <w:tab/>
        <w:t xml:space="preserve">Tribute to Mr. P. van </w:t>
      </w:r>
      <w:proofErr w:type="spellStart"/>
      <w:r>
        <w:t>Lancker</w:t>
      </w:r>
      <w:proofErr w:type="spellEnd"/>
      <w:r>
        <w:t xml:space="preserve"> (Belgium)</w:t>
      </w:r>
    </w:p>
    <w:p w:rsidR="00031EFA" w:rsidRDefault="00AB6B99" w:rsidP="00D76FC8">
      <w:pPr>
        <w:pStyle w:val="SingleTxtG"/>
      </w:pPr>
      <w:r>
        <w:t>10</w:t>
      </w:r>
      <w:r w:rsidR="00031EFA">
        <w:t>2.</w:t>
      </w:r>
      <w:r w:rsidR="00031EFA">
        <w:tab/>
        <w:t>The Sub-Committee was informed that Mr</w:t>
      </w:r>
      <w:r w:rsidR="0012563D">
        <w:t>.</w:t>
      </w:r>
      <w:r w:rsidR="00031EFA">
        <w:t xml:space="preserve"> P. van </w:t>
      </w:r>
      <w:proofErr w:type="spellStart"/>
      <w:r w:rsidR="00031EFA">
        <w:t>Lancker</w:t>
      </w:r>
      <w:proofErr w:type="spellEnd"/>
      <w:r w:rsidR="00031EFA">
        <w:t xml:space="preserve">, who had served on the Sub-Committee as the </w:t>
      </w:r>
      <w:r>
        <w:t xml:space="preserve">observer </w:t>
      </w:r>
      <w:r w:rsidR="00031EFA">
        <w:t xml:space="preserve">from Belgium </w:t>
      </w:r>
      <w:r>
        <w:t>from 1989 to 1992, and then, once Belgium got the status of full member, as</w:t>
      </w:r>
      <w:r w:rsidR="006C6A18">
        <w:t xml:space="preserve"> expert from Belgium since 1993</w:t>
      </w:r>
      <w:r w:rsidR="00102C9D">
        <w:t>,</w:t>
      </w:r>
      <w:r w:rsidR="00031EFA">
        <w:t xml:space="preserve"> was attending a session of the Sub-Committee for the last time since he would be retiring soon. Mr. P. van </w:t>
      </w:r>
      <w:proofErr w:type="spellStart"/>
      <w:r w:rsidR="00031EFA">
        <w:t>Lancker</w:t>
      </w:r>
      <w:proofErr w:type="spellEnd"/>
      <w:r w:rsidR="00031EFA">
        <w:t xml:space="preserve"> had also represented Belgium at IMO meetings dealing with dangerous goods, solid bulk cargoes and liquid bulk chemicals, for many years and he had notably chaired the IMO Editorial and Technical Group. The Sub-Committed thanked him warmly for his outstanding contribution to the safe transport of dangerous goods and wished him a long and happy retirement.</w:t>
      </w:r>
    </w:p>
    <w:p w:rsidR="00031EFA" w:rsidRPr="00FE0F6C" w:rsidRDefault="00F370EB" w:rsidP="00C65835">
      <w:pPr>
        <w:pStyle w:val="H1G"/>
      </w:pPr>
      <w:r>
        <w:lastRenderedPageBreak/>
        <w:tab/>
      </w:r>
      <w:r w:rsidR="00C04983">
        <w:t>C.</w:t>
      </w:r>
      <w:r w:rsidR="00031EFA">
        <w:tab/>
        <w:t>Condolences</w:t>
      </w:r>
    </w:p>
    <w:p w:rsidR="00031EFA" w:rsidRDefault="008B1932" w:rsidP="00D76FC8">
      <w:pPr>
        <w:pStyle w:val="SingleTxtG"/>
      </w:pPr>
      <w:r>
        <w:t>103</w:t>
      </w:r>
      <w:r w:rsidR="00031EFA">
        <w:t>.</w:t>
      </w:r>
      <w:r w:rsidR="00031EFA">
        <w:tab/>
        <w:t>The Sub-Committee learnt with great sadness that Mr</w:t>
      </w:r>
      <w:r w:rsidR="00102C9D">
        <w:t>.</w:t>
      </w:r>
      <w:r w:rsidR="00031EFA">
        <w:t xml:space="preserve"> John </w:t>
      </w:r>
      <w:proofErr w:type="spellStart"/>
      <w:r w:rsidR="00031EFA">
        <w:t>Monteith</w:t>
      </w:r>
      <w:proofErr w:type="spellEnd"/>
      <w:r w:rsidR="00031EFA">
        <w:t>, former expert from Canada and Vice-Chair of the Sub-Committee from 1988 to 1996 had passed away. The Chairman expressed condolences to the delegation of Canada on behalf of the Sub-Committee and invited it to convey them to the family.</w:t>
      </w:r>
    </w:p>
    <w:p w:rsidR="00031EFA" w:rsidRDefault="00031EFA" w:rsidP="00D76FC8">
      <w:pPr>
        <w:pStyle w:val="HChG"/>
        <w:keepNext w:val="0"/>
        <w:keepLines w:val="0"/>
      </w:pPr>
      <w:r>
        <w:tab/>
        <w:t>XIII.</w:t>
      </w:r>
      <w:r>
        <w:tab/>
        <w:t>Adoption of the report (agenda item 12)</w:t>
      </w:r>
    </w:p>
    <w:p w:rsidR="00031EFA" w:rsidRDefault="008B1932" w:rsidP="00D76FC8">
      <w:pPr>
        <w:pStyle w:val="SingleTxtG"/>
        <w:rPr>
          <w:i/>
        </w:rPr>
      </w:pPr>
      <w:r>
        <w:t>104</w:t>
      </w:r>
      <w:r w:rsidR="00031EFA">
        <w:t>.</w:t>
      </w:r>
      <w:r w:rsidR="00031EFA">
        <w:tab/>
        <w:t>The Sub-Committee adopted the report on its fiftieth session and its annexes on the basis of a draft prepared by the secretariat.</w:t>
      </w:r>
    </w:p>
    <w:p w:rsidR="00BC530C" w:rsidRDefault="00BC530C">
      <w:pPr>
        <w:suppressAutoHyphens w:val="0"/>
        <w:spacing w:line="240" w:lineRule="auto"/>
        <w:rPr>
          <w:i/>
          <w:u w:val="single"/>
        </w:rPr>
      </w:pPr>
      <w:r>
        <w:rPr>
          <w:i/>
          <w:u w:val="single"/>
        </w:rPr>
        <w:br w:type="page"/>
      </w:r>
    </w:p>
    <w:p w:rsidR="00031EFA" w:rsidRDefault="00BC530C" w:rsidP="00D41905">
      <w:pPr>
        <w:pStyle w:val="HChG"/>
      </w:pPr>
      <w:r>
        <w:lastRenderedPageBreak/>
        <w:t>Annex I</w:t>
      </w:r>
    </w:p>
    <w:p w:rsidR="00BC530C" w:rsidRPr="00D41905" w:rsidRDefault="00BC530C" w:rsidP="00D41905">
      <w:pPr>
        <w:pStyle w:val="HChG"/>
      </w:pPr>
      <w:r>
        <w:tab/>
      </w:r>
      <w:r>
        <w:tab/>
        <w:t>Draft amendments to the Recommendations on the Transport of Dangerous Goods, Model Regulations and Manual of tests and Criteria</w:t>
      </w:r>
    </w:p>
    <w:p w:rsidR="005C13D5" w:rsidRDefault="005C13D5" w:rsidP="005C13D5">
      <w:pPr>
        <w:pStyle w:val="SingleTxtG"/>
      </w:pPr>
      <w:r w:rsidRPr="007E0633">
        <w:t>The draft amendments adopted during the session were listed in</w:t>
      </w:r>
      <w:r>
        <w:t xml:space="preserve"> documents ST/SG/AC.10/C.3/2016/CRP.4 and Adds. </w:t>
      </w:r>
      <w:proofErr w:type="gramStart"/>
      <w:r>
        <w:t>1–5.</w:t>
      </w:r>
      <w:proofErr w:type="gramEnd"/>
    </w:p>
    <w:p w:rsidR="005C13D5" w:rsidRDefault="005C13D5" w:rsidP="005C13D5">
      <w:pPr>
        <w:pStyle w:val="SingleTxtG"/>
      </w:pPr>
      <w:r>
        <w:t>They were adopted with some minor corrections and transmitted to the Committee, which endorsed them, as corrected, at its eighth session (9 December 2016). The adopted texts may be found as annexes I and II to the Committee's report as follows:</w:t>
      </w:r>
    </w:p>
    <w:p w:rsidR="005C13D5" w:rsidRDefault="005C13D5" w:rsidP="005C13D5">
      <w:pPr>
        <w:pStyle w:val="Bullet1G"/>
      </w:pPr>
      <w:r>
        <w:t>Amendments to the Recommendations on the Transport of Dangerous Goods, Model Regulations: ST/SG/AC.10/44/Add.1;</w:t>
      </w:r>
    </w:p>
    <w:p w:rsidR="00031EFA" w:rsidRDefault="005C13D5" w:rsidP="00BA686A">
      <w:pPr>
        <w:pStyle w:val="Bullet1G"/>
      </w:pPr>
      <w:r>
        <w:t>Amendments to the Recommendations on the Transport of Dangerous Goods, Manual of Tests and Criteria:  ST/SG/AC.10/44/Add.2.</w:t>
      </w:r>
    </w:p>
    <w:p w:rsidR="00031EFA" w:rsidRDefault="00031EFA" w:rsidP="00D76FC8">
      <w:pPr>
        <w:pStyle w:val="SingleTxtG"/>
        <w:rPr>
          <w:i/>
        </w:rPr>
      </w:pPr>
    </w:p>
    <w:p w:rsidR="00A516EF" w:rsidRDefault="00A516EF">
      <w:pPr>
        <w:suppressAutoHyphens w:val="0"/>
        <w:spacing w:line="240" w:lineRule="auto"/>
        <w:rPr>
          <w:i/>
        </w:rPr>
      </w:pPr>
      <w:r>
        <w:rPr>
          <w:i/>
        </w:rPr>
        <w:br w:type="page"/>
      </w:r>
    </w:p>
    <w:p w:rsidR="00031EFA" w:rsidRDefault="00A516EF" w:rsidP="00D41905">
      <w:pPr>
        <w:pStyle w:val="HChG"/>
      </w:pPr>
      <w:r>
        <w:lastRenderedPageBreak/>
        <w:t>Annex II</w:t>
      </w:r>
    </w:p>
    <w:p w:rsidR="00A516EF" w:rsidRDefault="00A516EF" w:rsidP="00D41905">
      <w:pPr>
        <w:pStyle w:val="HChG"/>
      </w:pPr>
      <w:r>
        <w:tab/>
      </w:r>
      <w:r>
        <w:tab/>
        <w:t>Corrections to the</w:t>
      </w:r>
      <w:r w:rsidR="00064C5D">
        <w:t xml:space="preserve"> sixth revised edition of the</w:t>
      </w:r>
      <w:r>
        <w:t xml:space="preserve"> Recommendations on the Transport of Dangerous Goods, Manual of Tests and Criteria (ST/SG/AC.10/11/Rev.6)</w:t>
      </w:r>
    </w:p>
    <w:p w:rsidR="00A516EF" w:rsidRDefault="00A516EF" w:rsidP="00D41905"/>
    <w:p w:rsidR="00A516EF" w:rsidRDefault="00A516EF" w:rsidP="00D41905">
      <w:pPr>
        <w:pStyle w:val="HChG"/>
      </w:pPr>
      <w:r>
        <w:t>Annex III</w:t>
      </w:r>
    </w:p>
    <w:p w:rsidR="00A516EF" w:rsidRDefault="00A516EF" w:rsidP="00D41905">
      <w:pPr>
        <w:pStyle w:val="HChG"/>
      </w:pPr>
      <w:r>
        <w:tab/>
      </w:r>
      <w:r>
        <w:tab/>
        <w:t>Amendments to the Guiding Principles for the development of the Model Regulations</w:t>
      </w:r>
    </w:p>
    <w:p w:rsidR="00A516EF" w:rsidRDefault="00A516EF">
      <w:pPr>
        <w:pStyle w:val="SingleTxtG"/>
      </w:pPr>
    </w:p>
    <w:p w:rsidR="00A516EF" w:rsidRDefault="00A516EF" w:rsidP="00D41905">
      <w:pPr>
        <w:pStyle w:val="HChG"/>
      </w:pPr>
      <w:r>
        <w:t>Annex IV</w:t>
      </w:r>
    </w:p>
    <w:p w:rsidR="00A516EF" w:rsidRDefault="00A516EF" w:rsidP="00D41905">
      <w:pPr>
        <w:pStyle w:val="HChG"/>
      </w:pPr>
      <w:r>
        <w:tab/>
      </w:r>
      <w:r>
        <w:tab/>
        <w:t>Corrections to the nineteenth revised edition of the Recommendations on the Transport of Dangerous Goods, Model Regulations (ST/SG/AC.10/1/Rev.19)</w:t>
      </w:r>
    </w:p>
    <w:p w:rsidR="00A516EF" w:rsidRPr="00D41905" w:rsidRDefault="00A516EF" w:rsidP="00D41905">
      <w:pPr>
        <w:pStyle w:val="SingleTxtG"/>
        <w:spacing w:before="240" w:after="0"/>
        <w:jc w:val="center"/>
        <w:rPr>
          <w:u w:val="single"/>
        </w:rPr>
      </w:pPr>
      <w:r>
        <w:rPr>
          <w:u w:val="single"/>
        </w:rPr>
        <w:tab/>
      </w:r>
      <w:r>
        <w:rPr>
          <w:u w:val="single"/>
        </w:rPr>
        <w:tab/>
      </w:r>
      <w:r>
        <w:rPr>
          <w:u w:val="single"/>
        </w:rPr>
        <w:tab/>
      </w:r>
    </w:p>
    <w:p w:rsidR="00031EFA" w:rsidRPr="002F5DEB" w:rsidRDefault="00031EFA" w:rsidP="00031EFA">
      <w:pPr>
        <w:pStyle w:val="SingleTxtG"/>
      </w:pPr>
    </w:p>
    <w:sectPr w:rsidR="00031EFA" w:rsidRPr="002F5DEB" w:rsidSect="0020089A">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5C6" w:rsidRDefault="00E125C6"/>
  </w:endnote>
  <w:endnote w:type="continuationSeparator" w:id="0">
    <w:p w:rsidR="00E125C6" w:rsidRDefault="00E125C6"/>
  </w:endnote>
  <w:endnote w:type="continuationNotice" w:id="1">
    <w:p w:rsidR="00E125C6" w:rsidRDefault="00E125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5C6" w:rsidRPr="0063461B" w:rsidRDefault="00E125C6" w:rsidP="0063461B">
    <w:pPr>
      <w:pStyle w:val="Footer"/>
      <w:tabs>
        <w:tab w:val="right" w:pos="9638"/>
      </w:tabs>
    </w:pPr>
    <w:r w:rsidRPr="0063461B">
      <w:rPr>
        <w:b/>
        <w:sz w:val="18"/>
      </w:rPr>
      <w:fldChar w:fldCharType="begin"/>
    </w:r>
    <w:r w:rsidRPr="0063461B">
      <w:rPr>
        <w:b/>
        <w:sz w:val="18"/>
      </w:rPr>
      <w:instrText xml:space="preserve"> PAGE  \* MERGEFORMAT </w:instrText>
    </w:r>
    <w:r w:rsidRPr="0063461B">
      <w:rPr>
        <w:b/>
        <w:sz w:val="18"/>
      </w:rPr>
      <w:fldChar w:fldCharType="separate"/>
    </w:r>
    <w:r w:rsidR="000C19EA">
      <w:rPr>
        <w:b/>
        <w:noProof/>
        <w:sz w:val="18"/>
      </w:rPr>
      <w:t>4</w:t>
    </w:r>
    <w:r w:rsidRPr="0063461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5C6" w:rsidRPr="0063461B" w:rsidRDefault="00E125C6" w:rsidP="0063461B">
    <w:pPr>
      <w:pStyle w:val="Footer"/>
      <w:tabs>
        <w:tab w:val="right" w:pos="9638"/>
      </w:tabs>
      <w:rPr>
        <w:b/>
        <w:sz w:val="18"/>
      </w:rPr>
    </w:pPr>
    <w:r>
      <w:tab/>
    </w:r>
    <w:r w:rsidRPr="0063461B">
      <w:rPr>
        <w:b/>
        <w:sz w:val="18"/>
      </w:rPr>
      <w:fldChar w:fldCharType="begin"/>
    </w:r>
    <w:r w:rsidRPr="0063461B">
      <w:rPr>
        <w:b/>
        <w:sz w:val="18"/>
      </w:rPr>
      <w:instrText xml:space="preserve"> PAGE  \* MERGEFORMAT </w:instrText>
    </w:r>
    <w:r w:rsidRPr="0063461B">
      <w:rPr>
        <w:b/>
        <w:sz w:val="18"/>
      </w:rPr>
      <w:fldChar w:fldCharType="separate"/>
    </w:r>
    <w:r w:rsidR="000C19EA">
      <w:rPr>
        <w:b/>
        <w:noProof/>
        <w:sz w:val="18"/>
      </w:rPr>
      <w:t>3</w:t>
    </w:r>
    <w:r w:rsidRPr="0063461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6C6" w:rsidRPr="0063461B" w:rsidRDefault="001B56C6" w:rsidP="0063461B">
    <w:pPr>
      <w:pStyle w:val="Footer"/>
      <w:tabs>
        <w:tab w:val="right" w:pos="9638"/>
      </w:tabs>
    </w:pPr>
    <w:r w:rsidRPr="0063461B">
      <w:rPr>
        <w:b/>
        <w:sz w:val="18"/>
      </w:rPr>
      <w:fldChar w:fldCharType="begin"/>
    </w:r>
    <w:r w:rsidRPr="0063461B">
      <w:rPr>
        <w:b/>
        <w:sz w:val="18"/>
      </w:rPr>
      <w:instrText xml:space="preserve"> PAGE  \* MERGEFORMAT </w:instrText>
    </w:r>
    <w:r w:rsidRPr="0063461B">
      <w:rPr>
        <w:b/>
        <w:sz w:val="18"/>
      </w:rPr>
      <w:fldChar w:fldCharType="separate"/>
    </w:r>
    <w:r w:rsidR="000C19EA">
      <w:rPr>
        <w:b/>
        <w:noProof/>
        <w:sz w:val="18"/>
      </w:rPr>
      <w:t>24</w:t>
    </w:r>
    <w:r w:rsidRPr="0063461B">
      <w:rPr>
        <w:b/>
        <w:sz w:val="18"/>
      </w:rPr>
      <w:fldChar w:fldCharType="end"/>
    </w:r>
    <w:r>
      <w:rPr>
        <w:sz w:val="18"/>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8F7" w:rsidRPr="0063461B" w:rsidRDefault="007238F7" w:rsidP="0063461B">
    <w:pPr>
      <w:pStyle w:val="Footer"/>
      <w:tabs>
        <w:tab w:val="right" w:pos="9638"/>
      </w:tabs>
      <w:rPr>
        <w:b/>
        <w:sz w:val="18"/>
      </w:rPr>
    </w:pPr>
    <w:r>
      <w:tab/>
    </w:r>
    <w:r w:rsidRPr="0063461B">
      <w:rPr>
        <w:b/>
        <w:sz w:val="18"/>
      </w:rPr>
      <w:fldChar w:fldCharType="begin"/>
    </w:r>
    <w:r w:rsidRPr="0063461B">
      <w:rPr>
        <w:b/>
        <w:sz w:val="18"/>
      </w:rPr>
      <w:instrText xml:space="preserve"> PAGE  \* MERGEFORMAT </w:instrText>
    </w:r>
    <w:r w:rsidRPr="0063461B">
      <w:rPr>
        <w:b/>
        <w:sz w:val="18"/>
      </w:rPr>
      <w:fldChar w:fldCharType="separate"/>
    </w:r>
    <w:r w:rsidR="000C19EA">
      <w:rPr>
        <w:b/>
        <w:noProof/>
        <w:sz w:val="18"/>
      </w:rPr>
      <w:t>23</w:t>
    </w:r>
    <w:r w:rsidRPr="0063461B">
      <w:rPr>
        <w:b/>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187178"/>
      <w:docPartObj>
        <w:docPartGallery w:val="Page Numbers (Bottom of Page)"/>
        <w:docPartUnique/>
      </w:docPartObj>
    </w:sdtPr>
    <w:sdtEndPr>
      <w:rPr>
        <w:noProof/>
        <w:sz w:val="18"/>
        <w:szCs w:val="18"/>
      </w:rPr>
    </w:sdtEndPr>
    <w:sdtContent>
      <w:p w:rsidR="001B56C6" w:rsidRPr="001B56C6" w:rsidRDefault="001B56C6">
        <w:pPr>
          <w:pStyle w:val="Footer"/>
          <w:jc w:val="right"/>
          <w:rPr>
            <w:sz w:val="18"/>
            <w:szCs w:val="18"/>
          </w:rPr>
        </w:pPr>
        <w:r w:rsidRPr="001B56C6">
          <w:rPr>
            <w:sz w:val="18"/>
            <w:szCs w:val="18"/>
          </w:rPr>
          <w:fldChar w:fldCharType="begin"/>
        </w:r>
        <w:r w:rsidRPr="001B56C6">
          <w:rPr>
            <w:sz w:val="18"/>
            <w:szCs w:val="18"/>
          </w:rPr>
          <w:instrText xml:space="preserve"> PAGE   \* MERGEFORMAT </w:instrText>
        </w:r>
        <w:r w:rsidRPr="001B56C6">
          <w:rPr>
            <w:sz w:val="18"/>
            <w:szCs w:val="18"/>
          </w:rPr>
          <w:fldChar w:fldCharType="separate"/>
        </w:r>
        <w:r w:rsidR="000C19EA">
          <w:rPr>
            <w:noProof/>
            <w:sz w:val="18"/>
            <w:szCs w:val="18"/>
          </w:rPr>
          <w:t>5</w:t>
        </w:r>
        <w:r w:rsidRPr="001B56C6">
          <w:rPr>
            <w:noProof/>
            <w:sz w:val="18"/>
            <w:szCs w:val="18"/>
          </w:rPr>
          <w:fldChar w:fldCharType="end"/>
        </w:r>
      </w:p>
    </w:sdtContent>
  </w:sdt>
  <w:p w:rsidR="001B56C6" w:rsidRDefault="001B5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5C6" w:rsidRPr="000B175B" w:rsidRDefault="00E125C6" w:rsidP="000B175B">
      <w:pPr>
        <w:tabs>
          <w:tab w:val="right" w:pos="2155"/>
        </w:tabs>
        <w:spacing w:after="80"/>
        <w:ind w:left="680"/>
        <w:rPr>
          <w:u w:val="single"/>
        </w:rPr>
      </w:pPr>
      <w:r>
        <w:rPr>
          <w:u w:val="single"/>
        </w:rPr>
        <w:tab/>
      </w:r>
    </w:p>
  </w:footnote>
  <w:footnote w:type="continuationSeparator" w:id="0">
    <w:p w:rsidR="00E125C6" w:rsidRPr="00FC68B7" w:rsidRDefault="00E125C6" w:rsidP="00FC68B7">
      <w:pPr>
        <w:tabs>
          <w:tab w:val="left" w:pos="2155"/>
        </w:tabs>
        <w:spacing w:after="80"/>
        <w:ind w:left="680"/>
        <w:rPr>
          <w:u w:val="single"/>
        </w:rPr>
      </w:pPr>
      <w:r>
        <w:rPr>
          <w:u w:val="single"/>
        </w:rPr>
        <w:tab/>
      </w:r>
    </w:p>
  </w:footnote>
  <w:footnote w:type="continuationNotice" w:id="1">
    <w:p w:rsidR="00E125C6" w:rsidRDefault="00E125C6"/>
  </w:footnote>
  <w:footnote w:id="2">
    <w:p w:rsidR="00E125C6" w:rsidRDefault="00E125C6" w:rsidP="00CD2978">
      <w:pPr>
        <w:pStyle w:val="FootnoteText"/>
        <w:tabs>
          <w:tab w:val="left" w:pos="1418"/>
        </w:tabs>
        <w:ind w:firstLine="0"/>
      </w:pPr>
      <w:r>
        <w:rPr>
          <w:rStyle w:val="FootnoteReference"/>
        </w:rPr>
        <w:footnoteRef/>
      </w:r>
      <w:r>
        <w:t xml:space="preserve"> </w:t>
      </w:r>
      <w:r>
        <w:tab/>
        <w:t>For practical reasons, this annex has been published in an addendum to this report</w:t>
      </w:r>
    </w:p>
    <w:p w:rsidR="00E125C6" w:rsidRPr="00D41905" w:rsidRDefault="00E125C6" w:rsidP="00D41905">
      <w:pPr>
        <w:pStyle w:val="FootnoteText"/>
        <w:ind w:firstLine="0"/>
        <w:rPr>
          <w:lang w:val="fr-CH"/>
        </w:rPr>
      </w:pPr>
      <w:r>
        <w:t>(ST/SG/AC.10/C.3/100/Add.1).</w:t>
      </w:r>
    </w:p>
  </w:footnote>
  <w:footnote w:id="3">
    <w:p w:rsidR="007238F7" w:rsidRPr="007238F7" w:rsidRDefault="007238F7" w:rsidP="008A3251">
      <w:pPr>
        <w:pStyle w:val="FootnoteText"/>
        <w:tabs>
          <w:tab w:val="left" w:pos="1418"/>
        </w:tabs>
        <w:ind w:firstLine="0"/>
        <w:rPr>
          <w:lang w:val="fr-CH"/>
        </w:rPr>
      </w:pPr>
      <w:r w:rsidRPr="007238F7">
        <w:rPr>
          <w:rStyle w:val="FootnoteReference"/>
          <w:sz w:val="20"/>
        </w:rPr>
        <w:footnoteRef/>
      </w:r>
      <w:r>
        <w:t xml:space="preserve"> </w:t>
      </w:r>
      <w:r w:rsidR="008A3251">
        <w:tab/>
      </w:r>
      <w:r w:rsidRPr="00596FB0">
        <w:t>https://www.unece.org/info/open-unece/evaluation.html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5C6" w:rsidRPr="0063461B" w:rsidRDefault="00E125C6" w:rsidP="00F245A8">
    <w:pPr>
      <w:pStyle w:val="Header"/>
    </w:pPr>
    <w:r>
      <w:t>ST/SG/AC.10/C.3/100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5C6" w:rsidRPr="0063461B" w:rsidRDefault="00E125C6" w:rsidP="00F245A8">
    <w:pPr>
      <w:pStyle w:val="Header"/>
      <w:jc w:val="right"/>
    </w:pPr>
    <w:r>
      <w:t>ST/SG/AC.10/C.3/100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6C6" w:rsidRPr="0063461B" w:rsidRDefault="001B56C6" w:rsidP="00F245A8">
    <w:pPr>
      <w:pStyle w:val="Header"/>
    </w:pPr>
    <w:r>
      <w:t>ST/SG/AC.10/C.3/100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6C6" w:rsidRPr="0063461B" w:rsidRDefault="001B56C6" w:rsidP="00F245A8">
    <w:pPr>
      <w:pStyle w:val="Header"/>
      <w:jc w:val="right"/>
    </w:pPr>
    <w:r>
      <w:t>ST/SG/AC.10/C.3/100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8F7" w:rsidRPr="001B56C6" w:rsidRDefault="001B56C6" w:rsidP="001B56C6">
    <w:pPr>
      <w:pStyle w:val="Header"/>
      <w:pBdr>
        <w:bottom w:val="single" w:sz="4" w:space="1" w:color="auto"/>
      </w:pBdr>
      <w:rPr>
        <w:lang w:val="fr-CH"/>
      </w:rPr>
    </w:pPr>
    <w:r>
      <w:rPr>
        <w:lang w:val="fr-CH"/>
      </w:rPr>
      <w:t>ST/SG/AC.10/C.3/100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FFFFFFFF">
      <w:start w:val="1"/>
      <w:numFmt w:val="bullet"/>
      <w:lvlText w:val="•"/>
      <w:lvlJc w:val="left"/>
      <w:pPr>
        <w:tabs>
          <w:tab w:val="num" w:pos="1701"/>
        </w:tabs>
        <w:ind w:left="1701" w:hanging="17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086F32F5"/>
    <w:multiLevelType w:val="hybridMultilevel"/>
    <w:tmpl w:val="6B9EF0B2"/>
    <w:lvl w:ilvl="0" w:tplc="CEFAC75C">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08CE72D2"/>
    <w:multiLevelType w:val="singleLevel"/>
    <w:tmpl w:val="0409000F"/>
    <w:lvl w:ilvl="0">
      <w:start w:val="1"/>
      <w:numFmt w:val="decimal"/>
      <w:pStyle w:val="Heading1"/>
      <w:lvlText w:val="%1."/>
      <w:lvlJc w:val="left"/>
      <w:pPr>
        <w:tabs>
          <w:tab w:val="num" w:pos="360"/>
        </w:tabs>
        <w:ind w:left="360" w:hanging="360"/>
      </w:pPr>
    </w:lvl>
  </w:abstractNum>
  <w:abstractNum w:abstractNumId="5">
    <w:nsid w:val="0D773EB6"/>
    <w:multiLevelType w:val="hybridMultilevel"/>
    <w:tmpl w:val="54F23D58"/>
    <w:lvl w:ilvl="0" w:tplc="ED80CD6C">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nsid w:val="110F151D"/>
    <w:multiLevelType w:val="hybridMultilevel"/>
    <w:tmpl w:val="4A8C4DE8"/>
    <w:lvl w:ilvl="0" w:tplc="04090001">
      <w:start w:val="1"/>
      <w:numFmt w:val="bullet"/>
      <w:lvlText w:val=""/>
      <w:lvlJc w:val="left"/>
      <w:pPr>
        <w:ind w:left="2059" w:hanging="360"/>
      </w:pPr>
      <w:rPr>
        <w:rFonts w:ascii="Symbol" w:hAnsi="Symbol" w:hint="default"/>
      </w:rPr>
    </w:lvl>
    <w:lvl w:ilvl="1" w:tplc="04090003">
      <w:start w:val="1"/>
      <w:numFmt w:val="bullet"/>
      <w:lvlText w:val="o"/>
      <w:lvlJc w:val="left"/>
      <w:pPr>
        <w:ind w:left="2779" w:hanging="360"/>
      </w:pPr>
      <w:rPr>
        <w:rFonts w:ascii="Courier New" w:hAnsi="Courier New" w:cs="Courier New" w:hint="default"/>
      </w:rPr>
    </w:lvl>
    <w:lvl w:ilvl="2" w:tplc="04090005">
      <w:start w:val="1"/>
      <w:numFmt w:val="bullet"/>
      <w:lvlText w:val=""/>
      <w:lvlJc w:val="left"/>
      <w:pPr>
        <w:ind w:left="3499" w:hanging="360"/>
      </w:pPr>
      <w:rPr>
        <w:rFonts w:ascii="Wingdings" w:hAnsi="Wingdings" w:hint="default"/>
      </w:rPr>
    </w:lvl>
    <w:lvl w:ilvl="3" w:tplc="04090001">
      <w:start w:val="1"/>
      <w:numFmt w:val="bullet"/>
      <w:lvlText w:val=""/>
      <w:lvlJc w:val="left"/>
      <w:pPr>
        <w:ind w:left="4219" w:hanging="360"/>
      </w:pPr>
      <w:rPr>
        <w:rFonts w:ascii="Symbol" w:hAnsi="Symbol" w:hint="default"/>
      </w:rPr>
    </w:lvl>
    <w:lvl w:ilvl="4" w:tplc="04090003">
      <w:start w:val="1"/>
      <w:numFmt w:val="bullet"/>
      <w:lvlText w:val="o"/>
      <w:lvlJc w:val="left"/>
      <w:pPr>
        <w:ind w:left="4939" w:hanging="360"/>
      </w:pPr>
      <w:rPr>
        <w:rFonts w:ascii="Courier New" w:hAnsi="Courier New" w:cs="Courier New" w:hint="default"/>
      </w:rPr>
    </w:lvl>
    <w:lvl w:ilvl="5" w:tplc="04090005">
      <w:start w:val="1"/>
      <w:numFmt w:val="bullet"/>
      <w:lvlText w:val=""/>
      <w:lvlJc w:val="left"/>
      <w:pPr>
        <w:ind w:left="5659" w:hanging="360"/>
      </w:pPr>
      <w:rPr>
        <w:rFonts w:ascii="Wingdings" w:hAnsi="Wingdings" w:hint="default"/>
      </w:rPr>
    </w:lvl>
    <w:lvl w:ilvl="6" w:tplc="04090001">
      <w:start w:val="1"/>
      <w:numFmt w:val="bullet"/>
      <w:lvlText w:val=""/>
      <w:lvlJc w:val="left"/>
      <w:pPr>
        <w:ind w:left="6379" w:hanging="360"/>
      </w:pPr>
      <w:rPr>
        <w:rFonts w:ascii="Symbol" w:hAnsi="Symbol" w:hint="default"/>
      </w:rPr>
    </w:lvl>
    <w:lvl w:ilvl="7" w:tplc="04090003">
      <w:start w:val="1"/>
      <w:numFmt w:val="bullet"/>
      <w:lvlText w:val="o"/>
      <w:lvlJc w:val="left"/>
      <w:pPr>
        <w:ind w:left="7099" w:hanging="360"/>
      </w:pPr>
      <w:rPr>
        <w:rFonts w:ascii="Courier New" w:hAnsi="Courier New" w:cs="Courier New" w:hint="default"/>
      </w:rPr>
    </w:lvl>
    <w:lvl w:ilvl="8" w:tplc="04090005">
      <w:start w:val="1"/>
      <w:numFmt w:val="bullet"/>
      <w:lvlText w:val=""/>
      <w:lvlJc w:val="left"/>
      <w:pPr>
        <w:ind w:left="7819" w:hanging="360"/>
      </w:pPr>
      <w:rPr>
        <w:rFonts w:ascii="Wingdings" w:hAnsi="Wingdings" w:hint="default"/>
      </w:rPr>
    </w:lvl>
  </w:abstractNum>
  <w:abstractNum w:abstractNumId="7">
    <w:nsid w:val="124C2F1E"/>
    <w:multiLevelType w:val="hybridMultilevel"/>
    <w:tmpl w:val="44BAEB84"/>
    <w:lvl w:ilvl="0" w:tplc="0D2CCF96">
      <w:start w:val="1"/>
      <w:numFmt w:val="upperLetter"/>
      <w:lvlText w:val="%1."/>
      <w:lvlJc w:val="left"/>
      <w:pPr>
        <w:ind w:left="1488" w:hanging="36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8">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ACE7757"/>
    <w:multiLevelType w:val="hybridMultilevel"/>
    <w:tmpl w:val="CDEC7B26"/>
    <w:lvl w:ilvl="0" w:tplc="CEFAC75C">
      <w:start w:val="2"/>
      <w:numFmt w:val="upp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052C73"/>
    <w:multiLevelType w:val="hybridMultilevel"/>
    <w:tmpl w:val="B7EA3C38"/>
    <w:lvl w:ilvl="0" w:tplc="3E328E62">
      <w:start w:val="1"/>
      <w:numFmt w:val="decimal"/>
      <w:lvlText w:val="%1."/>
      <w:lvlJc w:val="left"/>
      <w:pPr>
        <w:ind w:left="1848" w:hanging="360"/>
      </w:pPr>
      <w:rPr>
        <w:rFonts w:hint="default"/>
      </w:rPr>
    </w:lvl>
    <w:lvl w:ilvl="1" w:tplc="08090019" w:tentative="1">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abstractNum w:abstractNumId="12">
    <w:nsid w:val="21D176E6"/>
    <w:multiLevelType w:val="hybridMultilevel"/>
    <w:tmpl w:val="942256A4"/>
    <w:lvl w:ilvl="0" w:tplc="E3F603A8">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3">
    <w:nsid w:val="23CF07EF"/>
    <w:multiLevelType w:val="hybridMultilevel"/>
    <w:tmpl w:val="0F3A6EF8"/>
    <w:lvl w:ilvl="0" w:tplc="040696B4">
      <w:start w:val="1"/>
      <w:numFmt w:val="upperLetter"/>
      <w:lvlText w:val="%1."/>
      <w:lvlJc w:val="left"/>
      <w:pPr>
        <w:ind w:left="1488" w:hanging="360"/>
      </w:pPr>
      <w:rPr>
        <w:rFonts w:hint="default"/>
      </w:rPr>
    </w:lvl>
    <w:lvl w:ilvl="1" w:tplc="08090019">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14">
    <w:nsid w:val="295D0E11"/>
    <w:multiLevelType w:val="hybridMultilevel"/>
    <w:tmpl w:val="28D285F0"/>
    <w:lvl w:ilvl="0" w:tplc="EB70DEDC">
      <w:start w:val="1"/>
      <w:numFmt w:val="upperLetter"/>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2B761032"/>
    <w:multiLevelType w:val="hybridMultilevel"/>
    <w:tmpl w:val="C7FCA27E"/>
    <w:lvl w:ilvl="0" w:tplc="B644ED36">
      <w:start w:val="1"/>
      <w:numFmt w:val="upperRoman"/>
      <w:lvlText w:val="%1."/>
      <w:lvlJc w:val="left"/>
      <w:pPr>
        <w:ind w:left="1284" w:hanging="72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16">
    <w:nsid w:val="2ECC0FC0"/>
    <w:multiLevelType w:val="multilevel"/>
    <w:tmpl w:val="8234A334"/>
    <w:lvl w:ilvl="0">
      <w:start w:val="8"/>
      <w:numFmt w:val="decimal"/>
      <w:lvlText w:val="%1."/>
      <w:lvlJc w:val="left"/>
      <w:pPr>
        <w:tabs>
          <w:tab w:val="num" w:pos="720"/>
        </w:tabs>
        <w:ind w:left="1138" w:firstLine="0"/>
      </w:pPr>
      <w:rPr>
        <w:rFonts w:hint="default"/>
      </w:rPr>
    </w:lvl>
    <w:lvl w:ilvl="1">
      <w:start w:val="1"/>
      <w:numFmt w:val="lowerLetter"/>
      <w:lvlText w:val="(%2)"/>
      <w:lvlJc w:val="left"/>
      <w:pPr>
        <w:tabs>
          <w:tab w:val="num" w:pos="720"/>
        </w:tabs>
        <w:ind w:left="1858" w:firstLine="0"/>
      </w:pPr>
      <w:rPr>
        <w:rFonts w:hint="default"/>
      </w:rPr>
    </w:lvl>
    <w:lvl w:ilvl="2">
      <w:start w:val="1"/>
      <w:numFmt w:val="lowerRoman"/>
      <w:lvlText w:val="%3."/>
      <w:lvlJc w:val="right"/>
      <w:pPr>
        <w:tabs>
          <w:tab w:val="num" w:pos="720"/>
        </w:tabs>
        <w:ind w:left="2578" w:firstLine="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8F160B"/>
    <w:multiLevelType w:val="hybridMultilevel"/>
    <w:tmpl w:val="CDEC7B26"/>
    <w:lvl w:ilvl="0" w:tplc="CEFAC75C">
      <w:start w:val="2"/>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nsid w:val="3BD800A5"/>
    <w:multiLevelType w:val="hybridMultilevel"/>
    <w:tmpl w:val="6B9EF0B2"/>
    <w:lvl w:ilvl="0" w:tplc="CEFAC75C">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nsid w:val="3D8312F8"/>
    <w:multiLevelType w:val="hybridMultilevel"/>
    <w:tmpl w:val="360CBB7E"/>
    <w:lvl w:ilvl="0" w:tplc="29D67A82">
      <w:start w:val="1"/>
      <w:numFmt w:val="decimal"/>
      <w:lvlText w:val="%1."/>
      <w:lvlJc w:val="left"/>
      <w:pPr>
        <w:ind w:left="1848" w:hanging="360"/>
      </w:pPr>
      <w:rPr>
        <w:rFonts w:hint="default"/>
      </w:rPr>
    </w:lvl>
    <w:lvl w:ilvl="1" w:tplc="08090019" w:tentative="1">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abstractNum w:abstractNumId="21">
    <w:nsid w:val="3EF62816"/>
    <w:multiLevelType w:val="hybridMultilevel"/>
    <w:tmpl w:val="BEB823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F4E5EB5"/>
    <w:multiLevelType w:val="hybridMultilevel"/>
    <w:tmpl w:val="74AA08CE"/>
    <w:lvl w:ilvl="0" w:tplc="9E128CB4">
      <w:start w:val="1"/>
      <w:numFmt w:val="upperLetter"/>
      <w:lvlText w:val="%1."/>
      <w:lvlJc w:val="left"/>
      <w:pPr>
        <w:ind w:left="1488" w:hanging="36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23">
    <w:nsid w:val="414E1F34"/>
    <w:multiLevelType w:val="hybridMultilevel"/>
    <w:tmpl w:val="6DDC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9637BE"/>
    <w:multiLevelType w:val="hybridMultilevel"/>
    <w:tmpl w:val="68C00F80"/>
    <w:lvl w:ilvl="0" w:tplc="9F422C0E">
      <w:start w:val="1"/>
      <w:numFmt w:val="decimal"/>
      <w:lvlText w:val="%1."/>
      <w:lvlJc w:val="left"/>
      <w:pPr>
        <w:ind w:left="1919" w:hanging="360"/>
      </w:pPr>
      <w:rPr>
        <w:rFonts w:hint="default"/>
      </w:rPr>
    </w:lvl>
    <w:lvl w:ilvl="1" w:tplc="08090019" w:tentative="1">
      <w:start w:val="1"/>
      <w:numFmt w:val="lowerLetter"/>
      <w:lvlText w:val="%2."/>
      <w:lvlJc w:val="left"/>
      <w:pPr>
        <w:ind w:left="2639" w:hanging="360"/>
      </w:pPr>
    </w:lvl>
    <w:lvl w:ilvl="2" w:tplc="0809001B" w:tentative="1">
      <w:start w:val="1"/>
      <w:numFmt w:val="lowerRoman"/>
      <w:lvlText w:val="%3."/>
      <w:lvlJc w:val="right"/>
      <w:pPr>
        <w:ind w:left="3359" w:hanging="180"/>
      </w:pPr>
    </w:lvl>
    <w:lvl w:ilvl="3" w:tplc="0809000F" w:tentative="1">
      <w:start w:val="1"/>
      <w:numFmt w:val="decimal"/>
      <w:lvlText w:val="%4."/>
      <w:lvlJc w:val="left"/>
      <w:pPr>
        <w:ind w:left="4079" w:hanging="360"/>
      </w:pPr>
    </w:lvl>
    <w:lvl w:ilvl="4" w:tplc="08090019" w:tentative="1">
      <w:start w:val="1"/>
      <w:numFmt w:val="lowerLetter"/>
      <w:lvlText w:val="%5."/>
      <w:lvlJc w:val="left"/>
      <w:pPr>
        <w:ind w:left="4799" w:hanging="360"/>
      </w:pPr>
    </w:lvl>
    <w:lvl w:ilvl="5" w:tplc="0809001B" w:tentative="1">
      <w:start w:val="1"/>
      <w:numFmt w:val="lowerRoman"/>
      <w:lvlText w:val="%6."/>
      <w:lvlJc w:val="right"/>
      <w:pPr>
        <w:ind w:left="5519" w:hanging="180"/>
      </w:pPr>
    </w:lvl>
    <w:lvl w:ilvl="6" w:tplc="0809000F" w:tentative="1">
      <w:start w:val="1"/>
      <w:numFmt w:val="decimal"/>
      <w:lvlText w:val="%7."/>
      <w:lvlJc w:val="left"/>
      <w:pPr>
        <w:ind w:left="6239" w:hanging="360"/>
      </w:pPr>
    </w:lvl>
    <w:lvl w:ilvl="7" w:tplc="08090019" w:tentative="1">
      <w:start w:val="1"/>
      <w:numFmt w:val="lowerLetter"/>
      <w:lvlText w:val="%8."/>
      <w:lvlJc w:val="left"/>
      <w:pPr>
        <w:ind w:left="6959" w:hanging="360"/>
      </w:pPr>
    </w:lvl>
    <w:lvl w:ilvl="8" w:tplc="0809001B" w:tentative="1">
      <w:start w:val="1"/>
      <w:numFmt w:val="lowerRoman"/>
      <w:lvlText w:val="%9."/>
      <w:lvlJc w:val="right"/>
      <w:pPr>
        <w:ind w:left="7679" w:hanging="180"/>
      </w:pPr>
    </w:lvl>
  </w:abstractNum>
  <w:abstractNum w:abstractNumId="25">
    <w:nsid w:val="476C3E0D"/>
    <w:multiLevelType w:val="multilevel"/>
    <w:tmpl w:val="42FA0602"/>
    <w:lvl w:ilvl="0">
      <w:start w:val="1"/>
      <w:numFmt w:val="decimal"/>
      <w:lvlText w:val="%1."/>
      <w:lvlJc w:val="left"/>
      <w:pPr>
        <w:tabs>
          <w:tab w:val="num" w:pos="720"/>
        </w:tabs>
        <w:ind w:left="1138" w:firstLine="0"/>
      </w:pPr>
      <w:rPr>
        <w:rFonts w:hint="default"/>
      </w:rPr>
    </w:lvl>
    <w:lvl w:ilvl="1">
      <w:start w:val="1"/>
      <w:numFmt w:val="lowerLetter"/>
      <w:lvlText w:val="(%2)"/>
      <w:lvlJc w:val="left"/>
      <w:pPr>
        <w:tabs>
          <w:tab w:val="num" w:pos="720"/>
        </w:tabs>
        <w:ind w:left="1858" w:firstLine="0"/>
      </w:pPr>
      <w:rPr>
        <w:rFonts w:hint="default"/>
      </w:rPr>
    </w:lvl>
    <w:lvl w:ilvl="2">
      <w:start w:val="1"/>
      <w:numFmt w:val="lowerRoman"/>
      <w:lvlText w:val="%3."/>
      <w:lvlJc w:val="right"/>
      <w:pPr>
        <w:tabs>
          <w:tab w:val="num" w:pos="720"/>
        </w:tabs>
        <w:ind w:left="2578" w:firstLine="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48D25339"/>
    <w:multiLevelType w:val="hybridMultilevel"/>
    <w:tmpl w:val="2646C096"/>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7">
    <w:nsid w:val="49297561"/>
    <w:multiLevelType w:val="hybridMultilevel"/>
    <w:tmpl w:val="7A14E92C"/>
    <w:lvl w:ilvl="0" w:tplc="46C08464">
      <w:start w:val="1"/>
      <w:numFmt w:val="upperLetter"/>
      <w:lvlText w:val="%1."/>
      <w:lvlJc w:val="left"/>
      <w:pPr>
        <w:ind w:left="1488" w:hanging="360"/>
      </w:pPr>
      <w:rPr>
        <w:rFonts w:hint="default"/>
      </w:rPr>
    </w:lvl>
    <w:lvl w:ilvl="1" w:tplc="08090019">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28">
    <w:nsid w:val="4A317A7D"/>
    <w:multiLevelType w:val="hybridMultilevel"/>
    <w:tmpl w:val="1AB27342"/>
    <w:lvl w:ilvl="0" w:tplc="AA5E5F64">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nsid w:val="4E096D02"/>
    <w:multiLevelType w:val="hybridMultilevel"/>
    <w:tmpl w:val="1696EEFA"/>
    <w:lvl w:ilvl="0" w:tplc="7FFED604">
      <w:start w:val="1"/>
      <w:numFmt w:val="decimal"/>
      <w:lvlText w:val="%1."/>
      <w:lvlJc w:val="left"/>
      <w:pPr>
        <w:ind w:left="1848" w:hanging="360"/>
      </w:pPr>
      <w:rPr>
        <w:rFonts w:hint="default"/>
      </w:rPr>
    </w:lvl>
    <w:lvl w:ilvl="1" w:tplc="08090019" w:tentative="1">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abstractNum w:abstractNumId="30">
    <w:nsid w:val="50077358"/>
    <w:multiLevelType w:val="hybridMultilevel"/>
    <w:tmpl w:val="01962F46"/>
    <w:lvl w:ilvl="0" w:tplc="9FF4C5CE">
      <w:start w:val="1"/>
      <w:numFmt w:val="upperLetter"/>
      <w:lvlText w:val="%1."/>
      <w:lvlJc w:val="left"/>
      <w:pPr>
        <w:ind w:left="1704" w:hanging="576"/>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31">
    <w:nsid w:val="56802F74"/>
    <w:multiLevelType w:val="hybridMultilevel"/>
    <w:tmpl w:val="DE167682"/>
    <w:lvl w:ilvl="0" w:tplc="D4D69894">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nsid w:val="665A6430"/>
    <w:multiLevelType w:val="hybridMultilevel"/>
    <w:tmpl w:val="FE9ADFE8"/>
    <w:lvl w:ilvl="0" w:tplc="A314D37E">
      <w:start w:val="2"/>
      <w:numFmt w:val="decimal"/>
      <w:lvlText w:val="%1."/>
      <w:lvlJc w:val="left"/>
      <w:pPr>
        <w:tabs>
          <w:tab w:val="num" w:pos="1140"/>
        </w:tabs>
        <w:ind w:left="1140" w:hanging="465"/>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34">
    <w:nsid w:val="68443301"/>
    <w:multiLevelType w:val="hybridMultilevel"/>
    <w:tmpl w:val="44B4416E"/>
    <w:lvl w:ilvl="0" w:tplc="4C0CC60C">
      <w:start w:val="1"/>
      <w:numFmt w:val="upperLetter"/>
      <w:lvlText w:val="%1."/>
      <w:lvlJc w:val="left"/>
      <w:pPr>
        <w:ind w:left="1488" w:hanging="36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35">
    <w:nsid w:val="684570BB"/>
    <w:multiLevelType w:val="hybridMultilevel"/>
    <w:tmpl w:val="C9A2C486"/>
    <w:lvl w:ilvl="0" w:tplc="B9C8B9A0">
      <w:start w:val="1"/>
      <w:numFmt w:val="decimal"/>
      <w:lvlText w:val="Amendment %1."/>
      <w:lvlJc w:val="left"/>
      <w:pPr>
        <w:tabs>
          <w:tab w:val="num" w:pos="360"/>
        </w:tabs>
        <w:ind w:left="360" w:hanging="360"/>
      </w:pPr>
      <w:rPr>
        <w:rFonts w:hint="default"/>
        <w:b/>
        <w:i w:val="0"/>
        <w:color w:val="FF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747737CB"/>
    <w:multiLevelType w:val="hybridMultilevel"/>
    <w:tmpl w:val="9E76A56C"/>
    <w:lvl w:ilvl="0" w:tplc="160C1414">
      <w:start w:val="1"/>
      <w:numFmt w:val="upperLetter"/>
      <w:lvlText w:val="%1."/>
      <w:lvlJc w:val="left"/>
      <w:pPr>
        <w:ind w:left="1488" w:hanging="36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37">
    <w:nsid w:val="784246DD"/>
    <w:multiLevelType w:val="hybridMultilevel"/>
    <w:tmpl w:val="9C5E6B8A"/>
    <w:lvl w:ilvl="0" w:tplc="397EE45E">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8">
    <w:nsid w:val="7F802D16"/>
    <w:multiLevelType w:val="hybridMultilevel"/>
    <w:tmpl w:val="CD908C6A"/>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9">
    <w:nsid w:val="7FFD64B8"/>
    <w:multiLevelType w:val="hybridMultilevel"/>
    <w:tmpl w:val="30DAA28E"/>
    <w:lvl w:ilvl="0" w:tplc="009817B8">
      <w:start w:val="1"/>
      <w:numFmt w:val="decimal"/>
      <w:lvlText w:val="%1."/>
      <w:lvlJc w:val="left"/>
      <w:pPr>
        <w:ind w:left="1848" w:hanging="360"/>
      </w:pPr>
      <w:rPr>
        <w:rFonts w:hint="default"/>
      </w:rPr>
    </w:lvl>
    <w:lvl w:ilvl="1" w:tplc="08090019" w:tentative="1">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num w:numId="1">
    <w:abstractNumId w:val="17"/>
  </w:num>
  <w:num w:numId="2">
    <w:abstractNumId w:val="10"/>
  </w:num>
  <w:num w:numId="3">
    <w:abstractNumId w:val="0"/>
  </w:num>
  <w:num w:numId="4">
    <w:abstractNumId w:val="34"/>
  </w:num>
  <w:num w:numId="5">
    <w:abstractNumId w:val="12"/>
  </w:num>
  <w:num w:numId="6">
    <w:abstractNumId w:val="39"/>
  </w:num>
  <w:num w:numId="7">
    <w:abstractNumId w:val="14"/>
  </w:num>
  <w:num w:numId="8">
    <w:abstractNumId w:val="24"/>
  </w:num>
  <w:num w:numId="9">
    <w:abstractNumId w:val="5"/>
  </w:num>
  <w:num w:numId="10">
    <w:abstractNumId w:val="28"/>
  </w:num>
  <w:num w:numId="11">
    <w:abstractNumId w:val="7"/>
  </w:num>
  <w:num w:numId="12">
    <w:abstractNumId w:val="29"/>
  </w:num>
  <w:num w:numId="13">
    <w:abstractNumId w:val="15"/>
  </w:num>
  <w:num w:numId="14">
    <w:abstractNumId w:val="4"/>
  </w:num>
  <w:num w:numId="15">
    <w:abstractNumId w:val="32"/>
  </w:num>
  <w:num w:numId="16">
    <w:abstractNumId w:val="8"/>
  </w:num>
  <w:num w:numId="17">
    <w:abstractNumId w:val="2"/>
  </w:num>
  <w:num w:numId="18">
    <w:abstractNumId w:val="18"/>
  </w:num>
  <w:num w:numId="19">
    <w:abstractNumId w:val="30"/>
  </w:num>
  <w:num w:numId="20">
    <w:abstractNumId w:val="21"/>
  </w:num>
  <w:num w:numId="21">
    <w:abstractNumId w:val="9"/>
  </w:num>
  <w:num w:numId="22">
    <w:abstractNumId w:val="37"/>
  </w:num>
  <w:num w:numId="23">
    <w:abstractNumId w:val="3"/>
  </w:num>
  <w:num w:numId="24">
    <w:abstractNumId w:val="31"/>
  </w:num>
  <w:num w:numId="25">
    <w:abstractNumId w:val="19"/>
  </w:num>
  <w:num w:numId="26">
    <w:abstractNumId w:val="1"/>
  </w:num>
  <w:num w:numId="27">
    <w:abstractNumId w:val="13"/>
  </w:num>
  <w:num w:numId="28">
    <w:abstractNumId w:val="36"/>
  </w:num>
  <w:num w:numId="29">
    <w:abstractNumId w:val="22"/>
  </w:num>
  <w:num w:numId="30">
    <w:abstractNumId w:val="11"/>
  </w:num>
  <w:num w:numId="31">
    <w:abstractNumId w:val="20"/>
  </w:num>
  <w:num w:numId="32">
    <w:abstractNumId w:val="27"/>
  </w:num>
  <w:num w:numId="33">
    <w:abstractNumId w:val="26"/>
  </w:num>
  <w:num w:numId="34">
    <w:abstractNumId w:val="16"/>
  </w:num>
  <w:num w:numId="35">
    <w:abstractNumId w:val="25"/>
  </w:num>
  <w:num w:numId="36">
    <w:abstractNumId w:val="35"/>
  </w:num>
  <w:num w:numId="37">
    <w:abstractNumId w:val="23"/>
  </w:num>
  <w:num w:numId="38">
    <w:abstractNumId w:val="38"/>
  </w:num>
  <w:num w:numId="39">
    <w:abstractNumId w:val="6"/>
  </w:num>
  <w:num w:numId="40">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CA" w:vendorID="64" w:dllVersion="131078" w:nlCheck="1" w:checkStyle="1"/>
  <w:activeWritingStyle w:appName="MSWord" w:lang="es-ES_tradnl"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017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61B"/>
    <w:rsid w:val="0000110E"/>
    <w:rsid w:val="0000145A"/>
    <w:rsid w:val="00002351"/>
    <w:rsid w:val="00002A7D"/>
    <w:rsid w:val="00003165"/>
    <w:rsid w:val="000037A2"/>
    <w:rsid w:val="000038A8"/>
    <w:rsid w:val="00003D91"/>
    <w:rsid w:val="00004458"/>
    <w:rsid w:val="00006790"/>
    <w:rsid w:val="00010B3B"/>
    <w:rsid w:val="00011808"/>
    <w:rsid w:val="000123BB"/>
    <w:rsid w:val="000130A9"/>
    <w:rsid w:val="0001439B"/>
    <w:rsid w:val="00014D4F"/>
    <w:rsid w:val="000156DE"/>
    <w:rsid w:val="00016FB9"/>
    <w:rsid w:val="0001753C"/>
    <w:rsid w:val="00017F67"/>
    <w:rsid w:val="00017FF2"/>
    <w:rsid w:val="000210E8"/>
    <w:rsid w:val="00022685"/>
    <w:rsid w:val="000244A1"/>
    <w:rsid w:val="000247BB"/>
    <w:rsid w:val="000260AC"/>
    <w:rsid w:val="00026837"/>
    <w:rsid w:val="0002697B"/>
    <w:rsid w:val="00027624"/>
    <w:rsid w:val="0002795B"/>
    <w:rsid w:val="00027BF7"/>
    <w:rsid w:val="00030AB9"/>
    <w:rsid w:val="00031EFA"/>
    <w:rsid w:val="0003208D"/>
    <w:rsid w:val="000327C1"/>
    <w:rsid w:val="00033246"/>
    <w:rsid w:val="0003331A"/>
    <w:rsid w:val="000345AB"/>
    <w:rsid w:val="000345BD"/>
    <w:rsid w:val="000403DE"/>
    <w:rsid w:val="00040DC6"/>
    <w:rsid w:val="00040E30"/>
    <w:rsid w:val="00040FDD"/>
    <w:rsid w:val="0004101D"/>
    <w:rsid w:val="00042AB6"/>
    <w:rsid w:val="00043A40"/>
    <w:rsid w:val="00044239"/>
    <w:rsid w:val="00044276"/>
    <w:rsid w:val="00044536"/>
    <w:rsid w:val="00045864"/>
    <w:rsid w:val="00045CB9"/>
    <w:rsid w:val="00046540"/>
    <w:rsid w:val="00046724"/>
    <w:rsid w:val="00047020"/>
    <w:rsid w:val="0004769E"/>
    <w:rsid w:val="0005023A"/>
    <w:rsid w:val="0005069A"/>
    <w:rsid w:val="00050D76"/>
    <w:rsid w:val="00050F6B"/>
    <w:rsid w:val="000523C5"/>
    <w:rsid w:val="000524B6"/>
    <w:rsid w:val="00054B13"/>
    <w:rsid w:val="00054B8F"/>
    <w:rsid w:val="00056392"/>
    <w:rsid w:val="00056B4C"/>
    <w:rsid w:val="00061B16"/>
    <w:rsid w:val="00061BD9"/>
    <w:rsid w:val="000628C8"/>
    <w:rsid w:val="00063D1E"/>
    <w:rsid w:val="00064651"/>
    <w:rsid w:val="00064C5D"/>
    <w:rsid w:val="00065A9F"/>
    <w:rsid w:val="000666F0"/>
    <w:rsid w:val="00067680"/>
    <w:rsid w:val="000678CD"/>
    <w:rsid w:val="00067994"/>
    <w:rsid w:val="00067D0E"/>
    <w:rsid w:val="0007221F"/>
    <w:rsid w:val="00072C66"/>
    <w:rsid w:val="00072C8C"/>
    <w:rsid w:val="00073957"/>
    <w:rsid w:val="00075179"/>
    <w:rsid w:val="00080766"/>
    <w:rsid w:val="00080C6F"/>
    <w:rsid w:val="00081288"/>
    <w:rsid w:val="00081CE0"/>
    <w:rsid w:val="00083D4D"/>
    <w:rsid w:val="00084D30"/>
    <w:rsid w:val="00090320"/>
    <w:rsid w:val="00091656"/>
    <w:rsid w:val="000931C0"/>
    <w:rsid w:val="00093672"/>
    <w:rsid w:val="00093A50"/>
    <w:rsid w:val="00095CD6"/>
    <w:rsid w:val="00096FD7"/>
    <w:rsid w:val="000A0682"/>
    <w:rsid w:val="000A0C21"/>
    <w:rsid w:val="000A0FE6"/>
    <w:rsid w:val="000A17D2"/>
    <w:rsid w:val="000A2E09"/>
    <w:rsid w:val="000A2E93"/>
    <w:rsid w:val="000A3141"/>
    <w:rsid w:val="000A3ED7"/>
    <w:rsid w:val="000A45F6"/>
    <w:rsid w:val="000A666C"/>
    <w:rsid w:val="000B09F4"/>
    <w:rsid w:val="000B0C60"/>
    <w:rsid w:val="000B1631"/>
    <w:rsid w:val="000B175B"/>
    <w:rsid w:val="000B238B"/>
    <w:rsid w:val="000B3A0F"/>
    <w:rsid w:val="000B3CC6"/>
    <w:rsid w:val="000B4A6F"/>
    <w:rsid w:val="000B64F0"/>
    <w:rsid w:val="000B6EA2"/>
    <w:rsid w:val="000C0DB1"/>
    <w:rsid w:val="000C19EA"/>
    <w:rsid w:val="000C2C39"/>
    <w:rsid w:val="000C33C0"/>
    <w:rsid w:val="000C3605"/>
    <w:rsid w:val="000C4114"/>
    <w:rsid w:val="000C44D9"/>
    <w:rsid w:val="000C48BC"/>
    <w:rsid w:val="000D0CD0"/>
    <w:rsid w:val="000D1F38"/>
    <w:rsid w:val="000D5CD5"/>
    <w:rsid w:val="000D618F"/>
    <w:rsid w:val="000D76F8"/>
    <w:rsid w:val="000D7B27"/>
    <w:rsid w:val="000E0415"/>
    <w:rsid w:val="000E07DD"/>
    <w:rsid w:val="000E1B2E"/>
    <w:rsid w:val="000E2382"/>
    <w:rsid w:val="000E256B"/>
    <w:rsid w:val="000E38EB"/>
    <w:rsid w:val="000E4B65"/>
    <w:rsid w:val="000E6494"/>
    <w:rsid w:val="000E6FBF"/>
    <w:rsid w:val="000E76F4"/>
    <w:rsid w:val="000E77BA"/>
    <w:rsid w:val="000E7D56"/>
    <w:rsid w:val="000E7FA2"/>
    <w:rsid w:val="000F0152"/>
    <w:rsid w:val="000F2EAD"/>
    <w:rsid w:val="000F39E0"/>
    <w:rsid w:val="000F3D82"/>
    <w:rsid w:val="000F4A5C"/>
    <w:rsid w:val="000F6BCD"/>
    <w:rsid w:val="000F7146"/>
    <w:rsid w:val="000F7715"/>
    <w:rsid w:val="000F77FA"/>
    <w:rsid w:val="000F79B7"/>
    <w:rsid w:val="000F7AFC"/>
    <w:rsid w:val="001025C2"/>
    <w:rsid w:val="00102C9D"/>
    <w:rsid w:val="0010502D"/>
    <w:rsid w:val="00105ED4"/>
    <w:rsid w:val="001060CF"/>
    <w:rsid w:val="00106F44"/>
    <w:rsid w:val="001107BA"/>
    <w:rsid w:val="00111256"/>
    <w:rsid w:val="001117DA"/>
    <w:rsid w:val="00112A64"/>
    <w:rsid w:val="00112FB1"/>
    <w:rsid w:val="001156E3"/>
    <w:rsid w:val="00115CA3"/>
    <w:rsid w:val="00117660"/>
    <w:rsid w:val="00117B7A"/>
    <w:rsid w:val="001203F4"/>
    <w:rsid w:val="0012096F"/>
    <w:rsid w:val="00123344"/>
    <w:rsid w:val="00124236"/>
    <w:rsid w:val="00124CA2"/>
    <w:rsid w:val="00124E94"/>
    <w:rsid w:val="0012563D"/>
    <w:rsid w:val="00126FE9"/>
    <w:rsid w:val="00127775"/>
    <w:rsid w:val="00130108"/>
    <w:rsid w:val="00131F62"/>
    <w:rsid w:val="0013225D"/>
    <w:rsid w:val="001322EF"/>
    <w:rsid w:val="00132352"/>
    <w:rsid w:val="00132CE8"/>
    <w:rsid w:val="00133515"/>
    <w:rsid w:val="0014155D"/>
    <w:rsid w:val="0014319A"/>
    <w:rsid w:val="00143B34"/>
    <w:rsid w:val="001474EB"/>
    <w:rsid w:val="00147F92"/>
    <w:rsid w:val="001509A3"/>
    <w:rsid w:val="00154256"/>
    <w:rsid w:val="00154404"/>
    <w:rsid w:val="0015444A"/>
    <w:rsid w:val="00154FBA"/>
    <w:rsid w:val="001552C1"/>
    <w:rsid w:val="0015571C"/>
    <w:rsid w:val="00155E8F"/>
    <w:rsid w:val="00155FDF"/>
    <w:rsid w:val="00156B99"/>
    <w:rsid w:val="001575CD"/>
    <w:rsid w:val="001610E8"/>
    <w:rsid w:val="001637E0"/>
    <w:rsid w:val="00163A93"/>
    <w:rsid w:val="00163D38"/>
    <w:rsid w:val="00163EFA"/>
    <w:rsid w:val="00165632"/>
    <w:rsid w:val="0016610A"/>
    <w:rsid w:val="00166124"/>
    <w:rsid w:val="00167071"/>
    <w:rsid w:val="0017051B"/>
    <w:rsid w:val="001718EC"/>
    <w:rsid w:val="00171B78"/>
    <w:rsid w:val="00172249"/>
    <w:rsid w:val="001725A3"/>
    <w:rsid w:val="00172E24"/>
    <w:rsid w:val="0017347E"/>
    <w:rsid w:val="0017503C"/>
    <w:rsid w:val="00175468"/>
    <w:rsid w:val="00177936"/>
    <w:rsid w:val="00177AB2"/>
    <w:rsid w:val="00177B23"/>
    <w:rsid w:val="00177F06"/>
    <w:rsid w:val="00180AC3"/>
    <w:rsid w:val="00180DE5"/>
    <w:rsid w:val="00181386"/>
    <w:rsid w:val="001824F7"/>
    <w:rsid w:val="00183153"/>
    <w:rsid w:val="001839D1"/>
    <w:rsid w:val="00183E62"/>
    <w:rsid w:val="001842E3"/>
    <w:rsid w:val="00184318"/>
    <w:rsid w:val="00184A74"/>
    <w:rsid w:val="00184AA2"/>
    <w:rsid w:val="00184DDA"/>
    <w:rsid w:val="001857B8"/>
    <w:rsid w:val="0018600D"/>
    <w:rsid w:val="00187222"/>
    <w:rsid w:val="001900CD"/>
    <w:rsid w:val="00190141"/>
    <w:rsid w:val="001907DD"/>
    <w:rsid w:val="001914F8"/>
    <w:rsid w:val="00191A30"/>
    <w:rsid w:val="00191E28"/>
    <w:rsid w:val="00191E97"/>
    <w:rsid w:val="0019301B"/>
    <w:rsid w:val="001932FA"/>
    <w:rsid w:val="00194059"/>
    <w:rsid w:val="00194A4B"/>
    <w:rsid w:val="001957EF"/>
    <w:rsid w:val="00195AF0"/>
    <w:rsid w:val="00195D59"/>
    <w:rsid w:val="00196C7A"/>
    <w:rsid w:val="001975AD"/>
    <w:rsid w:val="00197E40"/>
    <w:rsid w:val="001A0452"/>
    <w:rsid w:val="001A0B49"/>
    <w:rsid w:val="001A19E4"/>
    <w:rsid w:val="001A2E39"/>
    <w:rsid w:val="001A46F2"/>
    <w:rsid w:val="001A5764"/>
    <w:rsid w:val="001A6FCC"/>
    <w:rsid w:val="001A7A01"/>
    <w:rsid w:val="001A7BF2"/>
    <w:rsid w:val="001A7D24"/>
    <w:rsid w:val="001B058D"/>
    <w:rsid w:val="001B0AAC"/>
    <w:rsid w:val="001B0F8A"/>
    <w:rsid w:val="001B162A"/>
    <w:rsid w:val="001B1AB5"/>
    <w:rsid w:val="001B30BE"/>
    <w:rsid w:val="001B43BF"/>
    <w:rsid w:val="001B4B04"/>
    <w:rsid w:val="001B4BDB"/>
    <w:rsid w:val="001B56C6"/>
    <w:rsid w:val="001B5875"/>
    <w:rsid w:val="001B7927"/>
    <w:rsid w:val="001B7F07"/>
    <w:rsid w:val="001C0B81"/>
    <w:rsid w:val="001C1E4E"/>
    <w:rsid w:val="001C22FC"/>
    <w:rsid w:val="001C2EBF"/>
    <w:rsid w:val="001C3F0C"/>
    <w:rsid w:val="001C49EC"/>
    <w:rsid w:val="001C4B9C"/>
    <w:rsid w:val="001C5779"/>
    <w:rsid w:val="001C5921"/>
    <w:rsid w:val="001C60FE"/>
    <w:rsid w:val="001C6663"/>
    <w:rsid w:val="001C7041"/>
    <w:rsid w:val="001C7895"/>
    <w:rsid w:val="001C7B56"/>
    <w:rsid w:val="001D18F9"/>
    <w:rsid w:val="001D245A"/>
    <w:rsid w:val="001D26DF"/>
    <w:rsid w:val="001D29B9"/>
    <w:rsid w:val="001D2E19"/>
    <w:rsid w:val="001D4218"/>
    <w:rsid w:val="001D4D89"/>
    <w:rsid w:val="001E07FA"/>
    <w:rsid w:val="001E16CB"/>
    <w:rsid w:val="001E1A07"/>
    <w:rsid w:val="001E257C"/>
    <w:rsid w:val="001E3403"/>
    <w:rsid w:val="001E3540"/>
    <w:rsid w:val="001E3D3F"/>
    <w:rsid w:val="001E45AA"/>
    <w:rsid w:val="001E57E9"/>
    <w:rsid w:val="001E60F9"/>
    <w:rsid w:val="001E6F55"/>
    <w:rsid w:val="001E72E6"/>
    <w:rsid w:val="001F0A5B"/>
    <w:rsid w:val="001F0E73"/>
    <w:rsid w:val="001F1599"/>
    <w:rsid w:val="001F19C4"/>
    <w:rsid w:val="001F1CBF"/>
    <w:rsid w:val="001F23C7"/>
    <w:rsid w:val="001F317F"/>
    <w:rsid w:val="001F3827"/>
    <w:rsid w:val="001F3B24"/>
    <w:rsid w:val="001F48FD"/>
    <w:rsid w:val="001F5478"/>
    <w:rsid w:val="001F5840"/>
    <w:rsid w:val="001F60C2"/>
    <w:rsid w:val="001F706D"/>
    <w:rsid w:val="001F7076"/>
    <w:rsid w:val="002002B1"/>
    <w:rsid w:val="0020089A"/>
    <w:rsid w:val="00202398"/>
    <w:rsid w:val="00202E91"/>
    <w:rsid w:val="002037EA"/>
    <w:rsid w:val="002043F0"/>
    <w:rsid w:val="00204750"/>
    <w:rsid w:val="00205B0B"/>
    <w:rsid w:val="00206057"/>
    <w:rsid w:val="00206401"/>
    <w:rsid w:val="0020657C"/>
    <w:rsid w:val="00206B08"/>
    <w:rsid w:val="0020792C"/>
    <w:rsid w:val="00210580"/>
    <w:rsid w:val="00210C13"/>
    <w:rsid w:val="00211E0B"/>
    <w:rsid w:val="002126C1"/>
    <w:rsid w:val="0021368B"/>
    <w:rsid w:val="0021403C"/>
    <w:rsid w:val="00215648"/>
    <w:rsid w:val="00216465"/>
    <w:rsid w:val="0021692A"/>
    <w:rsid w:val="002175FF"/>
    <w:rsid w:val="00217D4C"/>
    <w:rsid w:val="00217FA4"/>
    <w:rsid w:val="00220980"/>
    <w:rsid w:val="00220D3F"/>
    <w:rsid w:val="00221319"/>
    <w:rsid w:val="00221533"/>
    <w:rsid w:val="002215FA"/>
    <w:rsid w:val="00221C7A"/>
    <w:rsid w:val="00222889"/>
    <w:rsid w:val="0022374C"/>
    <w:rsid w:val="0022437B"/>
    <w:rsid w:val="0023098F"/>
    <w:rsid w:val="00232575"/>
    <w:rsid w:val="00232A6D"/>
    <w:rsid w:val="00235339"/>
    <w:rsid w:val="00235349"/>
    <w:rsid w:val="00235597"/>
    <w:rsid w:val="00235AED"/>
    <w:rsid w:val="00236F04"/>
    <w:rsid w:val="00237AAA"/>
    <w:rsid w:val="00237ECD"/>
    <w:rsid w:val="00240319"/>
    <w:rsid w:val="002417A4"/>
    <w:rsid w:val="00242369"/>
    <w:rsid w:val="002433E9"/>
    <w:rsid w:val="0024378F"/>
    <w:rsid w:val="00243938"/>
    <w:rsid w:val="00243CEA"/>
    <w:rsid w:val="0024402B"/>
    <w:rsid w:val="00244C65"/>
    <w:rsid w:val="00245549"/>
    <w:rsid w:val="00246E74"/>
    <w:rsid w:val="00247258"/>
    <w:rsid w:val="00247579"/>
    <w:rsid w:val="00250244"/>
    <w:rsid w:val="002502C1"/>
    <w:rsid w:val="002510F0"/>
    <w:rsid w:val="00252841"/>
    <w:rsid w:val="00252BA3"/>
    <w:rsid w:val="0025429E"/>
    <w:rsid w:val="002548B2"/>
    <w:rsid w:val="00255806"/>
    <w:rsid w:val="002562B0"/>
    <w:rsid w:val="00256B18"/>
    <w:rsid w:val="00257CAC"/>
    <w:rsid w:val="00260575"/>
    <w:rsid w:val="00260C33"/>
    <w:rsid w:val="00264522"/>
    <w:rsid w:val="002658F8"/>
    <w:rsid w:val="00265DF3"/>
    <w:rsid w:val="00266596"/>
    <w:rsid w:val="002677AE"/>
    <w:rsid w:val="00270A13"/>
    <w:rsid w:val="00270FF4"/>
    <w:rsid w:val="00271062"/>
    <w:rsid w:val="002722BA"/>
    <w:rsid w:val="00272A6D"/>
    <w:rsid w:val="002735C8"/>
    <w:rsid w:val="00274CF1"/>
    <w:rsid w:val="002752C7"/>
    <w:rsid w:val="00275B10"/>
    <w:rsid w:val="00276E8E"/>
    <w:rsid w:val="00281093"/>
    <w:rsid w:val="002814D9"/>
    <w:rsid w:val="00282231"/>
    <w:rsid w:val="00282C1E"/>
    <w:rsid w:val="0028383C"/>
    <w:rsid w:val="0028433C"/>
    <w:rsid w:val="00285D97"/>
    <w:rsid w:val="00285EB3"/>
    <w:rsid w:val="002904F4"/>
    <w:rsid w:val="0029088C"/>
    <w:rsid w:val="00291254"/>
    <w:rsid w:val="0029457D"/>
    <w:rsid w:val="002950C6"/>
    <w:rsid w:val="002974E9"/>
    <w:rsid w:val="00297872"/>
    <w:rsid w:val="00297CBD"/>
    <w:rsid w:val="002A191F"/>
    <w:rsid w:val="002A34DF"/>
    <w:rsid w:val="002A353D"/>
    <w:rsid w:val="002A3CB4"/>
    <w:rsid w:val="002A752D"/>
    <w:rsid w:val="002A79B6"/>
    <w:rsid w:val="002A7F94"/>
    <w:rsid w:val="002B109A"/>
    <w:rsid w:val="002B2B4A"/>
    <w:rsid w:val="002B2F06"/>
    <w:rsid w:val="002B365D"/>
    <w:rsid w:val="002B3DCC"/>
    <w:rsid w:val="002B4713"/>
    <w:rsid w:val="002B548B"/>
    <w:rsid w:val="002B67F7"/>
    <w:rsid w:val="002B7921"/>
    <w:rsid w:val="002C1191"/>
    <w:rsid w:val="002C1631"/>
    <w:rsid w:val="002C2F19"/>
    <w:rsid w:val="002C3CA7"/>
    <w:rsid w:val="002C4375"/>
    <w:rsid w:val="002C4F4D"/>
    <w:rsid w:val="002C5787"/>
    <w:rsid w:val="002C588B"/>
    <w:rsid w:val="002C6AF2"/>
    <w:rsid w:val="002C6C50"/>
    <w:rsid w:val="002C6D45"/>
    <w:rsid w:val="002D1569"/>
    <w:rsid w:val="002D161A"/>
    <w:rsid w:val="002D1DA8"/>
    <w:rsid w:val="002D1FD3"/>
    <w:rsid w:val="002D3B19"/>
    <w:rsid w:val="002D4B71"/>
    <w:rsid w:val="002D5E7A"/>
    <w:rsid w:val="002D5F7D"/>
    <w:rsid w:val="002D68A3"/>
    <w:rsid w:val="002D6E53"/>
    <w:rsid w:val="002E21D5"/>
    <w:rsid w:val="002E22E5"/>
    <w:rsid w:val="002E3C48"/>
    <w:rsid w:val="002E451F"/>
    <w:rsid w:val="002E5234"/>
    <w:rsid w:val="002E7613"/>
    <w:rsid w:val="002F046D"/>
    <w:rsid w:val="002F0974"/>
    <w:rsid w:val="002F1EE1"/>
    <w:rsid w:val="002F2DAD"/>
    <w:rsid w:val="002F2DE2"/>
    <w:rsid w:val="002F33DB"/>
    <w:rsid w:val="002F35D5"/>
    <w:rsid w:val="002F5179"/>
    <w:rsid w:val="002F688D"/>
    <w:rsid w:val="002F73BD"/>
    <w:rsid w:val="002F78B2"/>
    <w:rsid w:val="002F7FEF"/>
    <w:rsid w:val="00300F02"/>
    <w:rsid w:val="00301764"/>
    <w:rsid w:val="00302811"/>
    <w:rsid w:val="003028B0"/>
    <w:rsid w:val="0030536B"/>
    <w:rsid w:val="003065F3"/>
    <w:rsid w:val="00306CD5"/>
    <w:rsid w:val="00310917"/>
    <w:rsid w:val="003133C5"/>
    <w:rsid w:val="00313C52"/>
    <w:rsid w:val="00314A4A"/>
    <w:rsid w:val="00316034"/>
    <w:rsid w:val="003165DD"/>
    <w:rsid w:val="0031695F"/>
    <w:rsid w:val="003179E0"/>
    <w:rsid w:val="00317B4A"/>
    <w:rsid w:val="00320EAF"/>
    <w:rsid w:val="00321E87"/>
    <w:rsid w:val="00321EB3"/>
    <w:rsid w:val="0032210A"/>
    <w:rsid w:val="0032272D"/>
    <w:rsid w:val="003229D8"/>
    <w:rsid w:val="00322EDB"/>
    <w:rsid w:val="003238B5"/>
    <w:rsid w:val="003238DF"/>
    <w:rsid w:val="0032616D"/>
    <w:rsid w:val="00327C73"/>
    <w:rsid w:val="00330DB6"/>
    <w:rsid w:val="00330DBA"/>
    <w:rsid w:val="00332D4E"/>
    <w:rsid w:val="00332FA6"/>
    <w:rsid w:val="003346A0"/>
    <w:rsid w:val="00334B84"/>
    <w:rsid w:val="00334E91"/>
    <w:rsid w:val="003353ED"/>
    <w:rsid w:val="00335F4D"/>
    <w:rsid w:val="003360EE"/>
    <w:rsid w:val="00336C97"/>
    <w:rsid w:val="003374C8"/>
    <w:rsid w:val="003379ED"/>
    <w:rsid w:val="00337C13"/>
    <w:rsid w:val="00337F88"/>
    <w:rsid w:val="00340332"/>
    <w:rsid w:val="00342432"/>
    <w:rsid w:val="003434CA"/>
    <w:rsid w:val="003435AA"/>
    <w:rsid w:val="00346830"/>
    <w:rsid w:val="00346CB0"/>
    <w:rsid w:val="003470D3"/>
    <w:rsid w:val="00350791"/>
    <w:rsid w:val="00350D2F"/>
    <w:rsid w:val="00351A9A"/>
    <w:rsid w:val="003524F9"/>
    <w:rsid w:val="00352BA1"/>
    <w:rsid w:val="00352D4B"/>
    <w:rsid w:val="003531C8"/>
    <w:rsid w:val="00354D6A"/>
    <w:rsid w:val="00355701"/>
    <w:rsid w:val="003559FA"/>
    <w:rsid w:val="0035638C"/>
    <w:rsid w:val="00356ADE"/>
    <w:rsid w:val="00356B3C"/>
    <w:rsid w:val="00360370"/>
    <w:rsid w:val="003610E9"/>
    <w:rsid w:val="0036140B"/>
    <w:rsid w:val="00361C77"/>
    <w:rsid w:val="003624C6"/>
    <w:rsid w:val="0036535F"/>
    <w:rsid w:val="0036567C"/>
    <w:rsid w:val="00365EB5"/>
    <w:rsid w:val="003667AB"/>
    <w:rsid w:val="003669AD"/>
    <w:rsid w:val="003707E7"/>
    <w:rsid w:val="00371F0B"/>
    <w:rsid w:val="003727E5"/>
    <w:rsid w:val="00373F02"/>
    <w:rsid w:val="00375E71"/>
    <w:rsid w:val="00377B84"/>
    <w:rsid w:val="00380A1E"/>
    <w:rsid w:val="00382C6B"/>
    <w:rsid w:val="00382E61"/>
    <w:rsid w:val="003837BC"/>
    <w:rsid w:val="00385050"/>
    <w:rsid w:val="00386599"/>
    <w:rsid w:val="003867B1"/>
    <w:rsid w:val="00387427"/>
    <w:rsid w:val="003915B9"/>
    <w:rsid w:val="00392AE2"/>
    <w:rsid w:val="0039378C"/>
    <w:rsid w:val="00396694"/>
    <w:rsid w:val="0039697A"/>
    <w:rsid w:val="00396D59"/>
    <w:rsid w:val="00396DF4"/>
    <w:rsid w:val="00397080"/>
    <w:rsid w:val="003970E2"/>
    <w:rsid w:val="003A06C6"/>
    <w:rsid w:val="003A0853"/>
    <w:rsid w:val="003A12B5"/>
    <w:rsid w:val="003A1E7F"/>
    <w:rsid w:val="003A268D"/>
    <w:rsid w:val="003A46BB"/>
    <w:rsid w:val="003A4EC7"/>
    <w:rsid w:val="003A7295"/>
    <w:rsid w:val="003B1F60"/>
    <w:rsid w:val="003B20DA"/>
    <w:rsid w:val="003B244B"/>
    <w:rsid w:val="003B2FC5"/>
    <w:rsid w:val="003B352A"/>
    <w:rsid w:val="003B460E"/>
    <w:rsid w:val="003B472B"/>
    <w:rsid w:val="003B485B"/>
    <w:rsid w:val="003C0A51"/>
    <w:rsid w:val="003C1565"/>
    <w:rsid w:val="003C2A41"/>
    <w:rsid w:val="003C2CC4"/>
    <w:rsid w:val="003C3A07"/>
    <w:rsid w:val="003C43EC"/>
    <w:rsid w:val="003C6A54"/>
    <w:rsid w:val="003C6F55"/>
    <w:rsid w:val="003D11DE"/>
    <w:rsid w:val="003D12B6"/>
    <w:rsid w:val="003D1399"/>
    <w:rsid w:val="003D1401"/>
    <w:rsid w:val="003D156F"/>
    <w:rsid w:val="003D2B01"/>
    <w:rsid w:val="003D2D2D"/>
    <w:rsid w:val="003D2D59"/>
    <w:rsid w:val="003D4172"/>
    <w:rsid w:val="003D4B23"/>
    <w:rsid w:val="003D6807"/>
    <w:rsid w:val="003D6864"/>
    <w:rsid w:val="003D7BC1"/>
    <w:rsid w:val="003E1174"/>
    <w:rsid w:val="003E278A"/>
    <w:rsid w:val="003E379F"/>
    <w:rsid w:val="003E3B2D"/>
    <w:rsid w:val="003E4499"/>
    <w:rsid w:val="003E4E32"/>
    <w:rsid w:val="003E55A4"/>
    <w:rsid w:val="003E6727"/>
    <w:rsid w:val="003F257A"/>
    <w:rsid w:val="003F2659"/>
    <w:rsid w:val="003F3B6A"/>
    <w:rsid w:val="003F4AC6"/>
    <w:rsid w:val="003F4CE4"/>
    <w:rsid w:val="00400B29"/>
    <w:rsid w:val="00401758"/>
    <w:rsid w:val="00402198"/>
    <w:rsid w:val="00402540"/>
    <w:rsid w:val="00402A7D"/>
    <w:rsid w:val="00402ABC"/>
    <w:rsid w:val="00403246"/>
    <w:rsid w:val="00403377"/>
    <w:rsid w:val="004073DA"/>
    <w:rsid w:val="00407897"/>
    <w:rsid w:val="004108F6"/>
    <w:rsid w:val="0041189F"/>
    <w:rsid w:val="00412C1C"/>
    <w:rsid w:val="00412D01"/>
    <w:rsid w:val="00413520"/>
    <w:rsid w:val="00413D2D"/>
    <w:rsid w:val="00415E5E"/>
    <w:rsid w:val="00416041"/>
    <w:rsid w:val="00416ED3"/>
    <w:rsid w:val="00417267"/>
    <w:rsid w:val="0042038B"/>
    <w:rsid w:val="004211EB"/>
    <w:rsid w:val="00421A51"/>
    <w:rsid w:val="00421E1D"/>
    <w:rsid w:val="00422C12"/>
    <w:rsid w:val="00423689"/>
    <w:rsid w:val="0042372B"/>
    <w:rsid w:val="00424380"/>
    <w:rsid w:val="00425D07"/>
    <w:rsid w:val="00426040"/>
    <w:rsid w:val="004264E0"/>
    <w:rsid w:val="00426566"/>
    <w:rsid w:val="00426632"/>
    <w:rsid w:val="00426C17"/>
    <w:rsid w:val="004309A0"/>
    <w:rsid w:val="004309BD"/>
    <w:rsid w:val="00431398"/>
    <w:rsid w:val="004325CB"/>
    <w:rsid w:val="00432951"/>
    <w:rsid w:val="00432DFA"/>
    <w:rsid w:val="00433F99"/>
    <w:rsid w:val="004348D1"/>
    <w:rsid w:val="004358E4"/>
    <w:rsid w:val="004363EA"/>
    <w:rsid w:val="00436595"/>
    <w:rsid w:val="00436D14"/>
    <w:rsid w:val="00437C19"/>
    <w:rsid w:val="004402C0"/>
    <w:rsid w:val="00440761"/>
    <w:rsid w:val="00440A07"/>
    <w:rsid w:val="004418E3"/>
    <w:rsid w:val="00442355"/>
    <w:rsid w:val="00442D36"/>
    <w:rsid w:val="00442F21"/>
    <w:rsid w:val="00443D05"/>
    <w:rsid w:val="0044455F"/>
    <w:rsid w:val="00444A43"/>
    <w:rsid w:val="0044728B"/>
    <w:rsid w:val="00447D60"/>
    <w:rsid w:val="0045051D"/>
    <w:rsid w:val="0045059C"/>
    <w:rsid w:val="00452275"/>
    <w:rsid w:val="00452538"/>
    <w:rsid w:val="004531E7"/>
    <w:rsid w:val="00454572"/>
    <w:rsid w:val="00454640"/>
    <w:rsid w:val="00454E7E"/>
    <w:rsid w:val="004553ED"/>
    <w:rsid w:val="004563C2"/>
    <w:rsid w:val="004574E6"/>
    <w:rsid w:val="00462880"/>
    <w:rsid w:val="004647C7"/>
    <w:rsid w:val="004648B3"/>
    <w:rsid w:val="00464ACB"/>
    <w:rsid w:val="00470282"/>
    <w:rsid w:val="00473A0C"/>
    <w:rsid w:val="004751D5"/>
    <w:rsid w:val="00476590"/>
    <w:rsid w:val="00476F24"/>
    <w:rsid w:val="00480E5F"/>
    <w:rsid w:val="00480F4C"/>
    <w:rsid w:val="00480F76"/>
    <w:rsid w:val="00481A21"/>
    <w:rsid w:val="00482048"/>
    <w:rsid w:val="0048275B"/>
    <w:rsid w:val="00483423"/>
    <w:rsid w:val="00485BE7"/>
    <w:rsid w:val="0049044C"/>
    <w:rsid w:val="00492D8C"/>
    <w:rsid w:val="00492F25"/>
    <w:rsid w:val="00493C34"/>
    <w:rsid w:val="00495410"/>
    <w:rsid w:val="00497FB4"/>
    <w:rsid w:val="004A14B8"/>
    <w:rsid w:val="004A29A1"/>
    <w:rsid w:val="004A2CCD"/>
    <w:rsid w:val="004A387E"/>
    <w:rsid w:val="004A3BC6"/>
    <w:rsid w:val="004A5437"/>
    <w:rsid w:val="004A55C7"/>
    <w:rsid w:val="004A5EFE"/>
    <w:rsid w:val="004A7F33"/>
    <w:rsid w:val="004B0364"/>
    <w:rsid w:val="004B0B18"/>
    <w:rsid w:val="004B3709"/>
    <w:rsid w:val="004B3D2C"/>
    <w:rsid w:val="004B4264"/>
    <w:rsid w:val="004B4340"/>
    <w:rsid w:val="004B5321"/>
    <w:rsid w:val="004B5448"/>
    <w:rsid w:val="004B56D0"/>
    <w:rsid w:val="004B6079"/>
    <w:rsid w:val="004B60D3"/>
    <w:rsid w:val="004B6A47"/>
    <w:rsid w:val="004C00D6"/>
    <w:rsid w:val="004C0801"/>
    <w:rsid w:val="004C3429"/>
    <w:rsid w:val="004C55B0"/>
    <w:rsid w:val="004C596C"/>
    <w:rsid w:val="004C5BCC"/>
    <w:rsid w:val="004C6A9D"/>
    <w:rsid w:val="004C6CDC"/>
    <w:rsid w:val="004C6CE0"/>
    <w:rsid w:val="004C78C7"/>
    <w:rsid w:val="004D04DB"/>
    <w:rsid w:val="004D1703"/>
    <w:rsid w:val="004D1A81"/>
    <w:rsid w:val="004D2918"/>
    <w:rsid w:val="004D3F41"/>
    <w:rsid w:val="004D43A0"/>
    <w:rsid w:val="004D526F"/>
    <w:rsid w:val="004D53FD"/>
    <w:rsid w:val="004D7565"/>
    <w:rsid w:val="004E1786"/>
    <w:rsid w:val="004E2479"/>
    <w:rsid w:val="004E2756"/>
    <w:rsid w:val="004E2F61"/>
    <w:rsid w:val="004E3E41"/>
    <w:rsid w:val="004E4283"/>
    <w:rsid w:val="004E6B2D"/>
    <w:rsid w:val="004E6B46"/>
    <w:rsid w:val="004E71A4"/>
    <w:rsid w:val="004E7399"/>
    <w:rsid w:val="004E7EB5"/>
    <w:rsid w:val="004F06C1"/>
    <w:rsid w:val="004F07D9"/>
    <w:rsid w:val="004F10F3"/>
    <w:rsid w:val="004F2A9D"/>
    <w:rsid w:val="004F2B8C"/>
    <w:rsid w:val="004F2FBA"/>
    <w:rsid w:val="004F3590"/>
    <w:rsid w:val="004F57E1"/>
    <w:rsid w:val="004F5EE0"/>
    <w:rsid w:val="004F6281"/>
    <w:rsid w:val="004F681B"/>
    <w:rsid w:val="004F6BA0"/>
    <w:rsid w:val="0050019B"/>
    <w:rsid w:val="005002B8"/>
    <w:rsid w:val="005008DC"/>
    <w:rsid w:val="00501091"/>
    <w:rsid w:val="00501AB4"/>
    <w:rsid w:val="00501BB1"/>
    <w:rsid w:val="00501E08"/>
    <w:rsid w:val="00503440"/>
    <w:rsid w:val="00503BEA"/>
    <w:rsid w:val="005043AB"/>
    <w:rsid w:val="00504536"/>
    <w:rsid w:val="00505F08"/>
    <w:rsid w:val="00506150"/>
    <w:rsid w:val="00506348"/>
    <w:rsid w:val="00507CA1"/>
    <w:rsid w:val="005111B8"/>
    <w:rsid w:val="005111F9"/>
    <w:rsid w:val="00511758"/>
    <w:rsid w:val="005141AB"/>
    <w:rsid w:val="005143BB"/>
    <w:rsid w:val="005144A3"/>
    <w:rsid w:val="00514AE9"/>
    <w:rsid w:val="00514B58"/>
    <w:rsid w:val="00514CAD"/>
    <w:rsid w:val="00515765"/>
    <w:rsid w:val="00515EF8"/>
    <w:rsid w:val="005161A1"/>
    <w:rsid w:val="005163F1"/>
    <w:rsid w:val="005165F3"/>
    <w:rsid w:val="00516CF0"/>
    <w:rsid w:val="00516EA0"/>
    <w:rsid w:val="00517E22"/>
    <w:rsid w:val="00517FDD"/>
    <w:rsid w:val="00520429"/>
    <w:rsid w:val="00521325"/>
    <w:rsid w:val="00523D4F"/>
    <w:rsid w:val="00523E02"/>
    <w:rsid w:val="005241CB"/>
    <w:rsid w:val="00525598"/>
    <w:rsid w:val="00525BF5"/>
    <w:rsid w:val="0052632E"/>
    <w:rsid w:val="00526862"/>
    <w:rsid w:val="005274AC"/>
    <w:rsid w:val="00527E4B"/>
    <w:rsid w:val="00530817"/>
    <w:rsid w:val="005311C6"/>
    <w:rsid w:val="00531295"/>
    <w:rsid w:val="005322EB"/>
    <w:rsid w:val="0053244F"/>
    <w:rsid w:val="0053359F"/>
    <w:rsid w:val="00533616"/>
    <w:rsid w:val="005339A4"/>
    <w:rsid w:val="00534723"/>
    <w:rsid w:val="0053496A"/>
    <w:rsid w:val="00534C09"/>
    <w:rsid w:val="0053552C"/>
    <w:rsid w:val="00535ABA"/>
    <w:rsid w:val="005361E6"/>
    <w:rsid w:val="00537143"/>
    <w:rsid w:val="0053768B"/>
    <w:rsid w:val="005420F2"/>
    <w:rsid w:val="0054285C"/>
    <w:rsid w:val="00542DB9"/>
    <w:rsid w:val="005431CE"/>
    <w:rsid w:val="00543AEE"/>
    <w:rsid w:val="00543BC9"/>
    <w:rsid w:val="00544E86"/>
    <w:rsid w:val="0054526B"/>
    <w:rsid w:val="00545292"/>
    <w:rsid w:val="005458E3"/>
    <w:rsid w:val="00552334"/>
    <w:rsid w:val="00553384"/>
    <w:rsid w:val="00553850"/>
    <w:rsid w:val="00554486"/>
    <w:rsid w:val="005544F7"/>
    <w:rsid w:val="00556733"/>
    <w:rsid w:val="005610C1"/>
    <w:rsid w:val="00562362"/>
    <w:rsid w:val="00563325"/>
    <w:rsid w:val="00565E7C"/>
    <w:rsid w:val="00566360"/>
    <w:rsid w:val="005668B7"/>
    <w:rsid w:val="00566F95"/>
    <w:rsid w:val="00567BF8"/>
    <w:rsid w:val="00570334"/>
    <w:rsid w:val="00571BA0"/>
    <w:rsid w:val="00573CE6"/>
    <w:rsid w:val="00574F02"/>
    <w:rsid w:val="005754F6"/>
    <w:rsid w:val="0057623E"/>
    <w:rsid w:val="00576D44"/>
    <w:rsid w:val="00580432"/>
    <w:rsid w:val="00580F0F"/>
    <w:rsid w:val="00581CA6"/>
    <w:rsid w:val="00581D4A"/>
    <w:rsid w:val="00584173"/>
    <w:rsid w:val="00584627"/>
    <w:rsid w:val="00584696"/>
    <w:rsid w:val="0059039F"/>
    <w:rsid w:val="005904B9"/>
    <w:rsid w:val="00591383"/>
    <w:rsid w:val="0059289D"/>
    <w:rsid w:val="0059375B"/>
    <w:rsid w:val="005942E8"/>
    <w:rsid w:val="00594F18"/>
    <w:rsid w:val="00595462"/>
    <w:rsid w:val="00595520"/>
    <w:rsid w:val="005968C5"/>
    <w:rsid w:val="005A04BD"/>
    <w:rsid w:val="005A0BD4"/>
    <w:rsid w:val="005A2025"/>
    <w:rsid w:val="005A2B9B"/>
    <w:rsid w:val="005A2F21"/>
    <w:rsid w:val="005A4168"/>
    <w:rsid w:val="005A43FA"/>
    <w:rsid w:val="005A44B9"/>
    <w:rsid w:val="005A66C1"/>
    <w:rsid w:val="005A7760"/>
    <w:rsid w:val="005A7D18"/>
    <w:rsid w:val="005B0A7D"/>
    <w:rsid w:val="005B0BDC"/>
    <w:rsid w:val="005B0C1A"/>
    <w:rsid w:val="005B1752"/>
    <w:rsid w:val="005B1851"/>
    <w:rsid w:val="005B1BA0"/>
    <w:rsid w:val="005B3DB3"/>
    <w:rsid w:val="005C0371"/>
    <w:rsid w:val="005C13D5"/>
    <w:rsid w:val="005C1B78"/>
    <w:rsid w:val="005C2338"/>
    <w:rsid w:val="005C33A4"/>
    <w:rsid w:val="005C3974"/>
    <w:rsid w:val="005C4190"/>
    <w:rsid w:val="005C4F8F"/>
    <w:rsid w:val="005C560D"/>
    <w:rsid w:val="005C576C"/>
    <w:rsid w:val="005C6154"/>
    <w:rsid w:val="005C79BC"/>
    <w:rsid w:val="005C79C8"/>
    <w:rsid w:val="005D0601"/>
    <w:rsid w:val="005D0C1C"/>
    <w:rsid w:val="005D15CA"/>
    <w:rsid w:val="005D1E78"/>
    <w:rsid w:val="005D26F6"/>
    <w:rsid w:val="005D411E"/>
    <w:rsid w:val="005D47B5"/>
    <w:rsid w:val="005D56C1"/>
    <w:rsid w:val="005D58F5"/>
    <w:rsid w:val="005D794C"/>
    <w:rsid w:val="005E2172"/>
    <w:rsid w:val="005E3371"/>
    <w:rsid w:val="005E411F"/>
    <w:rsid w:val="005E429A"/>
    <w:rsid w:val="005E4949"/>
    <w:rsid w:val="005E4E63"/>
    <w:rsid w:val="005E5B52"/>
    <w:rsid w:val="005E6BE0"/>
    <w:rsid w:val="005E6CFE"/>
    <w:rsid w:val="005E70C5"/>
    <w:rsid w:val="005E7EF7"/>
    <w:rsid w:val="005F065E"/>
    <w:rsid w:val="005F13FB"/>
    <w:rsid w:val="005F1D8D"/>
    <w:rsid w:val="005F3066"/>
    <w:rsid w:val="005F3E61"/>
    <w:rsid w:val="005F42A8"/>
    <w:rsid w:val="005F43CE"/>
    <w:rsid w:val="005F5D54"/>
    <w:rsid w:val="005F65C1"/>
    <w:rsid w:val="005F7369"/>
    <w:rsid w:val="00601136"/>
    <w:rsid w:val="00601767"/>
    <w:rsid w:val="00601C34"/>
    <w:rsid w:val="00601D34"/>
    <w:rsid w:val="00602ED6"/>
    <w:rsid w:val="0060360E"/>
    <w:rsid w:val="00604DDD"/>
    <w:rsid w:val="00605444"/>
    <w:rsid w:val="00607F91"/>
    <w:rsid w:val="00610C62"/>
    <w:rsid w:val="006115CC"/>
    <w:rsid w:val="00611D81"/>
    <w:rsid w:val="00611FC4"/>
    <w:rsid w:val="00613621"/>
    <w:rsid w:val="00613FAD"/>
    <w:rsid w:val="00614B51"/>
    <w:rsid w:val="00614BF3"/>
    <w:rsid w:val="00616B69"/>
    <w:rsid w:val="00616FAC"/>
    <w:rsid w:val="006176FB"/>
    <w:rsid w:val="0062080E"/>
    <w:rsid w:val="00622AF7"/>
    <w:rsid w:val="00622F2E"/>
    <w:rsid w:val="00625178"/>
    <w:rsid w:val="00625228"/>
    <w:rsid w:val="0062553B"/>
    <w:rsid w:val="00625586"/>
    <w:rsid w:val="006259CC"/>
    <w:rsid w:val="00630FCB"/>
    <w:rsid w:val="006310B2"/>
    <w:rsid w:val="00631FD4"/>
    <w:rsid w:val="00633976"/>
    <w:rsid w:val="00634028"/>
    <w:rsid w:val="0063402F"/>
    <w:rsid w:val="0063461B"/>
    <w:rsid w:val="00634778"/>
    <w:rsid w:val="00637B5B"/>
    <w:rsid w:val="00640375"/>
    <w:rsid w:val="00640599"/>
    <w:rsid w:val="006406FD"/>
    <w:rsid w:val="00640B26"/>
    <w:rsid w:val="00641280"/>
    <w:rsid w:val="00641562"/>
    <w:rsid w:val="00645C04"/>
    <w:rsid w:val="006463E3"/>
    <w:rsid w:val="006464BE"/>
    <w:rsid w:val="00646F35"/>
    <w:rsid w:val="006501D8"/>
    <w:rsid w:val="00651176"/>
    <w:rsid w:val="006517D5"/>
    <w:rsid w:val="00651913"/>
    <w:rsid w:val="00651BEE"/>
    <w:rsid w:val="00652CD2"/>
    <w:rsid w:val="00653269"/>
    <w:rsid w:val="00653429"/>
    <w:rsid w:val="00653B9B"/>
    <w:rsid w:val="00656DB7"/>
    <w:rsid w:val="00657334"/>
    <w:rsid w:val="006619A4"/>
    <w:rsid w:val="00662461"/>
    <w:rsid w:val="00662A54"/>
    <w:rsid w:val="00664381"/>
    <w:rsid w:val="006644C2"/>
    <w:rsid w:val="0066499A"/>
    <w:rsid w:val="00665E70"/>
    <w:rsid w:val="006662E0"/>
    <w:rsid w:val="00667C92"/>
    <w:rsid w:val="00667F16"/>
    <w:rsid w:val="00671096"/>
    <w:rsid w:val="0067125E"/>
    <w:rsid w:val="00671752"/>
    <w:rsid w:val="00673B76"/>
    <w:rsid w:val="00673C73"/>
    <w:rsid w:val="006740CA"/>
    <w:rsid w:val="006745D5"/>
    <w:rsid w:val="0067483E"/>
    <w:rsid w:val="006770B2"/>
    <w:rsid w:val="0067749D"/>
    <w:rsid w:val="00677510"/>
    <w:rsid w:val="006822AD"/>
    <w:rsid w:val="00682467"/>
    <w:rsid w:val="00682731"/>
    <w:rsid w:val="0068294C"/>
    <w:rsid w:val="00682B47"/>
    <w:rsid w:val="006839FA"/>
    <w:rsid w:val="006859C7"/>
    <w:rsid w:val="0068639C"/>
    <w:rsid w:val="00687EB0"/>
    <w:rsid w:val="0069019A"/>
    <w:rsid w:val="0069157C"/>
    <w:rsid w:val="00691E8A"/>
    <w:rsid w:val="00692B7C"/>
    <w:rsid w:val="006940E1"/>
    <w:rsid w:val="00694605"/>
    <w:rsid w:val="00694EC3"/>
    <w:rsid w:val="00697660"/>
    <w:rsid w:val="006976C4"/>
    <w:rsid w:val="006A0BB9"/>
    <w:rsid w:val="006A18AA"/>
    <w:rsid w:val="006A1D18"/>
    <w:rsid w:val="006A1E15"/>
    <w:rsid w:val="006A231E"/>
    <w:rsid w:val="006A2D47"/>
    <w:rsid w:val="006A3374"/>
    <w:rsid w:val="006A3BA8"/>
    <w:rsid w:val="006A3C72"/>
    <w:rsid w:val="006A4C6A"/>
    <w:rsid w:val="006A4D54"/>
    <w:rsid w:val="006A6210"/>
    <w:rsid w:val="006A7392"/>
    <w:rsid w:val="006B03A1"/>
    <w:rsid w:val="006B1A63"/>
    <w:rsid w:val="006B1D6B"/>
    <w:rsid w:val="006B2B3D"/>
    <w:rsid w:val="006B48ED"/>
    <w:rsid w:val="006B5A3F"/>
    <w:rsid w:val="006B66F1"/>
    <w:rsid w:val="006B67D9"/>
    <w:rsid w:val="006B701E"/>
    <w:rsid w:val="006B7F1E"/>
    <w:rsid w:val="006C0266"/>
    <w:rsid w:val="006C0CC8"/>
    <w:rsid w:val="006C1541"/>
    <w:rsid w:val="006C229C"/>
    <w:rsid w:val="006C3359"/>
    <w:rsid w:val="006C38E1"/>
    <w:rsid w:val="006C3B22"/>
    <w:rsid w:val="006C3BAD"/>
    <w:rsid w:val="006C3C30"/>
    <w:rsid w:val="006C40CA"/>
    <w:rsid w:val="006C45B9"/>
    <w:rsid w:val="006C5535"/>
    <w:rsid w:val="006C58E7"/>
    <w:rsid w:val="006C63CD"/>
    <w:rsid w:val="006C66C1"/>
    <w:rsid w:val="006C6A18"/>
    <w:rsid w:val="006C6F24"/>
    <w:rsid w:val="006C7E60"/>
    <w:rsid w:val="006D0589"/>
    <w:rsid w:val="006D08B4"/>
    <w:rsid w:val="006D0A9B"/>
    <w:rsid w:val="006D134D"/>
    <w:rsid w:val="006D1A6D"/>
    <w:rsid w:val="006D21F4"/>
    <w:rsid w:val="006D239D"/>
    <w:rsid w:val="006D242B"/>
    <w:rsid w:val="006D365A"/>
    <w:rsid w:val="006D367E"/>
    <w:rsid w:val="006D3E4A"/>
    <w:rsid w:val="006D4C8F"/>
    <w:rsid w:val="006D4F66"/>
    <w:rsid w:val="006D543A"/>
    <w:rsid w:val="006D6B8F"/>
    <w:rsid w:val="006D6DE6"/>
    <w:rsid w:val="006D7550"/>
    <w:rsid w:val="006D7A54"/>
    <w:rsid w:val="006D7E8B"/>
    <w:rsid w:val="006E22A4"/>
    <w:rsid w:val="006E2450"/>
    <w:rsid w:val="006E24EF"/>
    <w:rsid w:val="006E3898"/>
    <w:rsid w:val="006E4223"/>
    <w:rsid w:val="006E46F7"/>
    <w:rsid w:val="006E4752"/>
    <w:rsid w:val="006E4EB8"/>
    <w:rsid w:val="006E564B"/>
    <w:rsid w:val="006E6816"/>
    <w:rsid w:val="006E68DE"/>
    <w:rsid w:val="006E7154"/>
    <w:rsid w:val="006F1B4A"/>
    <w:rsid w:val="006F1C8D"/>
    <w:rsid w:val="006F1D62"/>
    <w:rsid w:val="006F2874"/>
    <w:rsid w:val="006F2E03"/>
    <w:rsid w:val="006F399A"/>
    <w:rsid w:val="006F4058"/>
    <w:rsid w:val="006F4919"/>
    <w:rsid w:val="006F500E"/>
    <w:rsid w:val="006F71F9"/>
    <w:rsid w:val="006F7644"/>
    <w:rsid w:val="006F79E5"/>
    <w:rsid w:val="006F7DC2"/>
    <w:rsid w:val="007003CD"/>
    <w:rsid w:val="00700AC5"/>
    <w:rsid w:val="00700B10"/>
    <w:rsid w:val="007018C4"/>
    <w:rsid w:val="00703B4A"/>
    <w:rsid w:val="00705968"/>
    <w:rsid w:val="007061BB"/>
    <w:rsid w:val="007061DF"/>
    <w:rsid w:val="0070701E"/>
    <w:rsid w:val="00711A9B"/>
    <w:rsid w:val="00712576"/>
    <w:rsid w:val="0071429A"/>
    <w:rsid w:val="00721E04"/>
    <w:rsid w:val="00722395"/>
    <w:rsid w:val="007238F7"/>
    <w:rsid w:val="00725985"/>
    <w:rsid w:val="00725C12"/>
    <w:rsid w:val="00726209"/>
    <w:rsid w:val="0072632A"/>
    <w:rsid w:val="007266F8"/>
    <w:rsid w:val="00726951"/>
    <w:rsid w:val="00730233"/>
    <w:rsid w:val="007334CB"/>
    <w:rsid w:val="0073388B"/>
    <w:rsid w:val="00733CF7"/>
    <w:rsid w:val="007358E8"/>
    <w:rsid w:val="00736465"/>
    <w:rsid w:val="00736797"/>
    <w:rsid w:val="00736ECE"/>
    <w:rsid w:val="0073744E"/>
    <w:rsid w:val="00737789"/>
    <w:rsid w:val="00737A3B"/>
    <w:rsid w:val="00737A4F"/>
    <w:rsid w:val="00741741"/>
    <w:rsid w:val="00743491"/>
    <w:rsid w:val="0074533B"/>
    <w:rsid w:val="007454AD"/>
    <w:rsid w:val="00751220"/>
    <w:rsid w:val="0075309F"/>
    <w:rsid w:val="0075329A"/>
    <w:rsid w:val="00753918"/>
    <w:rsid w:val="007552EC"/>
    <w:rsid w:val="00756889"/>
    <w:rsid w:val="007606D5"/>
    <w:rsid w:val="00760822"/>
    <w:rsid w:val="007643BC"/>
    <w:rsid w:val="007655A2"/>
    <w:rsid w:val="00766880"/>
    <w:rsid w:val="00766B95"/>
    <w:rsid w:val="00766F8D"/>
    <w:rsid w:val="007728A5"/>
    <w:rsid w:val="00772AEA"/>
    <w:rsid w:val="007772DE"/>
    <w:rsid w:val="00777BEC"/>
    <w:rsid w:val="007817EE"/>
    <w:rsid w:val="00782CF8"/>
    <w:rsid w:val="007838FA"/>
    <w:rsid w:val="00783AC1"/>
    <w:rsid w:val="0078614F"/>
    <w:rsid w:val="00787260"/>
    <w:rsid w:val="00787678"/>
    <w:rsid w:val="007906A0"/>
    <w:rsid w:val="00790745"/>
    <w:rsid w:val="00790BF5"/>
    <w:rsid w:val="00791AAC"/>
    <w:rsid w:val="00792B01"/>
    <w:rsid w:val="00792F17"/>
    <w:rsid w:val="00792F74"/>
    <w:rsid w:val="00793F63"/>
    <w:rsid w:val="007955FB"/>
    <w:rsid w:val="00795898"/>
    <w:rsid w:val="007959FE"/>
    <w:rsid w:val="007979CA"/>
    <w:rsid w:val="00797A2A"/>
    <w:rsid w:val="007A0220"/>
    <w:rsid w:val="007A0CF1"/>
    <w:rsid w:val="007A0E6B"/>
    <w:rsid w:val="007A131E"/>
    <w:rsid w:val="007A199B"/>
    <w:rsid w:val="007A1FB9"/>
    <w:rsid w:val="007A2F32"/>
    <w:rsid w:val="007A329D"/>
    <w:rsid w:val="007A6CE7"/>
    <w:rsid w:val="007A7C24"/>
    <w:rsid w:val="007A7DA2"/>
    <w:rsid w:val="007B07FD"/>
    <w:rsid w:val="007B1415"/>
    <w:rsid w:val="007B4C06"/>
    <w:rsid w:val="007B4F87"/>
    <w:rsid w:val="007B6BA5"/>
    <w:rsid w:val="007B786B"/>
    <w:rsid w:val="007C1662"/>
    <w:rsid w:val="007C183A"/>
    <w:rsid w:val="007C2A05"/>
    <w:rsid w:val="007C3390"/>
    <w:rsid w:val="007C3BA3"/>
    <w:rsid w:val="007C4106"/>
    <w:rsid w:val="007C42D8"/>
    <w:rsid w:val="007C4F4B"/>
    <w:rsid w:val="007C575A"/>
    <w:rsid w:val="007C5974"/>
    <w:rsid w:val="007C5A80"/>
    <w:rsid w:val="007C5CC3"/>
    <w:rsid w:val="007C6D88"/>
    <w:rsid w:val="007C720A"/>
    <w:rsid w:val="007C727A"/>
    <w:rsid w:val="007C7CEB"/>
    <w:rsid w:val="007D009C"/>
    <w:rsid w:val="007D03D5"/>
    <w:rsid w:val="007D1278"/>
    <w:rsid w:val="007D4728"/>
    <w:rsid w:val="007D6119"/>
    <w:rsid w:val="007D63A4"/>
    <w:rsid w:val="007D66D4"/>
    <w:rsid w:val="007D681E"/>
    <w:rsid w:val="007D7362"/>
    <w:rsid w:val="007E0AF4"/>
    <w:rsid w:val="007E1CEB"/>
    <w:rsid w:val="007E287E"/>
    <w:rsid w:val="007E2AC5"/>
    <w:rsid w:val="007E390B"/>
    <w:rsid w:val="007E3FCA"/>
    <w:rsid w:val="007E4623"/>
    <w:rsid w:val="007E47E7"/>
    <w:rsid w:val="007E66C0"/>
    <w:rsid w:val="007F0129"/>
    <w:rsid w:val="007F0425"/>
    <w:rsid w:val="007F1E6C"/>
    <w:rsid w:val="007F1EEC"/>
    <w:rsid w:val="007F20C0"/>
    <w:rsid w:val="007F3D07"/>
    <w:rsid w:val="007F4194"/>
    <w:rsid w:val="007F4B9E"/>
    <w:rsid w:val="007F5269"/>
    <w:rsid w:val="007F5C00"/>
    <w:rsid w:val="007F5CCA"/>
    <w:rsid w:val="007F5CE2"/>
    <w:rsid w:val="007F6611"/>
    <w:rsid w:val="007F6F42"/>
    <w:rsid w:val="008008DF"/>
    <w:rsid w:val="00800F49"/>
    <w:rsid w:val="00804037"/>
    <w:rsid w:val="00804A30"/>
    <w:rsid w:val="008060A3"/>
    <w:rsid w:val="00810211"/>
    <w:rsid w:val="00810BAC"/>
    <w:rsid w:val="00812CB0"/>
    <w:rsid w:val="008134E1"/>
    <w:rsid w:val="00814642"/>
    <w:rsid w:val="0081616C"/>
    <w:rsid w:val="0081718D"/>
    <w:rsid w:val="008175E9"/>
    <w:rsid w:val="00820B7D"/>
    <w:rsid w:val="008219C3"/>
    <w:rsid w:val="00822B9A"/>
    <w:rsid w:val="00823AAD"/>
    <w:rsid w:val="008242D7"/>
    <w:rsid w:val="00824F32"/>
    <w:rsid w:val="008255CD"/>
    <w:rsid w:val="0082577B"/>
    <w:rsid w:val="00825F48"/>
    <w:rsid w:val="00826CAA"/>
    <w:rsid w:val="00827670"/>
    <w:rsid w:val="0083041C"/>
    <w:rsid w:val="00832394"/>
    <w:rsid w:val="008340EE"/>
    <w:rsid w:val="00837038"/>
    <w:rsid w:val="008379F4"/>
    <w:rsid w:val="00837CF9"/>
    <w:rsid w:val="00840842"/>
    <w:rsid w:val="00840EBE"/>
    <w:rsid w:val="008411F8"/>
    <w:rsid w:val="00843674"/>
    <w:rsid w:val="0084369B"/>
    <w:rsid w:val="00843A8A"/>
    <w:rsid w:val="00843D5A"/>
    <w:rsid w:val="00844217"/>
    <w:rsid w:val="0084453E"/>
    <w:rsid w:val="00846C31"/>
    <w:rsid w:val="008519C0"/>
    <w:rsid w:val="008529D9"/>
    <w:rsid w:val="00853C0E"/>
    <w:rsid w:val="00854F00"/>
    <w:rsid w:val="0085616C"/>
    <w:rsid w:val="00861A3C"/>
    <w:rsid w:val="00863468"/>
    <w:rsid w:val="00864A64"/>
    <w:rsid w:val="00864F21"/>
    <w:rsid w:val="008659A7"/>
    <w:rsid w:val="00865BF8"/>
    <w:rsid w:val="00865F21"/>
    <w:rsid w:val="0086622A"/>
    <w:rsid w:val="00866760"/>
    <w:rsid w:val="00866893"/>
    <w:rsid w:val="00866E93"/>
    <w:rsid w:val="00866F02"/>
    <w:rsid w:val="0086793F"/>
    <w:rsid w:val="00867D18"/>
    <w:rsid w:val="008705B4"/>
    <w:rsid w:val="008706B8"/>
    <w:rsid w:val="00871F68"/>
    <w:rsid w:val="00871F9A"/>
    <w:rsid w:val="00871FD5"/>
    <w:rsid w:val="00872FF7"/>
    <w:rsid w:val="00874D32"/>
    <w:rsid w:val="00874F86"/>
    <w:rsid w:val="008772FF"/>
    <w:rsid w:val="0087748D"/>
    <w:rsid w:val="00880C45"/>
    <w:rsid w:val="00880F79"/>
    <w:rsid w:val="0088172E"/>
    <w:rsid w:val="00881EF9"/>
    <w:rsid w:val="00881EFA"/>
    <w:rsid w:val="00882A13"/>
    <w:rsid w:val="00883356"/>
    <w:rsid w:val="00884D23"/>
    <w:rsid w:val="00885547"/>
    <w:rsid w:val="0088614C"/>
    <w:rsid w:val="008869C0"/>
    <w:rsid w:val="008869D1"/>
    <w:rsid w:val="008879CB"/>
    <w:rsid w:val="00890087"/>
    <w:rsid w:val="0089170C"/>
    <w:rsid w:val="00891960"/>
    <w:rsid w:val="00891BAB"/>
    <w:rsid w:val="00891ED9"/>
    <w:rsid w:val="00892778"/>
    <w:rsid w:val="00893064"/>
    <w:rsid w:val="00894EC5"/>
    <w:rsid w:val="00895F2A"/>
    <w:rsid w:val="00896369"/>
    <w:rsid w:val="00896F08"/>
    <w:rsid w:val="008979B1"/>
    <w:rsid w:val="00897C6F"/>
    <w:rsid w:val="008A0D86"/>
    <w:rsid w:val="008A0FAD"/>
    <w:rsid w:val="008A2250"/>
    <w:rsid w:val="008A3251"/>
    <w:rsid w:val="008A352C"/>
    <w:rsid w:val="008A4191"/>
    <w:rsid w:val="008A4279"/>
    <w:rsid w:val="008A4A98"/>
    <w:rsid w:val="008A5772"/>
    <w:rsid w:val="008A6B25"/>
    <w:rsid w:val="008A6C4F"/>
    <w:rsid w:val="008A6D19"/>
    <w:rsid w:val="008A7340"/>
    <w:rsid w:val="008A7E01"/>
    <w:rsid w:val="008B1932"/>
    <w:rsid w:val="008B1F84"/>
    <w:rsid w:val="008B2066"/>
    <w:rsid w:val="008B296E"/>
    <w:rsid w:val="008B2DD6"/>
    <w:rsid w:val="008B389E"/>
    <w:rsid w:val="008B59D0"/>
    <w:rsid w:val="008B605E"/>
    <w:rsid w:val="008B66F1"/>
    <w:rsid w:val="008C104F"/>
    <w:rsid w:val="008C17DC"/>
    <w:rsid w:val="008C218D"/>
    <w:rsid w:val="008C2393"/>
    <w:rsid w:val="008C2915"/>
    <w:rsid w:val="008C3297"/>
    <w:rsid w:val="008C3C15"/>
    <w:rsid w:val="008C40B5"/>
    <w:rsid w:val="008C4E42"/>
    <w:rsid w:val="008C6E27"/>
    <w:rsid w:val="008D045E"/>
    <w:rsid w:val="008D064A"/>
    <w:rsid w:val="008D1101"/>
    <w:rsid w:val="008D1AE0"/>
    <w:rsid w:val="008D226E"/>
    <w:rsid w:val="008D24A3"/>
    <w:rsid w:val="008D32C3"/>
    <w:rsid w:val="008D345B"/>
    <w:rsid w:val="008D3F25"/>
    <w:rsid w:val="008D44BD"/>
    <w:rsid w:val="008D4D82"/>
    <w:rsid w:val="008D760E"/>
    <w:rsid w:val="008E0354"/>
    <w:rsid w:val="008E0E46"/>
    <w:rsid w:val="008E3AEC"/>
    <w:rsid w:val="008E4844"/>
    <w:rsid w:val="008E499E"/>
    <w:rsid w:val="008E4ACE"/>
    <w:rsid w:val="008E7116"/>
    <w:rsid w:val="008F093A"/>
    <w:rsid w:val="008F096D"/>
    <w:rsid w:val="008F0B38"/>
    <w:rsid w:val="008F143B"/>
    <w:rsid w:val="008F2E8A"/>
    <w:rsid w:val="008F3882"/>
    <w:rsid w:val="008F3CFA"/>
    <w:rsid w:val="008F4B7C"/>
    <w:rsid w:val="008F7486"/>
    <w:rsid w:val="00900673"/>
    <w:rsid w:val="00901FEE"/>
    <w:rsid w:val="009065DD"/>
    <w:rsid w:val="0090676D"/>
    <w:rsid w:val="009068F6"/>
    <w:rsid w:val="00906BE8"/>
    <w:rsid w:val="00907292"/>
    <w:rsid w:val="00907D74"/>
    <w:rsid w:val="00910058"/>
    <w:rsid w:val="00910D21"/>
    <w:rsid w:val="009114A7"/>
    <w:rsid w:val="0091271F"/>
    <w:rsid w:val="009127AF"/>
    <w:rsid w:val="009130C2"/>
    <w:rsid w:val="00913101"/>
    <w:rsid w:val="00915611"/>
    <w:rsid w:val="00915784"/>
    <w:rsid w:val="0091582D"/>
    <w:rsid w:val="00915E6E"/>
    <w:rsid w:val="0091609E"/>
    <w:rsid w:val="00917DAB"/>
    <w:rsid w:val="00920BC8"/>
    <w:rsid w:val="009223E6"/>
    <w:rsid w:val="009233BA"/>
    <w:rsid w:val="00926E47"/>
    <w:rsid w:val="00927D57"/>
    <w:rsid w:val="009301B3"/>
    <w:rsid w:val="009304B8"/>
    <w:rsid w:val="00930F31"/>
    <w:rsid w:val="00932A6D"/>
    <w:rsid w:val="00933E8B"/>
    <w:rsid w:val="00935AA3"/>
    <w:rsid w:val="00936881"/>
    <w:rsid w:val="00936B9B"/>
    <w:rsid w:val="009378E3"/>
    <w:rsid w:val="00940DB8"/>
    <w:rsid w:val="00943D76"/>
    <w:rsid w:val="00944045"/>
    <w:rsid w:val="00944CFC"/>
    <w:rsid w:val="009451E4"/>
    <w:rsid w:val="00947162"/>
    <w:rsid w:val="0095008E"/>
    <w:rsid w:val="00951C16"/>
    <w:rsid w:val="009540C6"/>
    <w:rsid w:val="0095419E"/>
    <w:rsid w:val="0095500C"/>
    <w:rsid w:val="009558CB"/>
    <w:rsid w:val="00956144"/>
    <w:rsid w:val="0095625B"/>
    <w:rsid w:val="00956B7E"/>
    <w:rsid w:val="00956ECF"/>
    <w:rsid w:val="009575F1"/>
    <w:rsid w:val="00957FC1"/>
    <w:rsid w:val="009610D0"/>
    <w:rsid w:val="00962265"/>
    <w:rsid w:val="0096375C"/>
    <w:rsid w:val="0096535F"/>
    <w:rsid w:val="009658C0"/>
    <w:rsid w:val="00966017"/>
    <w:rsid w:val="009661FB"/>
    <w:rsid w:val="009662E6"/>
    <w:rsid w:val="00966772"/>
    <w:rsid w:val="00967BA3"/>
    <w:rsid w:val="00967E0B"/>
    <w:rsid w:val="0097095E"/>
    <w:rsid w:val="00970E30"/>
    <w:rsid w:val="00971472"/>
    <w:rsid w:val="0097153A"/>
    <w:rsid w:val="009718BB"/>
    <w:rsid w:val="0097255C"/>
    <w:rsid w:val="00973867"/>
    <w:rsid w:val="00973E55"/>
    <w:rsid w:val="00974792"/>
    <w:rsid w:val="0097566C"/>
    <w:rsid w:val="00975FA7"/>
    <w:rsid w:val="009772BE"/>
    <w:rsid w:val="00980EFE"/>
    <w:rsid w:val="009830B5"/>
    <w:rsid w:val="00983D24"/>
    <w:rsid w:val="00984CA3"/>
    <w:rsid w:val="0098580D"/>
    <w:rsid w:val="0098592B"/>
    <w:rsid w:val="00985948"/>
    <w:rsid w:val="00985A3B"/>
    <w:rsid w:val="00985FC4"/>
    <w:rsid w:val="00987C6B"/>
    <w:rsid w:val="0099026D"/>
    <w:rsid w:val="00990766"/>
    <w:rsid w:val="00990AE7"/>
    <w:rsid w:val="00991261"/>
    <w:rsid w:val="00991410"/>
    <w:rsid w:val="00991616"/>
    <w:rsid w:val="00991DCF"/>
    <w:rsid w:val="00991FFC"/>
    <w:rsid w:val="00992AF4"/>
    <w:rsid w:val="00992EC3"/>
    <w:rsid w:val="00992FE8"/>
    <w:rsid w:val="0099319E"/>
    <w:rsid w:val="0099374E"/>
    <w:rsid w:val="00993CF1"/>
    <w:rsid w:val="009941AD"/>
    <w:rsid w:val="009950E9"/>
    <w:rsid w:val="00995A1B"/>
    <w:rsid w:val="009964C4"/>
    <w:rsid w:val="00997955"/>
    <w:rsid w:val="009A1847"/>
    <w:rsid w:val="009A1F5E"/>
    <w:rsid w:val="009A2665"/>
    <w:rsid w:val="009A28FC"/>
    <w:rsid w:val="009A2DF0"/>
    <w:rsid w:val="009A2DF8"/>
    <w:rsid w:val="009A3419"/>
    <w:rsid w:val="009A3830"/>
    <w:rsid w:val="009A3E8C"/>
    <w:rsid w:val="009A4629"/>
    <w:rsid w:val="009A50B7"/>
    <w:rsid w:val="009A52E8"/>
    <w:rsid w:val="009A659F"/>
    <w:rsid w:val="009A7B81"/>
    <w:rsid w:val="009B0165"/>
    <w:rsid w:val="009B0A90"/>
    <w:rsid w:val="009B2C45"/>
    <w:rsid w:val="009B2E46"/>
    <w:rsid w:val="009B3162"/>
    <w:rsid w:val="009B33F8"/>
    <w:rsid w:val="009B42E8"/>
    <w:rsid w:val="009B4B30"/>
    <w:rsid w:val="009B596C"/>
    <w:rsid w:val="009B6E0C"/>
    <w:rsid w:val="009B7683"/>
    <w:rsid w:val="009C2A55"/>
    <w:rsid w:val="009C2BB1"/>
    <w:rsid w:val="009C38AA"/>
    <w:rsid w:val="009C39D6"/>
    <w:rsid w:val="009C3BDF"/>
    <w:rsid w:val="009C3DFF"/>
    <w:rsid w:val="009C4382"/>
    <w:rsid w:val="009C497E"/>
    <w:rsid w:val="009C5168"/>
    <w:rsid w:val="009C674D"/>
    <w:rsid w:val="009C6BD3"/>
    <w:rsid w:val="009D01C0"/>
    <w:rsid w:val="009D027F"/>
    <w:rsid w:val="009D35A2"/>
    <w:rsid w:val="009D4179"/>
    <w:rsid w:val="009D43BA"/>
    <w:rsid w:val="009D6A08"/>
    <w:rsid w:val="009D722A"/>
    <w:rsid w:val="009D79DD"/>
    <w:rsid w:val="009E0A16"/>
    <w:rsid w:val="009E1D6F"/>
    <w:rsid w:val="009E21F2"/>
    <w:rsid w:val="009E27E7"/>
    <w:rsid w:val="009E2CC1"/>
    <w:rsid w:val="009E2E8D"/>
    <w:rsid w:val="009E497A"/>
    <w:rsid w:val="009E55F7"/>
    <w:rsid w:val="009E5EAD"/>
    <w:rsid w:val="009E6CB7"/>
    <w:rsid w:val="009E75CB"/>
    <w:rsid w:val="009E7970"/>
    <w:rsid w:val="009F2EAC"/>
    <w:rsid w:val="009F57E3"/>
    <w:rsid w:val="009F6161"/>
    <w:rsid w:val="009F6557"/>
    <w:rsid w:val="009F6989"/>
    <w:rsid w:val="009F7AF9"/>
    <w:rsid w:val="00A000E9"/>
    <w:rsid w:val="00A00766"/>
    <w:rsid w:val="00A00B6F"/>
    <w:rsid w:val="00A023B9"/>
    <w:rsid w:val="00A03769"/>
    <w:rsid w:val="00A03AF8"/>
    <w:rsid w:val="00A07840"/>
    <w:rsid w:val="00A10F4F"/>
    <w:rsid w:val="00A11067"/>
    <w:rsid w:val="00A12258"/>
    <w:rsid w:val="00A12FDD"/>
    <w:rsid w:val="00A141CA"/>
    <w:rsid w:val="00A14D8A"/>
    <w:rsid w:val="00A15170"/>
    <w:rsid w:val="00A16FD3"/>
    <w:rsid w:val="00A16FF1"/>
    <w:rsid w:val="00A17026"/>
    <w:rsid w:val="00A1704A"/>
    <w:rsid w:val="00A174AF"/>
    <w:rsid w:val="00A20356"/>
    <w:rsid w:val="00A20E88"/>
    <w:rsid w:val="00A2136F"/>
    <w:rsid w:val="00A2170D"/>
    <w:rsid w:val="00A21F6E"/>
    <w:rsid w:val="00A223DE"/>
    <w:rsid w:val="00A22446"/>
    <w:rsid w:val="00A24579"/>
    <w:rsid w:val="00A27A8C"/>
    <w:rsid w:val="00A27BC2"/>
    <w:rsid w:val="00A31026"/>
    <w:rsid w:val="00A31987"/>
    <w:rsid w:val="00A31BC0"/>
    <w:rsid w:val="00A321C4"/>
    <w:rsid w:val="00A34A62"/>
    <w:rsid w:val="00A34A64"/>
    <w:rsid w:val="00A354E2"/>
    <w:rsid w:val="00A356F5"/>
    <w:rsid w:val="00A36792"/>
    <w:rsid w:val="00A367F4"/>
    <w:rsid w:val="00A36F54"/>
    <w:rsid w:val="00A36F69"/>
    <w:rsid w:val="00A37255"/>
    <w:rsid w:val="00A377C1"/>
    <w:rsid w:val="00A40CFB"/>
    <w:rsid w:val="00A41173"/>
    <w:rsid w:val="00A417B8"/>
    <w:rsid w:val="00A41C80"/>
    <w:rsid w:val="00A41D6B"/>
    <w:rsid w:val="00A425EB"/>
    <w:rsid w:val="00A43149"/>
    <w:rsid w:val="00A43340"/>
    <w:rsid w:val="00A44CC8"/>
    <w:rsid w:val="00A4577C"/>
    <w:rsid w:val="00A4631A"/>
    <w:rsid w:val="00A4638A"/>
    <w:rsid w:val="00A46532"/>
    <w:rsid w:val="00A46870"/>
    <w:rsid w:val="00A46ABE"/>
    <w:rsid w:val="00A46DD0"/>
    <w:rsid w:val="00A5102A"/>
    <w:rsid w:val="00A516EF"/>
    <w:rsid w:val="00A51997"/>
    <w:rsid w:val="00A51CFF"/>
    <w:rsid w:val="00A5214C"/>
    <w:rsid w:val="00A52E45"/>
    <w:rsid w:val="00A53ED3"/>
    <w:rsid w:val="00A54384"/>
    <w:rsid w:val="00A5500A"/>
    <w:rsid w:val="00A553ED"/>
    <w:rsid w:val="00A55F85"/>
    <w:rsid w:val="00A56CEE"/>
    <w:rsid w:val="00A56EB2"/>
    <w:rsid w:val="00A57302"/>
    <w:rsid w:val="00A57893"/>
    <w:rsid w:val="00A60120"/>
    <w:rsid w:val="00A60D80"/>
    <w:rsid w:val="00A61507"/>
    <w:rsid w:val="00A615D4"/>
    <w:rsid w:val="00A6236B"/>
    <w:rsid w:val="00A6493C"/>
    <w:rsid w:val="00A650AA"/>
    <w:rsid w:val="00A65CE6"/>
    <w:rsid w:val="00A66B51"/>
    <w:rsid w:val="00A66C1F"/>
    <w:rsid w:val="00A6785E"/>
    <w:rsid w:val="00A71536"/>
    <w:rsid w:val="00A7198C"/>
    <w:rsid w:val="00A72F22"/>
    <w:rsid w:val="00A733BC"/>
    <w:rsid w:val="00A7449E"/>
    <w:rsid w:val="00A748A6"/>
    <w:rsid w:val="00A7576F"/>
    <w:rsid w:val="00A765FD"/>
    <w:rsid w:val="00A76A69"/>
    <w:rsid w:val="00A76DA0"/>
    <w:rsid w:val="00A7794D"/>
    <w:rsid w:val="00A77C98"/>
    <w:rsid w:val="00A77FBE"/>
    <w:rsid w:val="00A86F96"/>
    <w:rsid w:val="00A879A4"/>
    <w:rsid w:val="00A92899"/>
    <w:rsid w:val="00A92B2D"/>
    <w:rsid w:val="00A932D0"/>
    <w:rsid w:val="00A93BF3"/>
    <w:rsid w:val="00A94110"/>
    <w:rsid w:val="00A96566"/>
    <w:rsid w:val="00A975C8"/>
    <w:rsid w:val="00AA0F1C"/>
    <w:rsid w:val="00AA0FF8"/>
    <w:rsid w:val="00AA1848"/>
    <w:rsid w:val="00AA19D8"/>
    <w:rsid w:val="00AA1D65"/>
    <w:rsid w:val="00AA2E31"/>
    <w:rsid w:val="00AA34CC"/>
    <w:rsid w:val="00AA3E51"/>
    <w:rsid w:val="00AB0A4B"/>
    <w:rsid w:val="00AB11E4"/>
    <w:rsid w:val="00AB19D6"/>
    <w:rsid w:val="00AB2102"/>
    <w:rsid w:val="00AB26BE"/>
    <w:rsid w:val="00AB2E77"/>
    <w:rsid w:val="00AB2EA1"/>
    <w:rsid w:val="00AB324C"/>
    <w:rsid w:val="00AB3702"/>
    <w:rsid w:val="00AB3845"/>
    <w:rsid w:val="00AB6B99"/>
    <w:rsid w:val="00AB7B3C"/>
    <w:rsid w:val="00AC0C0A"/>
    <w:rsid w:val="00AC0C36"/>
    <w:rsid w:val="00AC0F2C"/>
    <w:rsid w:val="00AC2545"/>
    <w:rsid w:val="00AC27EA"/>
    <w:rsid w:val="00AC502A"/>
    <w:rsid w:val="00AC786D"/>
    <w:rsid w:val="00AC7B20"/>
    <w:rsid w:val="00AC7C16"/>
    <w:rsid w:val="00AC7DDE"/>
    <w:rsid w:val="00AD0112"/>
    <w:rsid w:val="00AD05F7"/>
    <w:rsid w:val="00AD0842"/>
    <w:rsid w:val="00AD153F"/>
    <w:rsid w:val="00AD1C1A"/>
    <w:rsid w:val="00AD336F"/>
    <w:rsid w:val="00AD3691"/>
    <w:rsid w:val="00AD4D4C"/>
    <w:rsid w:val="00AD60DD"/>
    <w:rsid w:val="00AD66C3"/>
    <w:rsid w:val="00AD6756"/>
    <w:rsid w:val="00AD7924"/>
    <w:rsid w:val="00AE029A"/>
    <w:rsid w:val="00AE07F9"/>
    <w:rsid w:val="00AE0816"/>
    <w:rsid w:val="00AE1499"/>
    <w:rsid w:val="00AE31D8"/>
    <w:rsid w:val="00AE32F4"/>
    <w:rsid w:val="00AE337A"/>
    <w:rsid w:val="00AE37C1"/>
    <w:rsid w:val="00AE3CF3"/>
    <w:rsid w:val="00AE45A4"/>
    <w:rsid w:val="00AE5EAE"/>
    <w:rsid w:val="00AE6E81"/>
    <w:rsid w:val="00AE6F66"/>
    <w:rsid w:val="00AE7151"/>
    <w:rsid w:val="00AE736C"/>
    <w:rsid w:val="00AE7722"/>
    <w:rsid w:val="00AE7F01"/>
    <w:rsid w:val="00AF0580"/>
    <w:rsid w:val="00AF1049"/>
    <w:rsid w:val="00AF10FB"/>
    <w:rsid w:val="00AF2B51"/>
    <w:rsid w:val="00AF58A0"/>
    <w:rsid w:val="00AF58C1"/>
    <w:rsid w:val="00AF65FC"/>
    <w:rsid w:val="00AF74E7"/>
    <w:rsid w:val="00B00671"/>
    <w:rsid w:val="00B0067F"/>
    <w:rsid w:val="00B010B2"/>
    <w:rsid w:val="00B01DAD"/>
    <w:rsid w:val="00B038EF"/>
    <w:rsid w:val="00B03B62"/>
    <w:rsid w:val="00B0450F"/>
    <w:rsid w:val="00B05984"/>
    <w:rsid w:val="00B05B84"/>
    <w:rsid w:val="00B05D66"/>
    <w:rsid w:val="00B05EF0"/>
    <w:rsid w:val="00B05F87"/>
    <w:rsid w:val="00B06643"/>
    <w:rsid w:val="00B07E39"/>
    <w:rsid w:val="00B10783"/>
    <w:rsid w:val="00B10933"/>
    <w:rsid w:val="00B119A8"/>
    <w:rsid w:val="00B15055"/>
    <w:rsid w:val="00B15329"/>
    <w:rsid w:val="00B20548"/>
    <w:rsid w:val="00B22206"/>
    <w:rsid w:val="00B22BFF"/>
    <w:rsid w:val="00B23015"/>
    <w:rsid w:val="00B24FD3"/>
    <w:rsid w:val="00B25DA9"/>
    <w:rsid w:val="00B26C76"/>
    <w:rsid w:val="00B30179"/>
    <w:rsid w:val="00B31B0F"/>
    <w:rsid w:val="00B31C4B"/>
    <w:rsid w:val="00B31EE0"/>
    <w:rsid w:val="00B33247"/>
    <w:rsid w:val="00B343E3"/>
    <w:rsid w:val="00B34B5D"/>
    <w:rsid w:val="00B35B24"/>
    <w:rsid w:val="00B35BB8"/>
    <w:rsid w:val="00B362B5"/>
    <w:rsid w:val="00B37615"/>
    <w:rsid w:val="00B37693"/>
    <w:rsid w:val="00B37B15"/>
    <w:rsid w:val="00B37E11"/>
    <w:rsid w:val="00B37ED3"/>
    <w:rsid w:val="00B40D6F"/>
    <w:rsid w:val="00B410EA"/>
    <w:rsid w:val="00B42733"/>
    <w:rsid w:val="00B42F8A"/>
    <w:rsid w:val="00B43035"/>
    <w:rsid w:val="00B455D2"/>
    <w:rsid w:val="00B45BD4"/>
    <w:rsid w:val="00B45C02"/>
    <w:rsid w:val="00B45F3E"/>
    <w:rsid w:val="00B46F04"/>
    <w:rsid w:val="00B47242"/>
    <w:rsid w:val="00B479A3"/>
    <w:rsid w:val="00B47C66"/>
    <w:rsid w:val="00B500EF"/>
    <w:rsid w:val="00B515C8"/>
    <w:rsid w:val="00B5166E"/>
    <w:rsid w:val="00B516E8"/>
    <w:rsid w:val="00B5171E"/>
    <w:rsid w:val="00B5194D"/>
    <w:rsid w:val="00B54CC3"/>
    <w:rsid w:val="00B564EB"/>
    <w:rsid w:val="00B56C20"/>
    <w:rsid w:val="00B57C61"/>
    <w:rsid w:val="00B57CB6"/>
    <w:rsid w:val="00B6082F"/>
    <w:rsid w:val="00B61122"/>
    <w:rsid w:val="00B6251C"/>
    <w:rsid w:val="00B62D2F"/>
    <w:rsid w:val="00B6318B"/>
    <w:rsid w:val="00B64C8C"/>
    <w:rsid w:val="00B64F03"/>
    <w:rsid w:val="00B65588"/>
    <w:rsid w:val="00B66825"/>
    <w:rsid w:val="00B72A1E"/>
    <w:rsid w:val="00B73035"/>
    <w:rsid w:val="00B73051"/>
    <w:rsid w:val="00B74164"/>
    <w:rsid w:val="00B74DC3"/>
    <w:rsid w:val="00B75ACF"/>
    <w:rsid w:val="00B75CE9"/>
    <w:rsid w:val="00B77F4E"/>
    <w:rsid w:val="00B80E84"/>
    <w:rsid w:val="00B81E12"/>
    <w:rsid w:val="00B827D2"/>
    <w:rsid w:val="00B82ADB"/>
    <w:rsid w:val="00B832B2"/>
    <w:rsid w:val="00B8330A"/>
    <w:rsid w:val="00B85D2C"/>
    <w:rsid w:val="00B85EAA"/>
    <w:rsid w:val="00B87A82"/>
    <w:rsid w:val="00B909D0"/>
    <w:rsid w:val="00B92D3C"/>
    <w:rsid w:val="00B95101"/>
    <w:rsid w:val="00B97098"/>
    <w:rsid w:val="00B97AB3"/>
    <w:rsid w:val="00BA03C5"/>
    <w:rsid w:val="00BA08D9"/>
    <w:rsid w:val="00BA13F6"/>
    <w:rsid w:val="00BA2BD0"/>
    <w:rsid w:val="00BA339B"/>
    <w:rsid w:val="00BA3F7A"/>
    <w:rsid w:val="00BA6839"/>
    <w:rsid w:val="00BA686A"/>
    <w:rsid w:val="00BA7CAB"/>
    <w:rsid w:val="00BB1A7E"/>
    <w:rsid w:val="00BB243D"/>
    <w:rsid w:val="00BB2827"/>
    <w:rsid w:val="00BB35A1"/>
    <w:rsid w:val="00BB58D7"/>
    <w:rsid w:val="00BB5ECB"/>
    <w:rsid w:val="00BB5EE7"/>
    <w:rsid w:val="00BB6F52"/>
    <w:rsid w:val="00BB7154"/>
    <w:rsid w:val="00BC0404"/>
    <w:rsid w:val="00BC0C1B"/>
    <w:rsid w:val="00BC0FBB"/>
    <w:rsid w:val="00BC1830"/>
    <w:rsid w:val="00BC1DD1"/>
    <w:rsid w:val="00BC1E7E"/>
    <w:rsid w:val="00BC351B"/>
    <w:rsid w:val="00BC4191"/>
    <w:rsid w:val="00BC530C"/>
    <w:rsid w:val="00BC5A6A"/>
    <w:rsid w:val="00BC5C47"/>
    <w:rsid w:val="00BC6B7C"/>
    <w:rsid w:val="00BC6F19"/>
    <w:rsid w:val="00BC74E9"/>
    <w:rsid w:val="00BD09AD"/>
    <w:rsid w:val="00BD1D39"/>
    <w:rsid w:val="00BD25D7"/>
    <w:rsid w:val="00BD3645"/>
    <w:rsid w:val="00BD4F6D"/>
    <w:rsid w:val="00BD503B"/>
    <w:rsid w:val="00BE0654"/>
    <w:rsid w:val="00BE1BF5"/>
    <w:rsid w:val="00BE1D4A"/>
    <w:rsid w:val="00BE1DE4"/>
    <w:rsid w:val="00BE32A4"/>
    <w:rsid w:val="00BE36A9"/>
    <w:rsid w:val="00BE429A"/>
    <w:rsid w:val="00BE618E"/>
    <w:rsid w:val="00BE684E"/>
    <w:rsid w:val="00BE7BEC"/>
    <w:rsid w:val="00BF0A5A"/>
    <w:rsid w:val="00BF0E63"/>
    <w:rsid w:val="00BF11CD"/>
    <w:rsid w:val="00BF12A3"/>
    <w:rsid w:val="00BF16D7"/>
    <w:rsid w:val="00BF2373"/>
    <w:rsid w:val="00BF3A9D"/>
    <w:rsid w:val="00BF400E"/>
    <w:rsid w:val="00BF4544"/>
    <w:rsid w:val="00BF4B2D"/>
    <w:rsid w:val="00BF5EA5"/>
    <w:rsid w:val="00BF7666"/>
    <w:rsid w:val="00C0050D"/>
    <w:rsid w:val="00C0068A"/>
    <w:rsid w:val="00C00B6A"/>
    <w:rsid w:val="00C01265"/>
    <w:rsid w:val="00C014D7"/>
    <w:rsid w:val="00C02061"/>
    <w:rsid w:val="00C02409"/>
    <w:rsid w:val="00C041D4"/>
    <w:rsid w:val="00C044E2"/>
    <w:rsid w:val="00C04661"/>
    <w:rsid w:val="00C048CB"/>
    <w:rsid w:val="00C04983"/>
    <w:rsid w:val="00C050E4"/>
    <w:rsid w:val="00C06160"/>
    <w:rsid w:val="00C066F3"/>
    <w:rsid w:val="00C069D7"/>
    <w:rsid w:val="00C07A6F"/>
    <w:rsid w:val="00C10869"/>
    <w:rsid w:val="00C1187C"/>
    <w:rsid w:val="00C1282E"/>
    <w:rsid w:val="00C1412D"/>
    <w:rsid w:val="00C155B3"/>
    <w:rsid w:val="00C15619"/>
    <w:rsid w:val="00C15DA6"/>
    <w:rsid w:val="00C1678E"/>
    <w:rsid w:val="00C16E3A"/>
    <w:rsid w:val="00C17FFA"/>
    <w:rsid w:val="00C20D71"/>
    <w:rsid w:val="00C2165E"/>
    <w:rsid w:val="00C2376D"/>
    <w:rsid w:val="00C2607B"/>
    <w:rsid w:val="00C269D1"/>
    <w:rsid w:val="00C27766"/>
    <w:rsid w:val="00C3099B"/>
    <w:rsid w:val="00C31182"/>
    <w:rsid w:val="00C31678"/>
    <w:rsid w:val="00C32257"/>
    <w:rsid w:val="00C33E50"/>
    <w:rsid w:val="00C34E30"/>
    <w:rsid w:val="00C35BF9"/>
    <w:rsid w:val="00C4116B"/>
    <w:rsid w:val="00C42916"/>
    <w:rsid w:val="00C429FB"/>
    <w:rsid w:val="00C42C5F"/>
    <w:rsid w:val="00C42EF8"/>
    <w:rsid w:val="00C432BA"/>
    <w:rsid w:val="00C4417C"/>
    <w:rsid w:val="00C445C7"/>
    <w:rsid w:val="00C45626"/>
    <w:rsid w:val="00C45A1D"/>
    <w:rsid w:val="00C45D2E"/>
    <w:rsid w:val="00C46352"/>
    <w:rsid w:val="00C463DD"/>
    <w:rsid w:val="00C464D9"/>
    <w:rsid w:val="00C47C0D"/>
    <w:rsid w:val="00C47F13"/>
    <w:rsid w:val="00C54364"/>
    <w:rsid w:val="00C553A0"/>
    <w:rsid w:val="00C564D0"/>
    <w:rsid w:val="00C56B80"/>
    <w:rsid w:val="00C5715D"/>
    <w:rsid w:val="00C60004"/>
    <w:rsid w:val="00C61639"/>
    <w:rsid w:val="00C619CD"/>
    <w:rsid w:val="00C61B96"/>
    <w:rsid w:val="00C65835"/>
    <w:rsid w:val="00C65D4D"/>
    <w:rsid w:val="00C67217"/>
    <w:rsid w:val="00C67D6F"/>
    <w:rsid w:val="00C700C5"/>
    <w:rsid w:val="00C70A67"/>
    <w:rsid w:val="00C71ACE"/>
    <w:rsid w:val="00C72B5A"/>
    <w:rsid w:val="00C72DA9"/>
    <w:rsid w:val="00C741EE"/>
    <w:rsid w:val="00C745C3"/>
    <w:rsid w:val="00C768F6"/>
    <w:rsid w:val="00C7799F"/>
    <w:rsid w:val="00C779E4"/>
    <w:rsid w:val="00C809FB"/>
    <w:rsid w:val="00C812B8"/>
    <w:rsid w:val="00C81B92"/>
    <w:rsid w:val="00C8240A"/>
    <w:rsid w:val="00C82CF0"/>
    <w:rsid w:val="00C84919"/>
    <w:rsid w:val="00C855B7"/>
    <w:rsid w:val="00C85FD7"/>
    <w:rsid w:val="00C8779F"/>
    <w:rsid w:val="00C9269D"/>
    <w:rsid w:val="00C937A1"/>
    <w:rsid w:val="00C93A1A"/>
    <w:rsid w:val="00C94213"/>
    <w:rsid w:val="00C94B63"/>
    <w:rsid w:val="00C96678"/>
    <w:rsid w:val="00C9743C"/>
    <w:rsid w:val="00C97BA9"/>
    <w:rsid w:val="00CA02BD"/>
    <w:rsid w:val="00CA0966"/>
    <w:rsid w:val="00CA1AC1"/>
    <w:rsid w:val="00CA24A4"/>
    <w:rsid w:val="00CA24AE"/>
    <w:rsid w:val="00CA34A6"/>
    <w:rsid w:val="00CA38CD"/>
    <w:rsid w:val="00CA42BA"/>
    <w:rsid w:val="00CA6218"/>
    <w:rsid w:val="00CA7073"/>
    <w:rsid w:val="00CA786F"/>
    <w:rsid w:val="00CB23FC"/>
    <w:rsid w:val="00CB247E"/>
    <w:rsid w:val="00CB3363"/>
    <w:rsid w:val="00CB348D"/>
    <w:rsid w:val="00CB3952"/>
    <w:rsid w:val="00CB7139"/>
    <w:rsid w:val="00CB793C"/>
    <w:rsid w:val="00CC1145"/>
    <w:rsid w:val="00CC1296"/>
    <w:rsid w:val="00CC28CC"/>
    <w:rsid w:val="00CC3C7B"/>
    <w:rsid w:val="00CC402C"/>
    <w:rsid w:val="00CC40BF"/>
    <w:rsid w:val="00CC5240"/>
    <w:rsid w:val="00CC7A4C"/>
    <w:rsid w:val="00CD03DD"/>
    <w:rsid w:val="00CD0E53"/>
    <w:rsid w:val="00CD18A1"/>
    <w:rsid w:val="00CD1C9C"/>
    <w:rsid w:val="00CD2978"/>
    <w:rsid w:val="00CD34E7"/>
    <w:rsid w:val="00CD3B9F"/>
    <w:rsid w:val="00CD3EC0"/>
    <w:rsid w:val="00CD46EA"/>
    <w:rsid w:val="00CD46F5"/>
    <w:rsid w:val="00CD6679"/>
    <w:rsid w:val="00CD67FC"/>
    <w:rsid w:val="00CD6EF8"/>
    <w:rsid w:val="00CE0DCF"/>
    <w:rsid w:val="00CE186D"/>
    <w:rsid w:val="00CE31AA"/>
    <w:rsid w:val="00CE4A8F"/>
    <w:rsid w:val="00CE4C76"/>
    <w:rsid w:val="00CE619D"/>
    <w:rsid w:val="00CF071D"/>
    <w:rsid w:val="00CF1B99"/>
    <w:rsid w:val="00CF372E"/>
    <w:rsid w:val="00CF374B"/>
    <w:rsid w:val="00CF388E"/>
    <w:rsid w:val="00CF389F"/>
    <w:rsid w:val="00CF3C5D"/>
    <w:rsid w:val="00CF5271"/>
    <w:rsid w:val="00CF551C"/>
    <w:rsid w:val="00CF78CD"/>
    <w:rsid w:val="00D003C7"/>
    <w:rsid w:val="00D00471"/>
    <w:rsid w:val="00D00B23"/>
    <w:rsid w:val="00D01C4E"/>
    <w:rsid w:val="00D01E18"/>
    <w:rsid w:val="00D02B2E"/>
    <w:rsid w:val="00D0434A"/>
    <w:rsid w:val="00D0710E"/>
    <w:rsid w:val="00D07ACB"/>
    <w:rsid w:val="00D10049"/>
    <w:rsid w:val="00D15254"/>
    <w:rsid w:val="00D1566C"/>
    <w:rsid w:val="00D15B04"/>
    <w:rsid w:val="00D1669B"/>
    <w:rsid w:val="00D16995"/>
    <w:rsid w:val="00D2031B"/>
    <w:rsid w:val="00D21595"/>
    <w:rsid w:val="00D24440"/>
    <w:rsid w:val="00D25277"/>
    <w:rsid w:val="00D25B14"/>
    <w:rsid w:val="00D25FE2"/>
    <w:rsid w:val="00D26DAF"/>
    <w:rsid w:val="00D3044A"/>
    <w:rsid w:val="00D30B61"/>
    <w:rsid w:val="00D31069"/>
    <w:rsid w:val="00D32507"/>
    <w:rsid w:val="00D32A38"/>
    <w:rsid w:val="00D33287"/>
    <w:rsid w:val="00D334BF"/>
    <w:rsid w:val="00D3393D"/>
    <w:rsid w:val="00D34803"/>
    <w:rsid w:val="00D34AE4"/>
    <w:rsid w:val="00D35602"/>
    <w:rsid w:val="00D35DAB"/>
    <w:rsid w:val="00D36775"/>
    <w:rsid w:val="00D37DA9"/>
    <w:rsid w:val="00D37FF3"/>
    <w:rsid w:val="00D406A7"/>
    <w:rsid w:val="00D41905"/>
    <w:rsid w:val="00D41D2A"/>
    <w:rsid w:val="00D41DD3"/>
    <w:rsid w:val="00D43252"/>
    <w:rsid w:val="00D44118"/>
    <w:rsid w:val="00D442D6"/>
    <w:rsid w:val="00D44C2B"/>
    <w:rsid w:val="00D44D86"/>
    <w:rsid w:val="00D44DCC"/>
    <w:rsid w:val="00D4638C"/>
    <w:rsid w:val="00D47B42"/>
    <w:rsid w:val="00D50B7D"/>
    <w:rsid w:val="00D50EE5"/>
    <w:rsid w:val="00D50FAF"/>
    <w:rsid w:val="00D515D1"/>
    <w:rsid w:val="00D52012"/>
    <w:rsid w:val="00D523C9"/>
    <w:rsid w:val="00D534A3"/>
    <w:rsid w:val="00D54DA5"/>
    <w:rsid w:val="00D556CE"/>
    <w:rsid w:val="00D57ADB"/>
    <w:rsid w:val="00D57BEF"/>
    <w:rsid w:val="00D57EFB"/>
    <w:rsid w:val="00D607BD"/>
    <w:rsid w:val="00D62769"/>
    <w:rsid w:val="00D63BE9"/>
    <w:rsid w:val="00D704E5"/>
    <w:rsid w:val="00D709F5"/>
    <w:rsid w:val="00D70B9F"/>
    <w:rsid w:val="00D713BC"/>
    <w:rsid w:val="00D719C7"/>
    <w:rsid w:val="00D72727"/>
    <w:rsid w:val="00D72F18"/>
    <w:rsid w:val="00D7530F"/>
    <w:rsid w:val="00D76FC8"/>
    <w:rsid w:val="00D77570"/>
    <w:rsid w:val="00D803B2"/>
    <w:rsid w:val="00D8090F"/>
    <w:rsid w:val="00D82152"/>
    <w:rsid w:val="00D8254C"/>
    <w:rsid w:val="00D8374E"/>
    <w:rsid w:val="00D84447"/>
    <w:rsid w:val="00D84C9F"/>
    <w:rsid w:val="00D85BDF"/>
    <w:rsid w:val="00D8655F"/>
    <w:rsid w:val="00D87C38"/>
    <w:rsid w:val="00D905D8"/>
    <w:rsid w:val="00D91FEC"/>
    <w:rsid w:val="00D9391C"/>
    <w:rsid w:val="00D93C25"/>
    <w:rsid w:val="00D95100"/>
    <w:rsid w:val="00D95695"/>
    <w:rsid w:val="00D95D62"/>
    <w:rsid w:val="00D95DAE"/>
    <w:rsid w:val="00D963ED"/>
    <w:rsid w:val="00D978C6"/>
    <w:rsid w:val="00D97D48"/>
    <w:rsid w:val="00DA0956"/>
    <w:rsid w:val="00DA0FEA"/>
    <w:rsid w:val="00DA110A"/>
    <w:rsid w:val="00DA2686"/>
    <w:rsid w:val="00DA2C02"/>
    <w:rsid w:val="00DA357F"/>
    <w:rsid w:val="00DA39F8"/>
    <w:rsid w:val="00DA3E12"/>
    <w:rsid w:val="00DA4044"/>
    <w:rsid w:val="00DA76D6"/>
    <w:rsid w:val="00DB02B3"/>
    <w:rsid w:val="00DB03DF"/>
    <w:rsid w:val="00DB1AA6"/>
    <w:rsid w:val="00DB1AE2"/>
    <w:rsid w:val="00DB371F"/>
    <w:rsid w:val="00DB4F8A"/>
    <w:rsid w:val="00DB605F"/>
    <w:rsid w:val="00DB7EFF"/>
    <w:rsid w:val="00DC18AD"/>
    <w:rsid w:val="00DC18F6"/>
    <w:rsid w:val="00DC2356"/>
    <w:rsid w:val="00DC2FC1"/>
    <w:rsid w:val="00DC35AA"/>
    <w:rsid w:val="00DC463C"/>
    <w:rsid w:val="00DC4BC6"/>
    <w:rsid w:val="00DC534C"/>
    <w:rsid w:val="00DC6803"/>
    <w:rsid w:val="00DC7A6F"/>
    <w:rsid w:val="00DC7AE8"/>
    <w:rsid w:val="00DD1286"/>
    <w:rsid w:val="00DD22CC"/>
    <w:rsid w:val="00DD30A6"/>
    <w:rsid w:val="00DD33B7"/>
    <w:rsid w:val="00DD411B"/>
    <w:rsid w:val="00DD5075"/>
    <w:rsid w:val="00DD5BDD"/>
    <w:rsid w:val="00DD7315"/>
    <w:rsid w:val="00DE0F55"/>
    <w:rsid w:val="00DE1CB7"/>
    <w:rsid w:val="00DE44D4"/>
    <w:rsid w:val="00DE57FF"/>
    <w:rsid w:val="00DE5CDE"/>
    <w:rsid w:val="00DE71D0"/>
    <w:rsid w:val="00DE76B5"/>
    <w:rsid w:val="00DF0A52"/>
    <w:rsid w:val="00DF14FB"/>
    <w:rsid w:val="00DF189D"/>
    <w:rsid w:val="00DF1B90"/>
    <w:rsid w:val="00DF20DE"/>
    <w:rsid w:val="00DF5A69"/>
    <w:rsid w:val="00DF64D1"/>
    <w:rsid w:val="00DF6788"/>
    <w:rsid w:val="00DF69F0"/>
    <w:rsid w:val="00DF7CAE"/>
    <w:rsid w:val="00E01B83"/>
    <w:rsid w:val="00E02050"/>
    <w:rsid w:val="00E0234B"/>
    <w:rsid w:val="00E03AFC"/>
    <w:rsid w:val="00E125C6"/>
    <w:rsid w:val="00E12FA5"/>
    <w:rsid w:val="00E1393B"/>
    <w:rsid w:val="00E13CE0"/>
    <w:rsid w:val="00E2360F"/>
    <w:rsid w:val="00E23EB6"/>
    <w:rsid w:val="00E30085"/>
    <w:rsid w:val="00E30797"/>
    <w:rsid w:val="00E30880"/>
    <w:rsid w:val="00E30B13"/>
    <w:rsid w:val="00E3301C"/>
    <w:rsid w:val="00E33BEE"/>
    <w:rsid w:val="00E363A7"/>
    <w:rsid w:val="00E36CEB"/>
    <w:rsid w:val="00E37762"/>
    <w:rsid w:val="00E400BD"/>
    <w:rsid w:val="00E40698"/>
    <w:rsid w:val="00E423C0"/>
    <w:rsid w:val="00E427D3"/>
    <w:rsid w:val="00E43E4B"/>
    <w:rsid w:val="00E441CD"/>
    <w:rsid w:val="00E44AF9"/>
    <w:rsid w:val="00E44B72"/>
    <w:rsid w:val="00E469A0"/>
    <w:rsid w:val="00E51BF1"/>
    <w:rsid w:val="00E52FA8"/>
    <w:rsid w:val="00E5312D"/>
    <w:rsid w:val="00E552FF"/>
    <w:rsid w:val="00E55EF6"/>
    <w:rsid w:val="00E56147"/>
    <w:rsid w:val="00E56CD4"/>
    <w:rsid w:val="00E60016"/>
    <w:rsid w:val="00E60070"/>
    <w:rsid w:val="00E6045E"/>
    <w:rsid w:val="00E61FCE"/>
    <w:rsid w:val="00E627D2"/>
    <w:rsid w:val="00E62A9C"/>
    <w:rsid w:val="00E6414C"/>
    <w:rsid w:val="00E64CFA"/>
    <w:rsid w:val="00E65C51"/>
    <w:rsid w:val="00E708A5"/>
    <w:rsid w:val="00E7260F"/>
    <w:rsid w:val="00E733FD"/>
    <w:rsid w:val="00E75A59"/>
    <w:rsid w:val="00E779F9"/>
    <w:rsid w:val="00E77A52"/>
    <w:rsid w:val="00E805D2"/>
    <w:rsid w:val="00E80E60"/>
    <w:rsid w:val="00E81A46"/>
    <w:rsid w:val="00E83642"/>
    <w:rsid w:val="00E83A00"/>
    <w:rsid w:val="00E84051"/>
    <w:rsid w:val="00E8702D"/>
    <w:rsid w:val="00E91425"/>
    <w:rsid w:val="00E916A9"/>
    <w:rsid w:val="00E916DE"/>
    <w:rsid w:val="00E91ADF"/>
    <w:rsid w:val="00E942AB"/>
    <w:rsid w:val="00E95AC4"/>
    <w:rsid w:val="00E96630"/>
    <w:rsid w:val="00E96AC8"/>
    <w:rsid w:val="00E97B69"/>
    <w:rsid w:val="00EA25B7"/>
    <w:rsid w:val="00EA36B0"/>
    <w:rsid w:val="00EA3D06"/>
    <w:rsid w:val="00EA4477"/>
    <w:rsid w:val="00EA5817"/>
    <w:rsid w:val="00EA5F2C"/>
    <w:rsid w:val="00EA772D"/>
    <w:rsid w:val="00EA79D3"/>
    <w:rsid w:val="00EB0335"/>
    <w:rsid w:val="00EB0659"/>
    <w:rsid w:val="00EB1B48"/>
    <w:rsid w:val="00EB3F80"/>
    <w:rsid w:val="00EB4265"/>
    <w:rsid w:val="00EB480E"/>
    <w:rsid w:val="00EB509D"/>
    <w:rsid w:val="00EB51D5"/>
    <w:rsid w:val="00EB54CD"/>
    <w:rsid w:val="00EC01A0"/>
    <w:rsid w:val="00EC04BA"/>
    <w:rsid w:val="00EC0CD4"/>
    <w:rsid w:val="00EC1311"/>
    <w:rsid w:val="00EC1D19"/>
    <w:rsid w:val="00EC2589"/>
    <w:rsid w:val="00EC280A"/>
    <w:rsid w:val="00EC3810"/>
    <w:rsid w:val="00EC4008"/>
    <w:rsid w:val="00EC621C"/>
    <w:rsid w:val="00EC7509"/>
    <w:rsid w:val="00ED18DC"/>
    <w:rsid w:val="00ED19B9"/>
    <w:rsid w:val="00ED1C0A"/>
    <w:rsid w:val="00ED4213"/>
    <w:rsid w:val="00ED4DBD"/>
    <w:rsid w:val="00ED6201"/>
    <w:rsid w:val="00ED6E7C"/>
    <w:rsid w:val="00ED7A2A"/>
    <w:rsid w:val="00ED7E6C"/>
    <w:rsid w:val="00EE021D"/>
    <w:rsid w:val="00EE0256"/>
    <w:rsid w:val="00EE0419"/>
    <w:rsid w:val="00EE18B1"/>
    <w:rsid w:val="00EE2633"/>
    <w:rsid w:val="00EE2707"/>
    <w:rsid w:val="00EE32CE"/>
    <w:rsid w:val="00EE353D"/>
    <w:rsid w:val="00EE3684"/>
    <w:rsid w:val="00EE4A8F"/>
    <w:rsid w:val="00EF1530"/>
    <w:rsid w:val="00EF15AA"/>
    <w:rsid w:val="00EF1D7F"/>
    <w:rsid w:val="00EF34C8"/>
    <w:rsid w:val="00EF3842"/>
    <w:rsid w:val="00EF38E0"/>
    <w:rsid w:val="00EF4580"/>
    <w:rsid w:val="00EF508A"/>
    <w:rsid w:val="00EF623D"/>
    <w:rsid w:val="00EF7B9D"/>
    <w:rsid w:val="00F0113C"/>
    <w:rsid w:val="00F01186"/>
    <w:rsid w:val="00F0137E"/>
    <w:rsid w:val="00F015EB"/>
    <w:rsid w:val="00F0230E"/>
    <w:rsid w:val="00F03F6D"/>
    <w:rsid w:val="00F04DBC"/>
    <w:rsid w:val="00F053AB"/>
    <w:rsid w:val="00F06F56"/>
    <w:rsid w:val="00F0701B"/>
    <w:rsid w:val="00F11C27"/>
    <w:rsid w:val="00F128EC"/>
    <w:rsid w:val="00F12BAE"/>
    <w:rsid w:val="00F12C97"/>
    <w:rsid w:val="00F1754D"/>
    <w:rsid w:val="00F2046F"/>
    <w:rsid w:val="00F204E0"/>
    <w:rsid w:val="00F21786"/>
    <w:rsid w:val="00F21BEB"/>
    <w:rsid w:val="00F21F55"/>
    <w:rsid w:val="00F2393A"/>
    <w:rsid w:val="00F23EF8"/>
    <w:rsid w:val="00F245A8"/>
    <w:rsid w:val="00F24615"/>
    <w:rsid w:val="00F25438"/>
    <w:rsid w:val="00F27300"/>
    <w:rsid w:val="00F2746B"/>
    <w:rsid w:val="00F2764C"/>
    <w:rsid w:val="00F30272"/>
    <w:rsid w:val="00F30932"/>
    <w:rsid w:val="00F3138B"/>
    <w:rsid w:val="00F3180D"/>
    <w:rsid w:val="00F3198E"/>
    <w:rsid w:val="00F32E33"/>
    <w:rsid w:val="00F335D4"/>
    <w:rsid w:val="00F34BAD"/>
    <w:rsid w:val="00F34D58"/>
    <w:rsid w:val="00F34FF5"/>
    <w:rsid w:val="00F355C9"/>
    <w:rsid w:val="00F35C89"/>
    <w:rsid w:val="00F370EB"/>
    <w:rsid w:val="00F3742B"/>
    <w:rsid w:val="00F37638"/>
    <w:rsid w:val="00F40E07"/>
    <w:rsid w:val="00F41896"/>
    <w:rsid w:val="00F41FDB"/>
    <w:rsid w:val="00F42F33"/>
    <w:rsid w:val="00F43398"/>
    <w:rsid w:val="00F43C0F"/>
    <w:rsid w:val="00F45EB9"/>
    <w:rsid w:val="00F46653"/>
    <w:rsid w:val="00F46AC1"/>
    <w:rsid w:val="00F50E91"/>
    <w:rsid w:val="00F516D0"/>
    <w:rsid w:val="00F52FCD"/>
    <w:rsid w:val="00F53C18"/>
    <w:rsid w:val="00F549D2"/>
    <w:rsid w:val="00F56D63"/>
    <w:rsid w:val="00F57471"/>
    <w:rsid w:val="00F578F9"/>
    <w:rsid w:val="00F602A2"/>
    <w:rsid w:val="00F6070B"/>
    <w:rsid w:val="00F609A9"/>
    <w:rsid w:val="00F62952"/>
    <w:rsid w:val="00F629A0"/>
    <w:rsid w:val="00F6313F"/>
    <w:rsid w:val="00F638D5"/>
    <w:rsid w:val="00F64345"/>
    <w:rsid w:val="00F65384"/>
    <w:rsid w:val="00F6689A"/>
    <w:rsid w:val="00F67614"/>
    <w:rsid w:val="00F67C96"/>
    <w:rsid w:val="00F7047F"/>
    <w:rsid w:val="00F71189"/>
    <w:rsid w:val="00F71811"/>
    <w:rsid w:val="00F72363"/>
    <w:rsid w:val="00F725D3"/>
    <w:rsid w:val="00F72AEF"/>
    <w:rsid w:val="00F72EA1"/>
    <w:rsid w:val="00F761DE"/>
    <w:rsid w:val="00F804C9"/>
    <w:rsid w:val="00F807B1"/>
    <w:rsid w:val="00F80C4D"/>
    <w:rsid w:val="00F80C99"/>
    <w:rsid w:val="00F80F87"/>
    <w:rsid w:val="00F8115F"/>
    <w:rsid w:val="00F832C5"/>
    <w:rsid w:val="00F83E8D"/>
    <w:rsid w:val="00F83F65"/>
    <w:rsid w:val="00F85BEF"/>
    <w:rsid w:val="00F85DCC"/>
    <w:rsid w:val="00F867EC"/>
    <w:rsid w:val="00F86ACD"/>
    <w:rsid w:val="00F918B0"/>
    <w:rsid w:val="00F91B2B"/>
    <w:rsid w:val="00F93DE9"/>
    <w:rsid w:val="00F93F3D"/>
    <w:rsid w:val="00F96516"/>
    <w:rsid w:val="00F96C3E"/>
    <w:rsid w:val="00F975D2"/>
    <w:rsid w:val="00F978DA"/>
    <w:rsid w:val="00FA0664"/>
    <w:rsid w:val="00FA0C3C"/>
    <w:rsid w:val="00FA1B98"/>
    <w:rsid w:val="00FA2ED1"/>
    <w:rsid w:val="00FA31FA"/>
    <w:rsid w:val="00FA44E6"/>
    <w:rsid w:val="00FA4648"/>
    <w:rsid w:val="00FA50EC"/>
    <w:rsid w:val="00FA68BB"/>
    <w:rsid w:val="00FA79DB"/>
    <w:rsid w:val="00FB196B"/>
    <w:rsid w:val="00FB1B7E"/>
    <w:rsid w:val="00FB1F2D"/>
    <w:rsid w:val="00FB3344"/>
    <w:rsid w:val="00FB3485"/>
    <w:rsid w:val="00FB4A4B"/>
    <w:rsid w:val="00FB4AD6"/>
    <w:rsid w:val="00FB5F29"/>
    <w:rsid w:val="00FB7FAB"/>
    <w:rsid w:val="00FC03CD"/>
    <w:rsid w:val="00FC0646"/>
    <w:rsid w:val="00FC14C8"/>
    <w:rsid w:val="00FC183A"/>
    <w:rsid w:val="00FC19D1"/>
    <w:rsid w:val="00FC2408"/>
    <w:rsid w:val="00FC47AF"/>
    <w:rsid w:val="00FC4B2F"/>
    <w:rsid w:val="00FC53D1"/>
    <w:rsid w:val="00FC5564"/>
    <w:rsid w:val="00FC56DD"/>
    <w:rsid w:val="00FC612A"/>
    <w:rsid w:val="00FC68B7"/>
    <w:rsid w:val="00FC7080"/>
    <w:rsid w:val="00FD0FCF"/>
    <w:rsid w:val="00FD1123"/>
    <w:rsid w:val="00FD1FD9"/>
    <w:rsid w:val="00FD5A7C"/>
    <w:rsid w:val="00FE0788"/>
    <w:rsid w:val="00FE0ACD"/>
    <w:rsid w:val="00FE0C93"/>
    <w:rsid w:val="00FE0CCD"/>
    <w:rsid w:val="00FE157A"/>
    <w:rsid w:val="00FE1DD2"/>
    <w:rsid w:val="00FE1F3E"/>
    <w:rsid w:val="00FE253A"/>
    <w:rsid w:val="00FE6985"/>
    <w:rsid w:val="00FE7955"/>
    <w:rsid w:val="00FF108F"/>
    <w:rsid w:val="00FF1737"/>
    <w:rsid w:val="00FF23D4"/>
    <w:rsid w:val="00FF4421"/>
    <w:rsid w:val="00FF4650"/>
    <w:rsid w:val="00FF6160"/>
    <w:rsid w:val="00FF68B2"/>
    <w:rsid w:val="00FF76EB"/>
    <w:rsid w:val="00FF7D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numPr>
        <w:numId w:val="14"/>
      </w:numPr>
      <w:spacing w:after="0" w:line="240" w:lineRule="auto"/>
      <w:ind w:right="0"/>
      <w:jc w:val="left"/>
      <w:outlineLvl w:val="0"/>
    </w:pPr>
  </w:style>
  <w:style w:type="paragraph" w:styleId="Heading2">
    <w:name w:val="heading 2"/>
    <w:basedOn w:val="Normal"/>
    <w:next w:val="Normal"/>
    <w:link w:val="Heading2Char"/>
    <w:qFormat/>
    <w:pPr>
      <w:tabs>
        <w:tab w:val="num" w:pos="360"/>
      </w:tabs>
      <w:spacing w:line="240" w:lineRule="auto"/>
      <w:ind w:left="360" w:hanging="360"/>
      <w:outlineLvl w:val="1"/>
    </w:pPr>
  </w:style>
  <w:style w:type="paragraph" w:styleId="Heading3">
    <w:name w:val="heading 3"/>
    <w:basedOn w:val="Normal"/>
    <w:next w:val="Normal"/>
    <w:link w:val="Heading3Char"/>
    <w:qFormat/>
    <w:pPr>
      <w:tabs>
        <w:tab w:val="num" w:pos="360"/>
      </w:tabs>
      <w:spacing w:line="240" w:lineRule="auto"/>
      <w:ind w:left="360" w:hanging="360"/>
      <w:outlineLvl w:val="2"/>
    </w:pPr>
  </w:style>
  <w:style w:type="paragraph" w:styleId="Heading4">
    <w:name w:val="heading 4"/>
    <w:basedOn w:val="Normal"/>
    <w:next w:val="Normal"/>
    <w:link w:val="Heading4Char"/>
    <w:qFormat/>
    <w:pPr>
      <w:tabs>
        <w:tab w:val="num" w:pos="360"/>
      </w:tabs>
      <w:spacing w:line="240" w:lineRule="auto"/>
      <w:ind w:left="360" w:hanging="360"/>
      <w:outlineLvl w:val="3"/>
    </w:pPr>
  </w:style>
  <w:style w:type="paragraph" w:styleId="Heading5">
    <w:name w:val="heading 5"/>
    <w:basedOn w:val="Normal"/>
    <w:next w:val="Normal"/>
    <w:link w:val="Heading5Char"/>
    <w:qFormat/>
    <w:pPr>
      <w:tabs>
        <w:tab w:val="num" w:pos="360"/>
      </w:tabs>
      <w:spacing w:line="240" w:lineRule="auto"/>
      <w:ind w:left="360" w:hanging="360"/>
      <w:outlineLvl w:val="4"/>
    </w:pPr>
  </w:style>
  <w:style w:type="paragraph" w:styleId="Heading6">
    <w:name w:val="heading 6"/>
    <w:basedOn w:val="Normal"/>
    <w:next w:val="Normal"/>
    <w:link w:val="Heading6Char"/>
    <w:qFormat/>
    <w:pPr>
      <w:tabs>
        <w:tab w:val="num" w:pos="360"/>
      </w:tabs>
      <w:spacing w:line="240" w:lineRule="auto"/>
      <w:ind w:left="360" w:hanging="360"/>
      <w:outlineLvl w:val="5"/>
    </w:pPr>
  </w:style>
  <w:style w:type="paragraph" w:styleId="Heading7">
    <w:name w:val="heading 7"/>
    <w:basedOn w:val="Normal"/>
    <w:next w:val="Normal"/>
    <w:link w:val="Heading7Char"/>
    <w:qFormat/>
    <w:pPr>
      <w:tabs>
        <w:tab w:val="num" w:pos="360"/>
      </w:tabs>
      <w:spacing w:line="240" w:lineRule="auto"/>
      <w:ind w:left="360" w:hanging="360"/>
      <w:outlineLvl w:val="6"/>
    </w:pPr>
  </w:style>
  <w:style w:type="paragraph" w:styleId="Heading8">
    <w:name w:val="heading 8"/>
    <w:basedOn w:val="Normal"/>
    <w:next w:val="Normal"/>
    <w:link w:val="Heading8Char"/>
    <w:qFormat/>
    <w:pPr>
      <w:tabs>
        <w:tab w:val="num" w:pos="360"/>
      </w:tabs>
      <w:spacing w:line="240" w:lineRule="auto"/>
      <w:ind w:left="360" w:hanging="360"/>
      <w:outlineLvl w:val="7"/>
    </w:pPr>
  </w:style>
  <w:style w:type="paragraph" w:styleId="Heading9">
    <w:name w:val="heading 9"/>
    <w:basedOn w:val="Normal"/>
    <w:next w:val="Normal"/>
    <w:link w:val="Heading9Char"/>
    <w:qFormat/>
    <w:pPr>
      <w:tabs>
        <w:tab w:val="num" w:pos="360"/>
      </w:tabs>
      <w:spacing w:line="240" w:lineRule="auto"/>
      <w:ind w:left="360"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paragraph" w:styleId="EndnoteText">
    <w:name w:val="endnote text"/>
    <w:aliases w:val="2_G"/>
    <w:basedOn w:val="FootnoteText"/>
    <w:link w:val="EndnoteTextChar"/>
    <w:rsid w:val="007B6BA5"/>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styleId="Hyperlink">
    <w:name w:val="Hyperlink"/>
    <w:semiHidden/>
    <w:rsid w:val="008A6C4F"/>
    <w:rPr>
      <w:color w:val="0000FF"/>
      <w:u w:val="single"/>
    </w:rPr>
  </w:style>
  <w:style w:type="paragraph" w:styleId="Footer">
    <w:name w:val="footer"/>
    <w:aliases w:val="3_G"/>
    <w:basedOn w:val="Normal"/>
    <w:link w:val="FooterChar"/>
    <w:uiPriority w:val="99"/>
    <w:rsid w:val="009F2EAC"/>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paragraph" w:styleId="BodyTextIndent">
    <w:name w:val="Body Text Indent"/>
    <w:basedOn w:val="Normal"/>
    <w:link w:val="BodyTextIndentChar1"/>
    <w:rsid w:val="004574E6"/>
    <w:pPr>
      <w:widowControl w:val="0"/>
      <w:suppressAutoHyphens w:val="0"/>
      <w:spacing w:line="240" w:lineRule="auto"/>
      <w:ind w:firstLine="5103"/>
    </w:pPr>
    <w:rPr>
      <w:rFonts w:ascii="CG Times" w:hAnsi="CG Times"/>
      <w:snapToGrid w:val="0"/>
      <w:sz w:val="24"/>
    </w:rPr>
  </w:style>
  <w:style w:type="table" w:styleId="TableGrid">
    <w:name w:val="Table Grid"/>
    <w:basedOn w:val="TableNormal"/>
    <w:rsid w:val="004574E6"/>
    <w:pPr>
      <w:jc w:val="both"/>
    </w:pPr>
    <w:rPr>
      <w:snapToGrid w:val="0"/>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rsid w:val="004574E6"/>
    <w:rPr>
      <w:b/>
      <w:sz w:val="28"/>
      <w:lang w:val="en-GB" w:eastAsia="en-US" w:bidi="ar-SA"/>
    </w:rPr>
  </w:style>
  <w:style w:type="character" w:customStyle="1" w:styleId="SingleTxtGChar">
    <w:name w:val="_ Single Txt_G Char"/>
    <w:link w:val="SingleTxtG"/>
    <w:qFormat/>
    <w:rsid w:val="004574E6"/>
    <w:rPr>
      <w:lang w:val="en-GB" w:eastAsia="en-US" w:bidi="ar-SA"/>
    </w:rPr>
  </w:style>
  <w:style w:type="character" w:customStyle="1" w:styleId="Heading6Char">
    <w:name w:val="Heading 6 Char"/>
    <w:link w:val="Heading6"/>
    <w:rsid w:val="00354D6A"/>
    <w:rPr>
      <w:lang w:eastAsia="en-US"/>
    </w:rPr>
  </w:style>
  <w:style w:type="character" w:customStyle="1" w:styleId="darkbluebold">
    <w:name w:val="darkbluebold"/>
    <w:basedOn w:val="DefaultParagraphFont"/>
    <w:rsid w:val="000A0FE6"/>
  </w:style>
  <w:style w:type="character" w:customStyle="1" w:styleId="H23GChar">
    <w:name w:val="_ H_2/3_G Char"/>
    <w:link w:val="H23G"/>
    <w:rsid w:val="00FE1F3E"/>
    <w:rPr>
      <w:b/>
      <w:lang w:val="en-GB" w:eastAsia="en-US" w:bidi="ar-SA"/>
    </w:rPr>
  </w:style>
  <w:style w:type="paragraph" w:customStyle="1" w:styleId="ParaNoG">
    <w:name w:val="_ParaNo._G"/>
    <w:basedOn w:val="SingleTxtG"/>
    <w:rsid w:val="00DE1CB7"/>
    <w:pPr>
      <w:numPr>
        <w:numId w:val="3"/>
      </w:numPr>
    </w:pPr>
  </w:style>
  <w:style w:type="paragraph" w:customStyle="1" w:styleId="Docs">
    <w:name w:val="Docs"/>
    <w:basedOn w:val="Normal"/>
    <w:rsid w:val="002502C1"/>
    <w:pPr>
      <w:keepNext/>
      <w:widowControl w:val="0"/>
      <w:autoSpaceDN w:val="0"/>
      <w:spacing w:after="240" w:line="240" w:lineRule="auto"/>
      <w:textAlignment w:val="baseline"/>
    </w:pPr>
    <w:rPr>
      <w:rFonts w:eastAsia="Lucida Sans Unicode"/>
      <w:kern w:val="3"/>
      <w:sz w:val="24"/>
      <w:szCs w:val="24"/>
      <w:lang w:val="en-US"/>
    </w:rPr>
  </w:style>
  <w:style w:type="paragraph" w:customStyle="1" w:styleId="DocList">
    <w:name w:val="DocList"/>
    <w:basedOn w:val="SingleTxtG"/>
    <w:rsid w:val="00A46DD0"/>
    <w:pPr>
      <w:spacing w:after="240"/>
      <w:ind w:left="3701" w:right="1138" w:hanging="2002"/>
      <w:jc w:val="left"/>
    </w:pPr>
    <w:rPr>
      <w:i/>
    </w:rPr>
  </w:style>
  <w:style w:type="character" w:customStyle="1" w:styleId="SingleTxtGZchnZchn">
    <w:name w:val="_ Single Txt_G Zchn Zchn"/>
    <w:rsid w:val="00A46DD0"/>
    <w:rPr>
      <w:lang w:val="en-GB" w:eastAsia="en-US" w:bidi="ar-SA"/>
    </w:rPr>
  </w:style>
  <w:style w:type="character" w:customStyle="1" w:styleId="Heading1Char">
    <w:name w:val="Heading 1 Char"/>
    <w:aliases w:val="Table_G Char"/>
    <w:link w:val="Heading1"/>
    <w:rsid w:val="00BA03C5"/>
    <w:rPr>
      <w:lang w:eastAsia="en-US"/>
    </w:rPr>
  </w:style>
  <w:style w:type="character" w:customStyle="1" w:styleId="Heading2Char">
    <w:name w:val="Heading 2 Char"/>
    <w:link w:val="Heading2"/>
    <w:rsid w:val="00BA03C5"/>
    <w:rPr>
      <w:lang w:eastAsia="en-US"/>
    </w:rPr>
  </w:style>
  <w:style w:type="character" w:customStyle="1" w:styleId="Heading3Char">
    <w:name w:val="Heading 3 Char"/>
    <w:link w:val="Heading3"/>
    <w:rsid w:val="00BA03C5"/>
    <w:rPr>
      <w:lang w:eastAsia="en-US"/>
    </w:rPr>
  </w:style>
  <w:style w:type="character" w:customStyle="1" w:styleId="Heading4Char">
    <w:name w:val="Heading 4 Char"/>
    <w:link w:val="Heading4"/>
    <w:rsid w:val="00BA03C5"/>
    <w:rPr>
      <w:lang w:eastAsia="en-US"/>
    </w:rPr>
  </w:style>
  <w:style w:type="character" w:customStyle="1" w:styleId="Heading5Char">
    <w:name w:val="Heading 5 Char"/>
    <w:link w:val="Heading5"/>
    <w:rsid w:val="00BA03C5"/>
    <w:rPr>
      <w:lang w:eastAsia="en-US"/>
    </w:rPr>
  </w:style>
  <w:style w:type="character" w:customStyle="1" w:styleId="Heading7Char">
    <w:name w:val="Heading 7 Char"/>
    <w:link w:val="Heading7"/>
    <w:rsid w:val="00BA03C5"/>
    <w:rPr>
      <w:lang w:eastAsia="en-US"/>
    </w:rPr>
  </w:style>
  <w:style w:type="character" w:customStyle="1" w:styleId="Heading8Char">
    <w:name w:val="Heading 8 Char"/>
    <w:link w:val="Heading8"/>
    <w:rsid w:val="00BA03C5"/>
    <w:rPr>
      <w:lang w:eastAsia="en-US"/>
    </w:rPr>
  </w:style>
  <w:style w:type="character" w:customStyle="1" w:styleId="Heading9Char">
    <w:name w:val="Heading 9 Char"/>
    <w:link w:val="Heading9"/>
    <w:rsid w:val="00BA03C5"/>
    <w:rPr>
      <w:lang w:eastAsia="en-US"/>
    </w:rPr>
  </w:style>
  <w:style w:type="paragraph" w:styleId="PlainText">
    <w:name w:val="Plain Text"/>
    <w:basedOn w:val="Normal"/>
    <w:link w:val="PlainTextChar"/>
    <w:rsid w:val="00BA03C5"/>
    <w:rPr>
      <w:rFonts w:cs="Courier New"/>
    </w:rPr>
  </w:style>
  <w:style w:type="character" w:customStyle="1" w:styleId="PlainTextChar">
    <w:name w:val="Plain Text Char"/>
    <w:link w:val="PlainText"/>
    <w:rsid w:val="00BA03C5"/>
    <w:rPr>
      <w:rFonts w:cs="Courier New"/>
      <w:lang w:eastAsia="en-US"/>
    </w:rPr>
  </w:style>
  <w:style w:type="paragraph" w:styleId="BodyText">
    <w:name w:val="Body Text"/>
    <w:basedOn w:val="Normal"/>
    <w:next w:val="Normal"/>
    <w:link w:val="BodyTextChar"/>
    <w:rsid w:val="00BA03C5"/>
  </w:style>
  <w:style w:type="character" w:customStyle="1" w:styleId="BodyTextChar">
    <w:name w:val="Body Text Char"/>
    <w:link w:val="BodyText"/>
    <w:rsid w:val="00BA03C5"/>
    <w:rPr>
      <w:lang w:eastAsia="en-US"/>
    </w:rPr>
  </w:style>
  <w:style w:type="character" w:customStyle="1" w:styleId="BodyTextIndentChar">
    <w:name w:val="Body Text Indent Char"/>
    <w:semiHidden/>
    <w:rsid w:val="00BA03C5"/>
    <w:rPr>
      <w:lang w:eastAsia="en-US"/>
    </w:rPr>
  </w:style>
  <w:style w:type="paragraph" w:styleId="BlockText">
    <w:name w:val="Block Text"/>
    <w:basedOn w:val="Normal"/>
    <w:rsid w:val="00BA03C5"/>
    <w:pPr>
      <w:ind w:left="1440" w:right="1440"/>
    </w:pPr>
  </w:style>
  <w:style w:type="character" w:customStyle="1" w:styleId="FootnoteTextChar">
    <w:name w:val="Footnote Text Char"/>
    <w:aliases w:val="5_G Char"/>
    <w:link w:val="FootnoteText"/>
    <w:uiPriority w:val="99"/>
    <w:rsid w:val="00BA03C5"/>
    <w:rPr>
      <w:sz w:val="18"/>
      <w:lang w:eastAsia="en-US"/>
    </w:rPr>
  </w:style>
  <w:style w:type="character" w:customStyle="1" w:styleId="EndnoteTextChar">
    <w:name w:val="Endnote Text Char"/>
    <w:aliases w:val="2_G Char"/>
    <w:link w:val="EndnoteText"/>
    <w:rsid w:val="00BA03C5"/>
    <w:rPr>
      <w:sz w:val="18"/>
      <w:lang w:eastAsia="en-US"/>
    </w:rPr>
  </w:style>
  <w:style w:type="character" w:styleId="CommentReference">
    <w:name w:val="annotation reference"/>
    <w:rsid w:val="00BA03C5"/>
    <w:rPr>
      <w:sz w:val="6"/>
    </w:rPr>
  </w:style>
  <w:style w:type="paragraph" w:styleId="CommentText">
    <w:name w:val="annotation text"/>
    <w:basedOn w:val="Normal"/>
    <w:link w:val="CommentTextChar"/>
    <w:rsid w:val="00BA03C5"/>
  </w:style>
  <w:style w:type="character" w:customStyle="1" w:styleId="CommentTextChar">
    <w:name w:val="Comment Text Char"/>
    <w:link w:val="CommentText"/>
    <w:rsid w:val="00BA03C5"/>
    <w:rPr>
      <w:lang w:eastAsia="en-US"/>
    </w:rPr>
  </w:style>
  <w:style w:type="character" w:styleId="LineNumber">
    <w:name w:val="line number"/>
    <w:rsid w:val="00BA03C5"/>
    <w:rPr>
      <w:sz w:val="14"/>
    </w:rPr>
  </w:style>
  <w:style w:type="numbering" w:styleId="111111">
    <w:name w:val="Outline List 2"/>
    <w:basedOn w:val="NoList"/>
    <w:rsid w:val="00BA03C5"/>
    <w:pPr>
      <w:numPr>
        <w:numId w:val="15"/>
      </w:numPr>
    </w:pPr>
  </w:style>
  <w:style w:type="numbering" w:styleId="1ai">
    <w:name w:val="Outline List 1"/>
    <w:basedOn w:val="NoList"/>
    <w:rsid w:val="00BA03C5"/>
    <w:pPr>
      <w:numPr>
        <w:numId w:val="16"/>
      </w:numPr>
    </w:pPr>
  </w:style>
  <w:style w:type="numbering" w:styleId="ArticleSection">
    <w:name w:val="Outline List 3"/>
    <w:basedOn w:val="NoList"/>
    <w:rsid w:val="00BA03C5"/>
    <w:pPr>
      <w:numPr>
        <w:numId w:val="17"/>
      </w:numPr>
    </w:pPr>
  </w:style>
  <w:style w:type="paragraph" w:styleId="BodyText2">
    <w:name w:val="Body Text 2"/>
    <w:basedOn w:val="Normal"/>
    <w:link w:val="BodyText2Char"/>
    <w:rsid w:val="00BA03C5"/>
    <w:pPr>
      <w:spacing w:after="120" w:line="480" w:lineRule="auto"/>
    </w:pPr>
  </w:style>
  <w:style w:type="character" w:customStyle="1" w:styleId="BodyText2Char">
    <w:name w:val="Body Text 2 Char"/>
    <w:link w:val="BodyText2"/>
    <w:rsid w:val="00BA03C5"/>
    <w:rPr>
      <w:lang w:eastAsia="en-US"/>
    </w:rPr>
  </w:style>
  <w:style w:type="paragraph" w:styleId="BodyText3">
    <w:name w:val="Body Text 3"/>
    <w:basedOn w:val="Normal"/>
    <w:link w:val="BodyText3Char"/>
    <w:rsid w:val="00BA03C5"/>
    <w:pPr>
      <w:spacing w:after="120"/>
    </w:pPr>
    <w:rPr>
      <w:sz w:val="16"/>
      <w:szCs w:val="16"/>
    </w:rPr>
  </w:style>
  <w:style w:type="character" w:customStyle="1" w:styleId="BodyText3Char">
    <w:name w:val="Body Text 3 Char"/>
    <w:link w:val="BodyText3"/>
    <w:rsid w:val="00BA03C5"/>
    <w:rPr>
      <w:sz w:val="16"/>
      <w:szCs w:val="16"/>
      <w:lang w:eastAsia="en-US"/>
    </w:rPr>
  </w:style>
  <w:style w:type="paragraph" w:styleId="BodyTextFirstIndent">
    <w:name w:val="Body Text First Indent"/>
    <w:basedOn w:val="BodyText"/>
    <w:link w:val="BodyTextFirstIndentChar"/>
    <w:rsid w:val="00BA03C5"/>
    <w:pPr>
      <w:spacing w:after="120"/>
      <w:ind w:firstLine="210"/>
    </w:pPr>
  </w:style>
  <w:style w:type="character" w:customStyle="1" w:styleId="BodyTextFirstIndentChar">
    <w:name w:val="Body Text First Indent Char"/>
    <w:basedOn w:val="BodyTextChar"/>
    <w:link w:val="BodyTextFirstIndent"/>
    <w:rsid w:val="00BA03C5"/>
    <w:rPr>
      <w:lang w:eastAsia="en-US"/>
    </w:rPr>
  </w:style>
  <w:style w:type="paragraph" w:styleId="BodyTextFirstIndent2">
    <w:name w:val="Body Text First Indent 2"/>
    <w:basedOn w:val="BodyTextIndent"/>
    <w:link w:val="BodyTextFirstIndent2Char"/>
    <w:rsid w:val="00BA03C5"/>
    <w:pPr>
      <w:widowControl/>
      <w:suppressAutoHyphens/>
      <w:spacing w:after="120" w:line="240" w:lineRule="atLeast"/>
      <w:ind w:left="283" w:firstLine="210"/>
    </w:pPr>
    <w:rPr>
      <w:rFonts w:ascii="Times New Roman" w:hAnsi="Times New Roman"/>
      <w:snapToGrid/>
      <w:sz w:val="20"/>
    </w:rPr>
  </w:style>
  <w:style w:type="character" w:customStyle="1" w:styleId="BodyTextIndentChar1">
    <w:name w:val="Body Text Indent Char1"/>
    <w:link w:val="BodyTextIndent"/>
    <w:rsid w:val="00BA03C5"/>
    <w:rPr>
      <w:rFonts w:ascii="CG Times" w:hAnsi="CG Times"/>
      <w:snapToGrid w:val="0"/>
      <w:sz w:val="24"/>
      <w:lang w:eastAsia="en-US"/>
    </w:rPr>
  </w:style>
  <w:style w:type="character" w:customStyle="1" w:styleId="BodyTextFirstIndent2Char">
    <w:name w:val="Body Text First Indent 2 Char"/>
    <w:link w:val="BodyTextFirstIndent2"/>
    <w:rsid w:val="00BA03C5"/>
    <w:rPr>
      <w:rFonts w:ascii="CG Times" w:hAnsi="CG Times"/>
      <w:snapToGrid/>
      <w:sz w:val="24"/>
      <w:lang w:eastAsia="en-US"/>
    </w:rPr>
  </w:style>
  <w:style w:type="paragraph" w:styleId="BodyTextIndent2">
    <w:name w:val="Body Text Indent 2"/>
    <w:basedOn w:val="Normal"/>
    <w:link w:val="BodyTextIndent2Char"/>
    <w:rsid w:val="00BA03C5"/>
    <w:pPr>
      <w:spacing w:after="120" w:line="480" w:lineRule="auto"/>
      <w:ind w:left="283"/>
    </w:pPr>
  </w:style>
  <w:style w:type="character" w:customStyle="1" w:styleId="BodyTextIndent2Char">
    <w:name w:val="Body Text Indent 2 Char"/>
    <w:link w:val="BodyTextIndent2"/>
    <w:rsid w:val="00BA03C5"/>
    <w:rPr>
      <w:lang w:eastAsia="en-US"/>
    </w:rPr>
  </w:style>
  <w:style w:type="paragraph" w:styleId="BodyTextIndent3">
    <w:name w:val="Body Text Indent 3"/>
    <w:basedOn w:val="Normal"/>
    <w:link w:val="BodyTextIndent3Char"/>
    <w:rsid w:val="00BA03C5"/>
    <w:pPr>
      <w:spacing w:after="120"/>
      <w:ind w:left="283"/>
    </w:pPr>
    <w:rPr>
      <w:sz w:val="16"/>
      <w:szCs w:val="16"/>
    </w:rPr>
  </w:style>
  <w:style w:type="character" w:customStyle="1" w:styleId="BodyTextIndent3Char">
    <w:name w:val="Body Text Indent 3 Char"/>
    <w:link w:val="BodyTextIndent3"/>
    <w:rsid w:val="00BA03C5"/>
    <w:rPr>
      <w:sz w:val="16"/>
      <w:szCs w:val="16"/>
      <w:lang w:eastAsia="en-US"/>
    </w:rPr>
  </w:style>
  <w:style w:type="paragraph" w:styleId="Closing">
    <w:name w:val="Closing"/>
    <w:basedOn w:val="Normal"/>
    <w:link w:val="ClosingChar"/>
    <w:rsid w:val="00BA03C5"/>
    <w:pPr>
      <w:ind w:left="4252"/>
    </w:pPr>
  </w:style>
  <w:style w:type="character" w:customStyle="1" w:styleId="ClosingChar">
    <w:name w:val="Closing Char"/>
    <w:link w:val="Closing"/>
    <w:rsid w:val="00BA03C5"/>
    <w:rPr>
      <w:lang w:eastAsia="en-US"/>
    </w:rPr>
  </w:style>
  <w:style w:type="paragraph" w:styleId="Date">
    <w:name w:val="Date"/>
    <w:basedOn w:val="Normal"/>
    <w:next w:val="Normal"/>
    <w:link w:val="DateChar"/>
    <w:rsid w:val="00BA03C5"/>
  </w:style>
  <w:style w:type="character" w:customStyle="1" w:styleId="DateChar">
    <w:name w:val="Date Char"/>
    <w:link w:val="Date"/>
    <w:rsid w:val="00BA03C5"/>
    <w:rPr>
      <w:lang w:eastAsia="en-US"/>
    </w:rPr>
  </w:style>
  <w:style w:type="paragraph" w:styleId="E-mailSignature">
    <w:name w:val="E-mail Signature"/>
    <w:basedOn w:val="Normal"/>
    <w:link w:val="E-mailSignatureChar"/>
    <w:rsid w:val="00BA03C5"/>
  </w:style>
  <w:style w:type="character" w:customStyle="1" w:styleId="E-mailSignatureChar">
    <w:name w:val="E-mail Signature Char"/>
    <w:link w:val="E-mailSignature"/>
    <w:rsid w:val="00BA03C5"/>
    <w:rPr>
      <w:lang w:eastAsia="en-US"/>
    </w:rPr>
  </w:style>
  <w:style w:type="character" w:styleId="Emphasis">
    <w:name w:val="Emphasis"/>
    <w:qFormat/>
    <w:rsid w:val="00BA03C5"/>
    <w:rPr>
      <w:i/>
      <w:iCs/>
    </w:rPr>
  </w:style>
  <w:style w:type="paragraph" w:styleId="EnvelopeReturn">
    <w:name w:val="envelope return"/>
    <w:basedOn w:val="Normal"/>
    <w:rsid w:val="00BA03C5"/>
    <w:rPr>
      <w:rFonts w:ascii="Arial" w:hAnsi="Arial" w:cs="Arial"/>
    </w:rPr>
  </w:style>
  <w:style w:type="character" w:styleId="FollowedHyperlink">
    <w:name w:val="FollowedHyperlink"/>
    <w:rsid w:val="00BA03C5"/>
    <w:rPr>
      <w:color w:val="800080"/>
      <w:u w:val="single"/>
    </w:rPr>
  </w:style>
  <w:style w:type="character" w:styleId="HTMLAcronym">
    <w:name w:val="HTML Acronym"/>
    <w:rsid w:val="00BA03C5"/>
  </w:style>
  <w:style w:type="paragraph" w:styleId="HTMLAddress">
    <w:name w:val="HTML Address"/>
    <w:basedOn w:val="Normal"/>
    <w:link w:val="HTMLAddressChar"/>
    <w:rsid w:val="00BA03C5"/>
    <w:rPr>
      <w:i/>
      <w:iCs/>
    </w:rPr>
  </w:style>
  <w:style w:type="character" w:customStyle="1" w:styleId="HTMLAddressChar">
    <w:name w:val="HTML Address Char"/>
    <w:link w:val="HTMLAddress"/>
    <w:rsid w:val="00BA03C5"/>
    <w:rPr>
      <w:i/>
      <w:iCs/>
      <w:lang w:eastAsia="en-US"/>
    </w:rPr>
  </w:style>
  <w:style w:type="character" w:styleId="HTMLCite">
    <w:name w:val="HTML Cite"/>
    <w:rsid w:val="00BA03C5"/>
    <w:rPr>
      <w:i/>
      <w:iCs/>
    </w:rPr>
  </w:style>
  <w:style w:type="character" w:styleId="HTMLCode">
    <w:name w:val="HTML Code"/>
    <w:rsid w:val="00BA03C5"/>
    <w:rPr>
      <w:rFonts w:ascii="Courier New" w:hAnsi="Courier New" w:cs="Courier New"/>
      <w:sz w:val="20"/>
      <w:szCs w:val="20"/>
    </w:rPr>
  </w:style>
  <w:style w:type="character" w:styleId="HTMLDefinition">
    <w:name w:val="HTML Definition"/>
    <w:rsid w:val="00BA03C5"/>
    <w:rPr>
      <w:i/>
      <w:iCs/>
    </w:rPr>
  </w:style>
  <w:style w:type="character" w:styleId="HTMLKeyboard">
    <w:name w:val="HTML Keyboard"/>
    <w:rsid w:val="00BA03C5"/>
    <w:rPr>
      <w:rFonts w:ascii="Courier New" w:hAnsi="Courier New" w:cs="Courier New"/>
      <w:sz w:val="20"/>
      <w:szCs w:val="20"/>
    </w:rPr>
  </w:style>
  <w:style w:type="paragraph" w:styleId="HTMLPreformatted">
    <w:name w:val="HTML Preformatted"/>
    <w:basedOn w:val="Normal"/>
    <w:link w:val="HTMLPreformattedChar"/>
    <w:rsid w:val="00BA03C5"/>
    <w:rPr>
      <w:rFonts w:ascii="Courier New" w:hAnsi="Courier New" w:cs="Courier New"/>
    </w:rPr>
  </w:style>
  <w:style w:type="character" w:customStyle="1" w:styleId="HTMLPreformattedChar">
    <w:name w:val="HTML Preformatted Char"/>
    <w:link w:val="HTMLPreformatted"/>
    <w:rsid w:val="00BA03C5"/>
    <w:rPr>
      <w:rFonts w:ascii="Courier New" w:hAnsi="Courier New" w:cs="Courier New"/>
      <w:lang w:eastAsia="en-US"/>
    </w:rPr>
  </w:style>
  <w:style w:type="character" w:styleId="HTMLSample">
    <w:name w:val="HTML Sample"/>
    <w:rsid w:val="00BA03C5"/>
    <w:rPr>
      <w:rFonts w:ascii="Courier New" w:hAnsi="Courier New" w:cs="Courier New"/>
    </w:rPr>
  </w:style>
  <w:style w:type="character" w:styleId="HTMLTypewriter">
    <w:name w:val="HTML Typewriter"/>
    <w:rsid w:val="00BA03C5"/>
    <w:rPr>
      <w:rFonts w:ascii="Courier New" w:hAnsi="Courier New" w:cs="Courier New"/>
      <w:sz w:val="20"/>
      <w:szCs w:val="20"/>
    </w:rPr>
  </w:style>
  <w:style w:type="character" w:styleId="HTMLVariable">
    <w:name w:val="HTML Variable"/>
    <w:rsid w:val="00BA03C5"/>
    <w:rPr>
      <w:i/>
      <w:iCs/>
    </w:rPr>
  </w:style>
  <w:style w:type="paragraph" w:styleId="List">
    <w:name w:val="List"/>
    <w:basedOn w:val="Normal"/>
    <w:rsid w:val="00BA03C5"/>
    <w:pPr>
      <w:ind w:left="283" w:hanging="283"/>
    </w:pPr>
  </w:style>
  <w:style w:type="paragraph" w:styleId="List2">
    <w:name w:val="List 2"/>
    <w:basedOn w:val="Normal"/>
    <w:rsid w:val="00BA03C5"/>
    <w:pPr>
      <w:ind w:left="566" w:hanging="283"/>
    </w:pPr>
  </w:style>
  <w:style w:type="paragraph" w:styleId="List3">
    <w:name w:val="List 3"/>
    <w:basedOn w:val="Normal"/>
    <w:rsid w:val="00BA03C5"/>
    <w:pPr>
      <w:ind w:left="849" w:hanging="283"/>
    </w:pPr>
  </w:style>
  <w:style w:type="paragraph" w:styleId="List4">
    <w:name w:val="List 4"/>
    <w:basedOn w:val="Normal"/>
    <w:rsid w:val="00BA03C5"/>
    <w:pPr>
      <w:ind w:left="1132" w:hanging="283"/>
    </w:pPr>
  </w:style>
  <w:style w:type="paragraph" w:styleId="List5">
    <w:name w:val="List 5"/>
    <w:basedOn w:val="Normal"/>
    <w:rsid w:val="00BA03C5"/>
    <w:pPr>
      <w:ind w:left="1415" w:hanging="283"/>
    </w:pPr>
  </w:style>
  <w:style w:type="paragraph" w:styleId="ListBullet">
    <w:name w:val="List Bullet"/>
    <w:basedOn w:val="Normal"/>
    <w:rsid w:val="00BA03C5"/>
    <w:pPr>
      <w:tabs>
        <w:tab w:val="num" w:pos="360"/>
      </w:tabs>
      <w:ind w:left="360" w:hanging="360"/>
    </w:pPr>
  </w:style>
  <w:style w:type="paragraph" w:styleId="ListBullet2">
    <w:name w:val="List Bullet 2"/>
    <w:basedOn w:val="Normal"/>
    <w:rsid w:val="00BA03C5"/>
    <w:pPr>
      <w:tabs>
        <w:tab w:val="num" w:pos="643"/>
      </w:tabs>
      <w:ind w:left="643" w:hanging="360"/>
    </w:pPr>
  </w:style>
  <w:style w:type="paragraph" w:styleId="ListBullet3">
    <w:name w:val="List Bullet 3"/>
    <w:basedOn w:val="Normal"/>
    <w:rsid w:val="00BA03C5"/>
    <w:pPr>
      <w:tabs>
        <w:tab w:val="num" w:pos="926"/>
      </w:tabs>
      <w:ind w:left="926" w:hanging="360"/>
    </w:pPr>
  </w:style>
  <w:style w:type="paragraph" w:styleId="ListBullet4">
    <w:name w:val="List Bullet 4"/>
    <w:basedOn w:val="Normal"/>
    <w:rsid w:val="00BA03C5"/>
    <w:pPr>
      <w:tabs>
        <w:tab w:val="num" w:pos="1209"/>
      </w:tabs>
      <w:ind w:left="1209" w:hanging="360"/>
    </w:pPr>
  </w:style>
  <w:style w:type="paragraph" w:styleId="ListBullet5">
    <w:name w:val="List Bullet 5"/>
    <w:basedOn w:val="Normal"/>
    <w:rsid w:val="00BA03C5"/>
    <w:pPr>
      <w:tabs>
        <w:tab w:val="num" w:pos="1492"/>
      </w:tabs>
      <w:ind w:left="1492" w:hanging="360"/>
    </w:pPr>
  </w:style>
  <w:style w:type="paragraph" w:styleId="ListContinue">
    <w:name w:val="List Continue"/>
    <w:basedOn w:val="Normal"/>
    <w:rsid w:val="00BA03C5"/>
    <w:pPr>
      <w:spacing w:after="120"/>
      <w:ind w:left="283"/>
    </w:pPr>
  </w:style>
  <w:style w:type="paragraph" w:styleId="ListContinue2">
    <w:name w:val="List Continue 2"/>
    <w:basedOn w:val="Normal"/>
    <w:rsid w:val="00BA03C5"/>
    <w:pPr>
      <w:spacing w:after="120"/>
      <w:ind w:left="566"/>
    </w:pPr>
  </w:style>
  <w:style w:type="paragraph" w:styleId="ListContinue3">
    <w:name w:val="List Continue 3"/>
    <w:basedOn w:val="Normal"/>
    <w:rsid w:val="00BA03C5"/>
    <w:pPr>
      <w:spacing w:after="120"/>
      <w:ind w:left="849"/>
    </w:pPr>
  </w:style>
  <w:style w:type="paragraph" w:styleId="ListContinue4">
    <w:name w:val="List Continue 4"/>
    <w:basedOn w:val="Normal"/>
    <w:rsid w:val="00BA03C5"/>
    <w:pPr>
      <w:spacing w:after="120"/>
      <w:ind w:left="1132"/>
    </w:pPr>
  </w:style>
  <w:style w:type="paragraph" w:styleId="ListContinue5">
    <w:name w:val="List Continue 5"/>
    <w:basedOn w:val="Normal"/>
    <w:rsid w:val="00BA03C5"/>
    <w:pPr>
      <w:spacing w:after="120"/>
      <w:ind w:left="1415"/>
    </w:pPr>
  </w:style>
  <w:style w:type="paragraph" w:styleId="ListNumber">
    <w:name w:val="List Number"/>
    <w:basedOn w:val="Normal"/>
    <w:rsid w:val="00BA03C5"/>
    <w:pPr>
      <w:tabs>
        <w:tab w:val="num" w:pos="360"/>
      </w:tabs>
      <w:ind w:left="360" w:hanging="360"/>
    </w:pPr>
  </w:style>
  <w:style w:type="paragraph" w:styleId="ListNumber2">
    <w:name w:val="List Number 2"/>
    <w:basedOn w:val="Normal"/>
    <w:rsid w:val="00BA03C5"/>
    <w:pPr>
      <w:tabs>
        <w:tab w:val="num" w:pos="643"/>
      </w:tabs>
      <w:ind w:left="643" w:hanging="360"/>
    </w:pPr>
  </w:style>
  <w:style w:type="paragraph" w:styleId="ListNumber3">
    <w:name w:val="List Number 3"/>
    <w:basedOn w:val="Normal"/>
    <w:rsid w:val="00BA03C5"/>
    <w:pPr>
      <w:tabs>
        <w:tab w:val="num" w:pos="926"/>
      </w:tabs>
      <w:ind w:left="926" w:hanging="360"/>
    </w:pPr>
  </w:style>
  <w:style w:type="paragraph" w:styleId="ListNumber4">
    <w:name w:val="List Number 4"/>
    <w:basedOn w:val="Normal"/>
    <w:rsid w:val="00BA03C5"/>
    <w:pPr>
      <w:tabs>
        <w:tab w:val="num" w:pos="1209"/>
      </w:tabs>
      <w:ind w:left="1209" w:hanging="360"/>
    </w:pPr>
  </w:style>
  <w:style w:type="paragraph" w:styleId="ListNumber5">
    <w:name w:val="List Number 5"/>
    <w:basedOn w:val="Normal"/>
    <w:rsid w:val="00BA03C5"/>
    <w:pPr>
      <w:tabs>
        <w:tab w:val="num" w:pos="1492"/>
      </w:tabs>
      <w:ind w:left="1492" w:hanging="360"/>
    </w:pPr>
  </w:style>
  <w:style w:type="paragraph" w:styleId="MessageHeader">
    <w:name w:val="Message Header"/>
    <w:basedOn w:val="Normal"/>
    <w:link w:val="MessageHeaderChar"/>
    <w:rsid w:val="00BA03C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rsid w:val="00BA03C5"/>
    <w:rPr>
      <w:rFonts w:ascii="Arial" w:hAnsi="Arial" w:cs="Arial"/>
      <w:sz w:val="24"/>
      <w:szCs w:val="24"/>
      <w:shd w:val="pct20" w:color="auto" w:fill="auto"/>
      <w:lang w:eastAsia="en-US"/>
    </w:rPr>
  </w:style>
  <w:style w:type="paragraph" w:styleId="NormalWeb">
    <w:name w:val="Normal (Web)"/>
    <w:basedOn w:val="Normal"/>
    <w:rsid w:val="00BA03C5"/>
    <w:rPr>
      <w:sz w:val="24"/>
      <w:szCs w:val="24"/>
    </w:rPr>
  </w:style>
  <w:style w:type="paragraph" w:styleId="NormalIndent">
    <w:name w:val="Normal Indent"/>
    <w:basedOn w:val="Normal"/>
    <w:rsid w:val="00BA03C5"/>
    <w:pPr>
      <w:ind w:left="567"/>
    </w:pPr>
  </w:style>
  <w:style w:type="paragraph" w:styleId="NoteHeading">
    <w:name w:val="Note Heading"/>
    <w:basedOn w:val="Normal"/>
    <w:next w:val="Normal"/>
    <w:link w:val="NoteHeadingChar"/>
    <w:rsid w:val="00BA03C5"/>
  </w:style>
  <w:style w:type="character" w:customStyle="1" w:styleId="NoteHeadingChar">
    <w:name w:val="Note Heading Char"/>
    <w:link w:val="NoteHeading"/>
    <w:rsid w:val="00BA03C5"/>
    <w:rPr>
      <w:lang w:eastAsia="en-US"/>
    </w:rPr>
  </w:style>
  <w:style w:type="paragraph" w:styleId="Salutation">
    <w:name w:val="Salutation"/>
    <w:basedOn w:val="Normal"/>
    <w:next w:val="Normal"/>
    <w:link w:val="SalutationChar"/>
    <w:rsid w:val="00BA03C5"/>
  </w:style>
  <w:style w:type="character" w:customStyle="1" w:styleId="SalutationChar">
    <w:name w:val="Salutation Char"/>
    <w:link w:val="Salutation"/>
    <w:rsid w:val="00BA03C5"/>
    <w:rPr>
      <w:lang w:eastAsia="en-US"/>
    </w:rPr>
  </w:style>
  <w:style w:type="paragraph" w:styleId="Signature">
    <w:name w:val="Signature"/>
    <w:basedOn w:val="Normal"/>
    <w:link w:val="SignatureChar"/>
    <w:rsid w:val="00BA03C5"/>
    <w:pPr>
      <w:ind w:left="4252"/>
    </w:pPr>
  </w:style>
  <w:style w:type="character" w:customStyle="1" w:styleId="SignatureChar">
    <w:name w:val="Signature Char"/>
    <w:link w:val="Signature"/>
    <w:rsid w:val="00BA03C5"/>
    <w:rPr>
      <w:lang w:eastAsia="en-US"/>
    </w:rPr>
  </w:style>
  <w:style w:type="character" w:styleId="Strong">
    <w:name w:val="Strong"/>
    <w:qFormat/>
    <w:rsid w:val="00BA03C5"/>
    <w:rPr>
      <w:b/>
      <w:bCs/>
    </w:rPr>
  </w:style>
  <w:style w:type="paragraph" w:styleId="Subtitle">
    <w:name w:val="Subtitle"/>
    <w:basedOn w:val="Normal"/>
    <w:link w:val="SubtitleChar"/>
    <w:qFormat/>
    <w:rsid w:val="00BA03C5"/>
    <w:pPr>
      <w:spacing w:after="60"/>
      <w:jc w:val="center"/>
      <w:outlineLvl w:val="1"/>
    </w:pPr>
    <w:rPr>
      <w:rFonts w:ascii="Arial" w:hAnsi="Arial" w:cs="Arial"/>
      <w:sz w:val="24"/>
      <w:szCs w:val="24"/>
    </w:rPr>
  </w:style>
  <w:style w:type="character" w:customStyle="1" w:styleId="SubtitleChar">
    <w:name w:val="Subtitle Char"/>
    <w:link w:val="Subtitle"/>
    <w:rsid w:val="00BA03C5"/>
    <w:rPr>
      <w:rFonts w:ascii="Arial" w:hAnsi="Arial" w:cs="Arial"/>
      <w:sz w:val="24"/>
      <w:szCs w:val="24"/>
      <w:lang w:eastAsia="en-US"/>
    </w:rPr>
  </w:style>
  <w:style w:type="table" w:styleId="Table3Deffects1">
    <w:name w:val="Table 3D effects 1"/>
    <w:basedOn w:val="TableNormal"/>
    <w:rsid w:val="00BA03C5"/>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A03C5"/>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A03C5"/>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A03C5"/>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A03C5"/>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A03C5"/>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A03C5"/>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A03C5"/>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A03C5"/>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A03C5"/>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A03C5"/>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A03C5"/>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A03C5"/>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A03C5"/>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A03C5"/>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A03C5"/>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A03C5"/>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A03C5"/>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A03C5"/>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A03C5"/>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A03C5"/>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A03C5"/>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A03C5"/>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A03C5"/>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A03C5"/>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A03C5"/>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A03C5"/>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A03C5"/>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A03C5"/>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A03C5"/>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A03C5"/>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A03C5"/>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A03C5"/>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A03C5"/>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A03C5"/>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A03C5"/>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A03C5"/>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A03C5"/>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A03C5"/>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A03C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A03C5"/>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A03C5"/>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A03C5"/>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A03C5"/>
    <w:pPr>
      <w:spacing w:before="240" w:after="60"/>
      <w:jc w:val="center"/>
      <w:outlineLvl w:val="0"/>
    </w:pPr>
    <w:rPr>
      <w:rFonts w:ascii="Arial" w:hAnsi="Arial" w:cs="Arial"/>
      <w:b/>
      <w:bCs/>
      <w:kern w:val="28"/>
      <w:sz w:val="32"/>
      <w:szCs w:val="32"/>
    </w:rPr>
  </w:style>
  <w:style w:type="character" w:customStyle="1" w:styleId="TitleChar">
    <w:name w:val="Title Char"/>
    <w:link w:val="Title"/>
    <w:rsid w:val="00BA03C5"/>
    <w:rPr>
      <w:rFonts w:ascii="Arial" w:hAnsi="Arial" w:cs="Arial"/>
      <w:b/>
      <w:bCs/>
      <w:kern w:val="28"/>
      <w:sz w:val="32"/>
      <w:szCs w:val="32"/>
      <w:lang w:eastAsia="en-US"/>
    </w:rPr>
  </w:style>
  <w:style w:type="paragraph" w:styleId="EnvelopeAddress">
    <w:name w:val="envelope address"/>
    <w:basedOn w:val="Normal"/>
    <w:rsid w:val="00BA03C5"/>
    <w:pPr>
      <w:framePr w:w="7920" w:h="1980" w:hRule="exact" w:hSpace="180" w:wrap="auto" w:hAnchor="page" w:xAlign="center" w:yAlign="bottom"/>
      <w:ind w:left="2880"/>
    </w:pPr>
    <w:rPr>
      <w:rFonts w:ascii="Arial" w:hAnsi="Arial" w:cs="Arial"/>
      <w:sz w:val="24"/>
      <w:szCs w:val="24"/>
    </w:rPr>
  </w:style>
  <w:style w:type="character" w:customStyle="1" w:styleId="FooterChar">
    <w:name w:val="Footer Char"/>
    <w:aliases w:val="3_G Char"/>
    <w:link w:val="Footer"/>
    <w:uiPriority w:val="99"/>
    <w:rsid w:val="00BA03C5"/>
    <w:rPr>
      <w:sz w:val="16"/>
      <w:lang w:eastAsia="en-US"/>
    </w:rPr>
  </w:style>
  <w:style w:type="character" w:customStyle="1" w:styleId="HeaderChar">
    <w:name w:val="Header Char"/>
    <w:aliases w:val="6_G Char"/>
    <w:link w:val="Header"/>
    <w:rsid w:val="00BA03C5"/>
    <w:rPr>
      <w:b/>
      <w:sz w:val="18"/>
      <w:lang w:eastAsia="en-US"/>
    </w:rPr>
  </w:style>
  <w:style w:type="paragraph" w:styleId="BalloonText">
    <w:name w:val="Balloon Text"/>
    <w:basedOn w:val="Normal"/>
    <w:link w:val="BalloonTextChar"/>
    <w:rsid w:val="00787260"/>
    <w:pPr>
      <w:spacing w:line="240" w:lineRule="auto"/>
    </w:pPr>
    <w:rPr>
      <w:rFonts w:ascii="Tahoma" w:hAnsi="Tahoma" w:cs="Tahoma"/>
      <w:sz w:val="16"/>
      <w:szCs w:val="16"/>
    </w:rPr>
  </w:style>
  <w:style w:type="character" w:customStyle="1" w:styleId="BalloonTextChar">
    <w:name w:val="Balloon Text Char"/>
    <w:link w:val="BalloonText"/>
    <w:rsid w:val="00787260"/>
    <w:rPr>
      <w:rFonts w:ascii="Tahoma" w:hAnsi="Tahoma" w:cs="Tahoma"/>
      <w:sz w:val="16"/>
      <w:szCs w:val="16"/>
      <w:lang w:eastAsia="en-US"/>
    </w:rPr>
  </w:style>
  <w:style w:type="paragraph" w:customStyle="1" w:styleId="H1">
    <w:name w:val="_ H_1"/>
    <w:basedOn w:val="Normal"/>
    <w:next w:val="SingleTxt"/>
    <w:rsid w:val="001F3B2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SimSun"/>
      <w:b/>
      <w:spacing w:val="4"/>
      <w:w w:val="103"/>
      <w:kern w:val="14"/>
      <w:sz w:val="24"/>
      <w:lang w:eastAsia="zh-CN"/>
    </w:rPr>
  </w:style>
  <w:style w:type="paragraph" w:customStyle="1" w:styleId="HCh">
    <w:name w:val="_ H _Ch"/>
    <w:basedOn w:val="H1"/>
    <w:next w:val="SingleTxt"/>
    <w:rsid w:val="001F3B24"/>
    <w:pPr>
      <w:spacing w:line="300" w:lineRule="exact"/>
      <w:ind w:left="0" w:right="0" w:firstLine="0"/>
    </w:pPr>
    <w:rPr>
      <w:spacing w:val="-2"/>
      <w:sz w:val="28"/>
    </w:rPr>
  </w:style>
  <w:style w:type="paragraph" w:customStyle="1" w:styleId="SingleTxt">
    <w:name w:val="__Single Txt"/>
    <w:basedOn w:val="Normal"/>
    <w:rsid w:val="001F3B2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H23">
    <w:name w:val="_ H_2/3"/>
    <w:basedOn w:val="Normal"/>
    <w:next w:val="SingleTxt"/>
    <w:rsid w:val="006D242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rFonts w:eastAsia="SimSun"/>
      <w:b/>
      <w:spacing w:val="2"/>
      <w:w w:val="103"/>
      <w:kern w:val="14"/>
      <w:lang w:eastAsia="zh-CN"/>
    </w:rPr>
  </w:style>
  <w:style w:type="character" w:customStyle="1" w:styleId="H1GChar">
    <w:name w:val="_ H_1_G Char"/>
    <w:link w:val="H1G"/>
    <w:rsid w:val="000B3CC6"/>
    <w:rPr>
      <w:b/>
      <w:sz w:val="24"/>
      <w:lang w:eastAsia="en-US"/>
    </w:rPr>
  </w:style>
  <w:style w:type="paragraph" w:customStyle="1" w:styleId="Default">
    <w:name w:val="Default"/>
    <w:rsid w:val="000B3CC6"/>
    <w:pPr>
      <w:widowControl w:val="0"/>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A12FDD"/>
    <w:pPr>
      <w:suppressAutoHyphens w:val="0"/>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numPr>
        <w:numId w:val="14"/>
      </w:numPr>
      <w:spacing w:after="0" w:line="240" w:lineRule="auto"/>
      <w:ind w:right="0"/>
      <w:jc w:val="left"/>
      <w:outlineLvl w:val="0"/>
    </w:pPr>
  </w:style>
  <w:style w:type="paragraph" w:styleId="Heading2">
    <w:name w:val="heading 2"/>
    <w:basedOn w:val="Normal"/>
    <w:next w:val="Normal"/>
    <w:link w:val="Heading2Char"/>
    <w:qFormat/>
    <w:pPr>
      <w:tabs>
        <w:tab w:val="num" w:pos="360"/>
      </w:tabs>
      <w:spacing w:line="240" w:lineRule="auto"/>
      <w:ind w:left="360" w:hanging="360"/>
      <w:outlineLvl w:val="1"/>
    </w:pPr>
  </w:style>
  <w:style w:type="paragraph" w:styleId="Heading3">
    <w:name w:val="heading 3"/>
    <w:basedOn w:val="Normal"/>
    <w:next w:val="Normal"/>
    <w:link w:val="Heading3Char"/>
    <w:qFormat/>
    <w:pPr>
      <w:tabs>
        <w:tab w:val="num" w:pos="360"/>
      </w:tabs>
      <w:spacing w:line="240" w:lineRule="auto"/>
      <w:ind w:left="360" w:hanging="360"/>
      <w:outlineLvl w:val="2"/>
    </w:pPr>
  </w:style>
  <w:style w:type="paragraph" w:styleId="Heading4">
    <w:name w:val="heading 4"/>
    <w:basedOn w:val="Normal"/>
    <w:next w:val="Normal"/>
    <w:link w:val="Heading4Char"/>
    <w:qFormat/>
    <w:pPr>
      <w:tabs>
        <w:tab w:val="num" w:pos="360"/>
      </w:tabs>
      <w:spacing w:line="240" w:lineRule="auto"/>
      <w:ind w:left="360" w:hanging="360"/>
      <w:outlineLvl w:val="3"/>
    </w:pPr>
  </w:style>
  <w:style w:type="paragraph" w:styleId="Heading5">
    <w:name w:val="heading 5"/>
    <w:basedOn w:val="Normal"/>
    <w:next w:val="Normal"/>
    <w:link w:val="Heading5Char"/>
    <w:qFormat/>
    <w:pPr>
      <w:tabs>
        <w:tab w:val="num" w:pos="360"/>
      </w:tabs>
      <w:spacing w:line="240" w:lineRule="auto"/>
      <w:ind w:left="360" w:hanging="360"/>
      <w:outlineLvl w:val="4"/>
    </w:pPr>
  </w:style>
  <w:style w:type="paragraph" w:styleId="Heading6">
    <w:name w:val="heading 6"/>
    <w:basedOn w:val="Normal"/>
    <w:next w:val="Normal"/>
    <w:link w:val="Heading6Char"/>
    <w:qFormat/>
    <w:pPr>
      <w:tabs>
        <w:tab w:val="num" w:pos="360"/>
      </w:tabs>
      <w:spacing w:line="240" w:lineRule="auto"/>
      <w:ind w:left="360" w:hanging="360"/>
      <w:outlineLvl w:val="5"/>
    </w:pPr>
  </w:style>
  <w:style w:type="paragraph" w:styleId="Heading7">
    <w:name w:val="heading 7"/>
    <w:basedOn w:val="Normal"/>
    <w:next w:val="Normal"/>
    <w:link w:val="Heading7Char"/>
    <w:qFormat/>
    <w:pPr>
      <w:tabs>
        <w:tab w:val="num" w:pos="360"/>
      </w:tabs>
      <w:spacing w:line="240" w:lineRule="auto"/>
      <w:ind w:left="360" w:hanging="360"/>
      <w:outlineLvl w:val="6"/>
    </w:pPr>
  </w:style>
  <w:style w:type="paragraph" w:styleId="Heading8">
    <w:name w:val="heading 8"/>
    <w:basedOn w:val="Normal"/>
    <w:next w:val="Normal"/>
    <w:link w:val="Heading8Char"/>
    <w:qFormat/>
    <w:pPr>
      <w:tabs>
        <w:tab w:val="num" w:pos="360"/>
      </w:tabs>
      <w:spacing w:line="240" w:lineRule="auto"/>
      <w:ind w:left="360" w:hanging="360"/>
      <w:outlineLvl w:val="7"/>
    </w:pPr>
  </w:style>
  <w:style w:type="paragraph" w:styleId="Heading9">
    <w:name w:val="heading 9"/>
    <w:basedOn w:val="Normal"/>
    <w:next w:val="Normal"/>
    <w:link w:val="Heading9Char"/>
    <w:qFormat/>
    <w:pPr>
      <w:tabs>
        <w:tab w:val="num" w:pos="360"/>
      </w:tabs>
      <w:spacing w:line="240" w:lineRule="auto"/>
      <w:ind w:left="360"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paragraph" w:styleId="EndnoteText">
    <w:name w:val="endnote text"/>
    <w:aliases w:val="2_G"/>
    <w:basedOn w:val="FootnoteText"/>
    <w:link w:val="EndnoteTextChar"/>
    <w:rsid w:val="007B6BA5"/>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styleId="Hyperlink">
    <w:name w:val="Hyperlink"/>
    <w:semiHidden/>
    <w:rsid w:val="008A6C4F"/>
    <w:rPr>
      <w:color w:val="0000FF"/>
      <w:u w:val="single"/>
    </w:rPr>
  </w:style>
  <w:style w:type="paragraph" w:styleId="Footer">
    <w:name w:val="footer"/>
    <w:aliases w:val="3_G"/>
    <w:basedOn w:val="Normal"/>
    <w:link w:val="FooterChar"/>
    <w:uiPriority w:val="99"/>
    <w:rsid w:val="009F2EAC"/>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paragraph" w:styleId="BodyTextIndent">
    <w:name w:val="Body Text Indent"/>
    <w:basedOn w:val="Normal"/>
    <w:link w:val="BodyTextIndentChar1"/>
    <w:rsid w:val="004574E6"/>
    <w:pPr>
      <w:widowControl w:val="0"/>
      <w:suppressAutoHyphens w:val="0"/>
      <w:spacing w:line="240" w:lineRule="auto"/>
      <w:ind w:firstLine="5103"/>
    </w:pPr>
    <w:rPr>
      <w:rFonts w:ascii="CG Times" w:hAnsi="CG Times"/>
      <w:snapToGrid w:val="0"/>
      <w:sz w:val="24"/>
    </w:rPr>
  </w:style>
  <w:style w:type="table" w:styleId="TableGrid">
    <w:name w:val="Table Grid"/>
    <w:basedOn w:val="TableNormal"/>
    <w:rsid w:val="004574E6"/>
    <w:pPr>
      <w:jc w:val="both"/>
    </w:pPr>
    <w:rPr>
      <w:snapToGrid w:val="0"/>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rsid w:val="004574E6"/>
    <w:rPr>
      <w:b/>
      <w:sz w:val="28"/>
      <w:lang w:val="en-GB" w:eastAsia="en-US" w:bidi="ar-SA"/>
    </w:rPr>
  </w:style>
  <w:style w:type="character" w:customStyle="1" w:styleId="SingleTxtGChar">
    <w:name w:val="_ Single Txt_G Char"/>
    <w:link w:val="SingleTxtG"/>
    <w:qFormat/>
    <w:rsid w:val="004574E6"/>
    <w:rPr>
      <w:lang w:val="en-GB" w:eastAsia="en-US" w:bidi="ar-SA"/>
    </w:rPr>
  </w:style>
  <w:style w:type="character" w:customStyle="1" w:styleId="Heading6Char">
    <w:name w:val="Heading 6 Char"/>
    <w:link w:val="Heading6"/>
    <w:rsid w:val="00354D6A"/>
    <w:rPr>
      <w:lang w:eastAsia="en-US"/>
    </w:rPr>
  </w:style>
  <w:style w:type="character" w:customStyle="1" w:styleId="darkbluebold">
    <w:name w:val="darkbluebold"/>
    <w:basedOn w:val="DefaultParagraphFont"/>
    <w:rsid w:val="000A0FE6"/>
  </w:style>
  <w:style w:type="character" w:customStyle="1" w:styleId="H23GChar">
    <w:name w:val="_ H_2/3_G Char"/>
    <w:link w:val="H23G"/>
    <w:rsid w:val="00FE1F3E"/>
    <w:rPr>
      <w:b/>
      <w:lang w:val="en-GB" w:eastAsia="en-US" w:bidi="ar-SA"/>
    </w:rPr>
  </w:style>
  <w:style w:type="paragraph" w:customStyle="1" w:styleId="ParaNoG">
    <w:name w:val="_ParaNo._G"/>
    <w:basedOn w:val="SingleTxtG"/>
    <w:rsid w:val="00DE1CB7"/>
    <w:pPr>
      <w:numPr>
        <w:numId w:val="3"/>
      </w:numPr>
    </w:pPr>
  </w:style>
  <w:style w:type="paragraph" w:customStyle="1" w:styleId="Docs">
    <w:name w:val="Docs"/>
    <w:basedOn w:val="Normal"/>
    <w:rsid w:val="002502C1"/>
    <w:pPr>
      <w:keepNext/>
      <w:widowControl w:val="0"/>
      <w:autoSpaceDN w:val="0"/>
      <w:spacing w:after="240" w:line="240" w:lineRule="auto"/>
      <w:textAlignment w:val="baseline"/>
    </w:pPr>
    <w:rPr>
      <w:rFonts w:eastAsia="Lucida Sans Unicode"/>
      <w:kern w:val="3"/>
      <w:sz w:val="24"/>
      <w:szCs w:val="24"/>
      <w:lang w:val="en-US"/>
    </w:rPr>
  </w:style>
  <w:style w:type="paragraph" w:customStyle="1" w:styleId="DocList">
    <w:name w:val="DocList"/>
    <w:basedOn w:val="SingleTxtG"/>
    <w:rsid w:val="00A46DD0"/>
    <w:pPr>
      <w:spacing w:after="240"/>
      <w:ind w:left="3701" w:right="1138" w:hanging="2002"/>
      <w:jc w:val="left"/>
    </w:pPr>
    <w:rPr>
      <w:i/>
    </w:rPr>
  </w:style>
  <w:style w:type="character" w:customStyle="1" w:styleId="SingleTxtGZchnZchn">
    <w:name w:val="_ Single Txt_G Zchn Zchn"/>
    <w:rsid w:val="00A46DD0"/>
    <w:rPr>
      <w:lang w:val="en-GB" w:eastAsia="en-US" w:bidi="ar-SA"/>
    </w:rPr>
  </w:style>
  <w:style w:type="character" w:customStyle="1" w:styleId="Heading1Char">
    <w:name w:val="Heading 1 Char"/>
    <w:aliases w:val="Table_G Char"/>
    <w:link w:val="Heading1"/>
    <w:rsid w:val="00BA03C5"/>
    <w:rPr>
      <w:lang w:eastAsia="en-US"/>
    </w:rPr>
  </w:style>
  <w:style w:type="character" w:customStyle="1" w:styleId="Heading2Char">
    <w:name w:val="Heading 2 Char"/>
    <w:link w:val="Heading2"/>
    <w:rsid w:val="00BA03C5"/>
    <w:rPr>
      <w:lang w:eastAsia="en-US"/>
    </w:rPr>
  </w:style>
  <w:style w:type="character" w:customStyle="1" w:styleId="Heading3Char">
    <w:name w:val="Heading 3 Char"/>
    <w:link w:val="Heading3"/>
    <w:rsid w:val="00BA03C5"/>
    <w:rPr>
      <w:lang w:eastAsia="en-US"/>
    </w:rPr>
  </w:style>
  <w:style w:type="character" w:customStyle="1" w:styleId="Heading4Char">
    <w:name w:val="Heading 4 Char"/>
    <w:link w:val="Heading4"/>
    <w:rsid w:val="00BA03C5"/>
    <w:rPr>
      <w:lang w:eastAsia="en-US"/>
    </w:rPr>
  </w:style>
  <w:style w:type="character" w:customStyle="1" w:styleId="Heading5Char">
    <w:name w:val="Heading 5 Char"/>
    <w:link w:val="Heading5"/>
    <w:rsid w:val="00BA03C5"/>
    <w:rPr>
      <w:lang w:eastAsia="en-US"/>
    </w:rPr>
  </w:style>
  <w:style w:type="character" w:customStyle="1" w:styleId="Heading7Char">
    <w:name w:val="Heading 7 Char"/>
    <w:link w:val="Heading7"/>
    <w:rsid w:val="00BA03C5"/>
    <w:rPr>
      <w:lang w:eastAsia="en-US"/>
    </w:rPr>
  </w:style>
  <w:style w:type="character" w:customStyle="1" w:styleId="Heading8Char">
    <w:name w:val="Heading 8 Char"/>
    <w:link w:val="Heading8"/>
    <w:rsid w:val="00BA03C5"/>
    <w:rPr>
      <w:lang w:eastAsia="en-US"/>
    </w:rPr>
  </w:style>
  <w:style w:type="character" w:customStyle="1" w:styleId="Heading9Char">
    <w:name w:val="Heading 9 Char"/>
    <w:link w:val="Heading9"/>
    <w:rsid w:val="00BA03C5"/>
    <w:rPr>
      <w:lang w:eastAsia="en-US"/>
    </w:rPr>
  </w:style>
  <w:style w:type="paragraph" w:styleId="PlainText">
    <w:name w:val="Plain Text"/>
    <w:basedOn w:val="Normal"/>
    <w:link w:val="PlainTextChar"/>
    <w:rsid w:val="00BA03C5"/>
    <w:rPr>
      <w:rFonts w:cs="Courier New"/>
    </w:rPr>
  </w:style>
  <w:style w:type="character" w:customStyle="1" w:styleId="PlainTextChar">
    <w:name w:val="Plain Text Char"/>
    <w:link w:val="PlainText"/>
    <w:rsid w:val="00BA03C5"/>
    <w:rPr>
      <w:rFonts w:cs="Courier New"/>
      <w:lang w:eastAsia="en-US"/>
    </w:rPr>
  </w:style>
  <w:style w:type="paragraph" w:styleId="BodyText">
    <w:name w:val="Body Text"/>
    <w:basedOn w:val="Normal"/>
    <w:next w:val="Normal"/>
    <w:link w:val="BodyTextChar"/>
    <w:rsid w:val="00BA03C5"/>
  </w:style>
  <w:style w:type="character" w:customStyle="1" w:styleId="BodyTextChar">
    <w:name w:val="Body Text Char"/>
    <w:link w:val="BodyText"/>
    <w:rsid w:val="00BA03C5"/>
    <w:rPr>
      <w:lang w:eastAsia="en-US"/>
    </w:rPr>
  </w:style>
  <w:style w:type="character" w:customStyle="1" w:styleId="BodyTextIndentChar">
    <w:name w:val="Body Text Indent Char"/>
    <w:semiHidden/>
    <w:rsid w:val="00BA03C5"/>
    <w:rPr>
      <w:lang w:eastAsia="en-US"/>
    </w:rPr>
  </w:style>
  <w:style w:type="paragraph" w:styleId="BlockText">
    <w:name w:val="Block Text"/>
    <w:basedOn w:val="Normal"/>
    <w:rsid w:val="00BA03C5"/>
    <w:pPr>
      <w:ind w:left="1440" w:right="1440"/>
    </w:pPr>
  </w:style>
  <w:style w:type="character" w:customStyle="1" w:styleId="FootnoteTextChar">
    <w:name w:val="Footnote Text Char"/>
    <w:aliases w:val="5_G Char"/>
    <w:link w:val="FootnoteText"/>
    <w:uiPriority w:val="99"/>
    <w:rsid w:val="00BA03C5"/>
    <w:rPr>
      <w:sz w:val="18"/>
      <w:lang w:eastAsia="en-US"/>
    </w:rPr>
  </w:style>
  <w:style w:type="character" w:customStyle="1" w:styleId="EndnoteTextChar">
    <w:name w:val="Endnote Text Char"/>
    <w:aliases w:val="2_G Char"/>
    <w:link w:val="EndnoteText"/>
    <w:rsid w:val="00BA03C5"/>
    <w:rPr>
      <w:sz w:val="18"/>
      <w:lang w:eastAsia="en-US"/>
    </w:rPr>
  </w:style>
  <w:style w:type="character" w:styleId="CommentReference">
    <w:name w:val="annotation reference"/>
    <w:rsid w:val="00BA03C5"/>
    <w:rPr>
      <w:sz w:val="6"/>
    </w:rPr>
  </w:style>
  <w:style w:type="paragraph" w:styleId="CommentText">
    <w:name w:val="annotation text"/>
    <w:basedOn w:val="Normal"/>
    <w:link w:val="CommentTextChar"/>
    <w:rsid w:val="00BA03C5"/>
  </w:style>
  <w:style w:type="character" w:customStyle="1" w:styleId="CommentTextChar">
    <w:name w:val="Comment Text Char"/>
    <w:link w:val="CommentText"/>
    <w:rsid w:val="00BA03C5"/>
    <w:rPr>
      <w:lang w:eastAsia="en-US"/>
    </w:rPr>
  </w:style>
  <w:style w:type="character" w:styleId="LineNumber">
    <w:name w:val="line number"/>
    <w:rsid w:val="00BA03C5"/>
    <w:rPr>
      <w:sz w:val="14"/>
    </w:rPr>
  </w:style>
  <w:style w:type="numbering" w:styleId="111111">
    <w:name w:val="Outline List 2"/>
    <w:basedOn w:val="NoList"/>
    <w:rsid w:val="00BA03C5"/>
    <w:pPr>
      <w:numPr>
        <w:numId w:val="15"/>
      </w:numPr>
    </w:pPr>
  </w:style>
  <w:style w:type="numbering" w:styleId="1ai">
    <w:name w:val="Outline List 1"/>
    <w:basedOn w:val="NoList"/>
    <w:rsid w:val="00BA03C5"/>
    <w:pPr>
      <w:numPr>
        <w:numId w:val="16"/>
      </w:numPr>
    </w:pPr>
  </w:style>
  <w:style w:type="numbering" w:styleId="ArticleSection">
    <w:name w:val="Outline List 3"/>
    <w:basedOn w:val="NoList"/>
    <w:rsid w:val="00BA03C5"/>
    <w:pPr>
      <w:numPr>
        <w:numId w:val="17"/>
      </w:numPr>
    </w:pPr>
  </w:style>
  <w:style w:type="paragraph" w:styleId="BodyText2">
    <w:name w:val="Body Text 2"/>
    <w:basedOn w:val="Normal"/>
    <w:link w:val="BodyText2Char"/>
    <w:rsid w:val="00BA03C5"/>
    <w:pPr>
      <w:spacing w:after="120" w:line="480" w:lineRule="auto"/>
    </w:pPr>
  </w:style>
  <w:style w:type="character" w:customStyle="1" w:styleId="BodyText2Char">
    <w:name w:val="Body Text 2 Char"/>
    <w:link w:val="BodyText2"/>
    <w:rsid w:val="00BA03C5"/>
    <w:rPr>
      <w:lang w:eastAsia="en-US"/>
    </w:rPr>
  </w:style>
  <w:style w:type="paragraph" w:styleId="BodyText3">
    <w:name w:val="Body Text 3"/>
    <w:basedOn w:val="Normal"/>
    <w:link w:val="BodyText3Char"/>
    <w:rsid w:val="00BA03C5"/>
    <w:pPr>
      <w:spacing w:after="120"/>
    </w:pPr>
    <w:rPr>
      <w:sz w:val="16"/>
      <w:szCs w:val="16"/>
    </w:rPr>
  </w:style>
  <w:style w:type="character" w:customStyle="1" w:styleId="BodyText3Char">
    <w:name w:val="Body Text 3 Char"/>
    <w:link w:val="BodyText3"/>
    <w:rsid w:val="00BA03C5"/>
    <w:rPr>
      <w:sz w:val="16"/>
      <w:szCs w:val="16"/>
      <w:lang w:eastAsia="en-US"/>
    </w:rPr>
  </w:style>
  <w:style w:type="paragraph" w:styleId="BodyTextFirstIndent">
    <w:name w:val="Body Text First Indent"/>
    <w:basedOn w:val="BodyText"/>
    <w:link w:val="BodyTextFirstIndentChar"/>
    <w:rsid w:val="00BA03C5"/>
    <w:pPr>
      <w:spacing w:after="120"/>
      <w:ind w:firstLine="210"/>
    </w:pPr>
  </w:style>
  <w:style w:type="character" w:customStyle="1" w:styleId="BodyTextFirstIndentChar">
    <w:name w:val="Body Text First Indent Char"/>
    <w:basedOn w:val="BodyTextChar"/>
    <w:link w:val="BodyTextFirstIndent"/>
    <w:rsid w:val="00BA03C5"/>
    <w:rPr>
      <w:lang w:eastAsia="en-US"/>
    </w:rPr>
  </w:style>
  <w:style w:type="paragraph" w:styleId="BodyTextFirstIndent2">
    <w:name w:val="Body Text First Indent 2"/>
    <w:basedOn w:val="BodyTextIndent"/>
    <w:link w:val="BodyTextFirstIndent2Char"/>
    <w:rsid w:val="00BA03C5"/>
    <w:pPr>
      <w:widowControl/>
      <w:suppressAutoHyphens/>
      <w:spacing w:after="120" w:line="240" w:lineRule="atLeast"/>
      <w:ind w:left="283" w:firstLine="210"/>
    </w:pPr>
    <w:rPr>
      <w:rFonts w:ascii="Times New Roman" w:hAnsi="Times New Roman"/>
      <w:snapToGrid/>
      <w:sz w:val="20"/>
    </w:rPr>
  </w:style>
  <w:style w:type="character" w:customStyle="1" w:styleId="BodyTextIndentChar1">
    <w:name w:val="Body Text Indent Char1"/>
    <w:link w:val="BodyTextIndent"/>
    <w:rsid w:val="00BA03C5"/>
    <w:rPr>
      <w:rFonts w:ascii="CG Times" w:hAnsi="CG Times"/>
      <w:snapToGrid w:val="0"/>
      <w:sz w:val="24"/>
      <w:lang w:eastAsia="en-US"/>
    </w:rPr>
  </w:style>
  <w:style w:type="character" w:customStyle="1" w:styleId="BodyTextFirstIndent2Char">
    <w:name w:val="Body Text First Indent 2 Char"/>
    <w:link w:val="BodyTextFirstIndent2"/>
    <w:rsid w:val="00BA03C5"/>
    <w:rPr>
      <w:rFonts w:ascii="CG Times" w:hAnsi="CG Times"/>
      <w:snapToGrid/>
      <w:sz w:val="24"/>
      <w:lang w:eastAsia="en-US"/>
    </w:rPr>
  </w:style>
  <w:style w:type="paragraph" w:styleId="BodyTextIndent2">
    <w:name w:val="Body Text Indent 2"/>
    <w:basedOn w:val="Normal"/>
    <w:link w:val="BodyTextIndent2Char"/>
    <w:rsid w:val="00BA03C5"/>
    <w:pPr>
      <w:spacing w:after="120" w:line="480" w:lineRule="auto"/>
      <w:ind w:left="283"/>
    </w:pPr>
  </w:style>
  <w:style w:type="character" w:customStyle="1" w:styleId="BodyTextIndent2Char">
    <w:name w:val="Body Text Indent 2 Char"/>
    <w:link w:val="BodyTextIndent2"/>
    <w:rsid w:val="00BA03C5"/>
    <w:rPr>
      <w:lang w:eastAsia="en-US"/>
    </w:rPr>
  </w:style>
  <w:style w:type="paragraph" w:styleId="BodyTextIndent3">
    <w:name w:val="Body Text Indent 3"/>
    <w:basedOn w:val="Normal"/>
    <w:link w:val="BodyTextIndent3Char"/>
    <w:rsid w:val="00BA03C5"/>
    <w:pPr>
      <w:spacing w:after="120"/>
      <w:ind w:left="283"/>
    </w:pPr>
    <w:rPr>
      <w:sz w:val="16"/>
      <w:szCs w:val="16"/>
    </w:rPr>
  </w:style>
  <w:style w:type="character" w:customStyle="1" w:styleId="BodyTextIndent3Char">
    <w:name w:val="Body Text Indent 3 Char"/>
    <w:link w:val="BodyTextIndent3"/>
    <w:rsid w:val="00BA03C5"/>
    <w:rPr>
      <w:sz w:val="16"/>
      <w:szCs w:val="16"/>
      <w:lang w:eastAsia="en-US"/>
    </w:rPr>
  </w:style>
  <w:style w:type="paragraph" w:styleId="Closing">
    <w:name w:val="Closing"/>
    <w:basedOn w:val="Normal"/>
    <w:link w:val="ClosingChar"/>
    <w:rsid w:val="00BA03C5"/>
    <w:pPr>
      <w:ind w:left="4252"/>
    </w:pPr>
  </w:style>
  <w:style w:type="character" w:customStyle="1" w:styleId="ClosingChar">
    <w:name w:val="Closing Char"/>
    <w:link w:val="Closing"/>
    <w:rsid w:val="00BA03C5"/>
    <w:rPr>
      <w:lang w:eastAsia="en-US"/>
    </w:rPr>
  </w:style>
  <w:style w:type="paragraph" w:styleId="Date">
    <w:name w:val="Date"/>
    <w:basedOn w:val="Normal"/>
    <w:next w:val="Normal"/>
    <w:link w:val="DateChar"/>
    <w:rsid w:val="00BA03C5"/>
  </w:style>
  <w:style w:type="character" w:customStyle="1" w:styleId="DateChar">
    <w:name w:val="Date Char"/>
    <w:link w:val="Date"/>
    <w:rsid w:val="00BA03C5"/>
    <w:rPr>
      <w:lang w:eastAsia="en-US"/>
    </w:rPr>
  </w:style>
  <w:style w:type="paragraph" w:styleId="E-mailSignature">
    <w:name w:val="E-mail Signature"/>
    <w:basedOn w:val="Normal"/>
    <w:link w:val="E-mailSignatureChar"/>
    <w:rsid w:val="00BA03C5"/>
  </w:style>
  <w:style w:type="character" w:customStyle="1" w:styleId="E-mailSignatureChar">
    <w:name w:val="E-mail Signature Char"/>
    <w:link w:val="E-mailSignature"/>
    <w:rsid w:val="00BA03C5"/>
    <w:rPr>
      <w:lang w:eastAsia="en-US"/>
    </w:rPr>
  </w:style>
  <w:style w:type="character" w:styleId="Emphasis">
    <w:name w:val="Emphasis"/>
    <w:qFormat/>
    <w:rsid w:val="00BA03C5"/>
    <w:rPr>
      <w:i/>
      <w:iCs/>
    </w:rPr>
  </w:style>
  <w:style w:type="paragraph" w:styleId="EnvelopeReturn">
    <w:name w:val="envelope return"/>
    <w:basedOn w:val="Normal"/>
    <w:rsid w:val="00BA03C5"/>
    <w:rPr>
      <w:rFonts w:ascii="Arial" w:hAnsi="Arial" w:cs="Arial"/>
    </w:rPr>
  </w:style>
  <w:style w:type="character" w:styleId="FollowedHyperlink">
    <w:name w:val="FollowedHyperlink"/>
    <w:rsid w:val="00BA03C5"/>
    <w:rPr>
      <w:color w:val="800080"/>
      <w:u w:val="single"/>
    </w:rPr>
  </w:style>
  <w:style w:type="character" w:styleId="HTMLAcronym">
    <w:name w:val="HTML Acronym"/>
    <w:rsid w:val="00BA03C5"/>
  </w:style>
  <w:style w:type="paragraph" w:styleId="HTMLAddress">
    <w:name w:val="HTML Address"/>
    <w:basedOn w:val="Normal"/>
    <w:link w:val="HTMLAddressChar"/>
    <w:rsid w:val="00BA03C5"/>
    <w:rPr>
      <w:i/>
      <w:iCs/>
    </w:rPr>
  </w:style>
  <w:style w:type="character" w:customStyle="1" w:styleId="HTMLAddressChar">
    <w:name w:val="HTML Address Char"/>
    <w:link w:val="HTMLAddress"/>
    <w:rsid w:val="00BA03C5"/>
    <w:rPr>
      <w:i/>
      <w:iCs/>
      <w:lang w:eastAsia="en-US"/>
    </w:rPr>
  </w:style>
  <w:style w:type="character" w:styleId="HTMLCite">
    <w:name w:val="HTML Cite"/>
    <w:rsid w:val="00BA03C5"/>
    <w:rPr>
      <w:i/>
      <w:iCs/>
    </w:rPr>
  </w:style>
  <w:style w:type="character" w:styleId="HTMLCode">
    <w:name w:val="HTML Code"/>
    <w:rsid w:val="00BA03C5"/>
    <w:rPr>
      <w:rFonts w:ascii="Courier New" w:hAnsi="Courier New" w:cs="Courier New"/>
      <w:sz w:val="20"/>
      <w:szCs w:val="20"/>
    </w:rPr>
  </w:style>
  <w:style w:type="character" w:styleId="HTMLDefinition">
    <w:name w:val="HTML Definition"/>
    <w:rsid w:val="00BA03C5"/>
    <w:rPr>
      <w:i/>
      <w:iCs/>
    </w:rPr>
  </w:style>
  <w:style w:type="character" w:styleId="HTMLKeyboard">
    <w:name w:val="HTML Keyboard"/>
    <w:rsid w:val="00BA03C5"/>
    <w:rPr>
      <w:rFonts w:ascii="Courier New" w:hAnsi="Courier New" w:cs="Courier New"/>
      <w:sz w:val="20"/>
      <w:szCs w:val="20"/>
    </w:rPr>
  </w:style>
  <w:style w:type="paragraph" w:styleId="HTMLPreformatted">
    <w:name w:val="HTML Preformatted"/>
    <w:basedOn w:val="Normal"/>
    <w:link w:val="HTMLPreformattedChar"/>
    <w:rsid w:val="00BA03C5"/>
    <w:rPr>
      <w:rFonts w:ascii="Courier New" w:hAnsi="Courier New" w:cs="Courier New"/>
    </w:rPr>
  </w:style>
  <w:style w:type="character" w:customStyle="1" w:styleId="HTMLPreformattedChar">
    <w:name w:val="HTML Preformatted Char"/>
    <w:link w:val="HTMLPreformatted"/>
    <w:rsid w:val="00BA03C5"/>
    <w:rPr>
      <w:rFonts w:ascii="Courier New" w:hAnsi="Courier New" w:cs="Courier New"/>
      <w:lang w:eastAsia="en-US"/>
    </w:rPr>
  </w:style>
  <w:style w:type="character" w:styleId="HTMLSample">
    <w:name w:val="HTML Sample"/>
    <w:rsid w:val="00BA03C5"/>
    <w:rPr>
      <w:rFonts w:ascii="Courier New" w:hAnsi="Courier New" w:cs="Courier New"/>
    </w:rPr>
  </w:style>
  <w:style w:type="character" w:styleId="HTMLTypewriter">
    <w:name w:val="HTML Typewriter"/>
    <w:rsid w:val="00BA03C5"/>
    <w:rPr>
      <w:rFonts w:ascii="Courier New" w:hAnsi="Courier New" w:cs="Courier New"/>
      <w:sz w:val="20"/>
      <w:szCs w:val="20"/>
    </w:rPr>
  </w:style>
  <w:style w:type="character" w:styleId="HTMLVariable">
    <w:name w:val="HTML Variable"/>
    <w:rsid w:val="00BA03C5"/>
    <w:rPr>
      <w:i/>
      <w:iCs/>
    </w:rPr>
  </w:style>
  <w:style w:type="paragraph" w:styleId="List">
    <w:name w:val="List"/>
    <w:basedOn w:val="Normal"/>
    <w:rsid w:val="00BA03C5"/>
    <w:pPr>
      <w:ind w:left="283" w:hanging="283"/>
    </w:pPr>
  </w:style>
  <w:style w:type="paragraph" w:styleId="List2">
    <w:name w:val="List 2"/>
    <w:basedOn w:val="Normal"/>
    <w:rsid w:val="00BA03C5"/>
    <w:pPr>
      <w:ind w:left="566" w:hanging="283"/>
    </w:pPr>
  </w:style>
  <w:style w:type="paragraph" w:styleId="List3">
    <w:name w:val="List 3"/>
    <w:basedOn w:val="Normal"/>
    <w:rsid w:val="00BA03C5"/>
    <w:pPr>
      <w:ind w:left="849" w:hanging="283"/>
    </w:pPr>
  </w:style>
  <w:style w:type="paragraph" w:styleId="List4">
    <w:name w:val="List 4"/>
    <w:basedOn w:val="Normal"/>
    <w:rsid w:val="00BA03C5"/>
    <w:pPr>
      <w:ind w:left="1132" w:hanging="283"/>
    </w:pPr>
  </w:style>
  <w:style w:type="paragraph" w:styleId="List5">
    <w:name w:val="List 5"/>
    <w:basedOn w:val="Normal"/>
    <w:rsid w:val="00BA03C5"/>
    <w:pPr>
      <w:ind w:left="1415" w:hanging="283"/>
    </w:pPr>
  </w:style>
  <w:style w:type="paragraph" w:styleId="ListBullet">
    <w:name w:val="List Bullet"/>
    <w:basedOn w:val="Normal"/>
    <w:rsid w:val="00BA03C5"/>
    <w:pPr>
      <w:tabs>
        <w:tab w:val="num" w:pos="360"/>
      </w:tabs>
      <w:ind w:left="360" w:hanging="360"/>
    </w:pPr>
  </w:style>
  <w:style w:type="paragraph" w:styleId="ListBullet2">
    <w:name w:val="List Bullet 2"/>
    <w:basedOn w:val="Normal"/>
    <w:rsid w:val="00BA03C5"/>
    <w:pPr>
      <w:tabs>
        <w:tab w:val="num" w:pos="643"/>
      </w:tabs>
      <w:ind w:left="643" w:hanging="360"/>
    </w:pPr>
  </w:style>
  <w:style w:type="paragraph" w:styleId="ListBullet3">
    <w:name w:val="List Bullet 3"/>
    <w:basedOn w:val="Normal"/>
    <w:rsid w:val="00BA03C5"/>
    <w:pPr>
      <w:tabs>
        <w:tab w:val="num" w:pos="926"/>
      </w:tabs>
      <w:ind w:left="926" w:hanging="360"/>
    </w:pPr>
  </w:style>
  <w:style w:type="paragraph" w:styleId="ListBullet4">
    <w:name w:val="List Bullet 4"/>
    <w:basedOn w:val="Normal"/>
    <w:rsid w:val="00BA03C5"/>
    <w:pPr>
      <w:tabs>
        <w:tab w:val="num" w:pos="1209"/>
      </w:tabs>
      <w:ind w:left="1209" w:hanging="360"/>
    </w:pPr>
  </w:style>
  <w:style w:type="paragraph" w:styleId="ListBullet5">
    <w:name w:val="List Bullet 5"/>
    <w:basedOn w:val="Normal"/>
    <w:rsid w:val="00BA03C5"/>
    <w:pPr>
      <w:tabs>
        <w:tab w:val="num" w:pos="1492"/>
      </w:tabs>
      <w:ind w:left="1492" w:hanging="360"/>
    </w:pPr>
  </w:style>
  <w:style w:type="paragraph" w:styleId="ListContinue">
    <w:name w:val="List Continue"/>
    <w:basedOn w:val="Normal"/>
    <w:rsid w:val="00BA03C5"/>
    <w:pPr>
      <w:spacing w:after="120"/>
      <w:ind w:left="283"/>
    </w:pPr>
  </w:style>
  <w:style w:type="paragraph" w:styleId="ListContinue2">
    <w:name w:val="List Continue 2"/>
    <w:basedOn w:val="Normal"/>
    <w:rsid w:val="00BA03C5"/>
    <w:pPr>
      <w:spacing w:after="120"/>
      <w:ind w:left="566"/>
    </w:pPr>
  </w:style>
  <w:style w:type="paragraph" w:styleId="ListContinue3">
    <w:name w:val="List Continue 3"/>
    <w:basedOn w:val="Normal"/>
    <w:rsid w:val="00BA03C5"/>
    <w:pPr>
      <w:spacing w:after="120"/>
      <w:ind w:left="849"/>
    </w:pPr>
  </w:style>
  <w:style w:type="paragraph" w:styleId="ListContinue4">
    <w:name w:val="List Continue 4"/>
    <w:basedOn w:val="Normal"/>
    <w:rsid w:val="00BA03C5"/>
    <w:pPr>
      <w:spacing w:after="120"/>
      <w:ind w:left="1132"/>
    </w:pPr>
  </w:style>
  <w:style w:type="paragraph" w:styleId="ListContinue5">
    <w:name w:val="List Continue 5"/>
    <w:basedOn w:val="Normal"/>
    <w:rsid w:val="00BA03C5"/>
    <w:pPr>
      <w:spacing w:after="120"/>
      <w:ind w:left="1415"/>
    </w:pPr>
  </w:style>
  <w:style w:type="paragraph" w:styleId="ListNumber">
    <w:name w:val="List Number"/>
    <w:basedOn w:val="Normal"/>
    <w:rsid w:val="00BA03C5"/>
    <w:pPr>
      <w:tabs>
        <w:tab w:val="num" w:pos="360"/>
      </w:tabs>
      <w:ind w:left="360" w:hanging="360"/>
    </w:pPr>
  </w:style>
  <w:style w:type="paragraph" w:styleId="ListNumber2">
    <w:name w:val="List Number 2"/>
    <w:basedOn w:val="Normal"/>
    <w:rsid w:val="00BA03C5"/>
    <w:pPr>
      <w:tabs>
        <w:tab w:val="num" w:pos="643"/>
      </w:tabs>
      <w:ind w:left="643" w:hanging="360"/>
    </w:pPr>
  </w:style>
  <w:style w:type="paragraph" w:styleId="ListNumber3">
    <w:name w:val="List Number 3"/>
    <w:basedOn w:val="Normal"/>
    <w:rsid w:val="00BA03C5"/>
    <w:pPr>
      <w:tabs>
        <w:tab w:val="num" w:pos="926"/>
      </w:tabs>
      <w:ind w:left="926" w:hanging="360"/>
    </w:pPr>
  </w:style>
  <w:style w:type="paragraph" w:styleId="ListNumber4">
    <w:name w:val="List Number 4"/>
    <w:basedOn w:val="Normal"/>
    <w:rsid w:val="00BA03C5"/>
    <w:pPr>
      <w:tabs>
        <w:tab w:val="num" w:pos="1209"/>
      </w:tabs>
      <w:ind w:left="1209" w:hanging="360"/>
    </w:pPr>
  </w:style>
  <w:style w:type="paragraph" w:styleId="ListNumber5">
    <w:name w:val="List Number 5"/>
    <w:basedOn w:val="Normal"/>
    <w:rsid w:val="00BA03C5"/>
    <w:pPr>
      <w:tabs>
        <w:tab w:val="num" w:pos="1492"/>
      </w:tabs>
      <w:ind w:left="1492" w:hanging="360"/>
    </w:pPr>
  </w:style>
  <w:style w:type="paragraph" w:styleId="MessageHeader">
    <w:name w:val="Message Header"/>
    <w:basedOn w:val="Normal"/>
    <w:link w:val="MessageHeaderChar"/>
    <w:rsid w:val="00BA03C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rsid w:val="00BA03C5"/>
    <w:rPr>
      <w:rFonts w:ascii="Arial" w:hAnsi="Arial" w:cs="Arial"/>
      <w:sz w:val="24"/>
      <w:szCs w:val="24"/>
      <w:shd w:val="pct20" w:color="auto" w:fill="auto"/>
      <w:lang w:eastAsia="en-US"/>
    </w:rPr>
  </w:style>
  <w:style w:type="paragraph" w:styleId="NormalWeb">
    <w:name w:val="Normal (Web)"/>
    <w:basedOn w:val="Normal"/>
    <w:rsid w:val="00BA03C5"/>
    <w:rPr>
      <w:sz w:val="24"/>
      <w:szCs w:val="24"/>
    </w:rPr>
  </w:style>
  <w:style w:type="paragraph" w:styleId="NormalIndent">
    <w:name w:val="Normal Indent"/>
    <w:basedOn w:val="Normal"/>
    <w:rsid w:val="00BA03C5"/>
    <w:pPr>
      <w:ind w:left="567"/>
    </w:pPr>
  </w:style>
  <w:style w:type="paragraph" w:styleId="NoteHeading">
    <w:name w:val="Note Heading"/>
    <w:basedOn w:val="Normal"/>
    <w:next w:val="Normal"/>
    <w:link w:val="NoteHeadingChar"/>
    <w:rsid w:val="00BA03C5"/>
  </w:style>
  <w:style w:type="character" w:customStyle="1" w:styleId="NoteHeadingChar">
    <w:name w:val="Note Heading Char"/>
    <w:link w:val="NoteHeading"/>
    <w:rsid w:val="00BA03C5"/>
    <w:rPr>
      <w:lang w:eastAsia="en-US"/>
    </w:rPr>
  </w:style>
  <w:style w:type="paragraph" w:styleId="Salutation">
    <w:name w:val="Salutation"/>
    <w:basedOn w:val="Normal"/>
    <w:next w:val="Normal"/>
    <w:link w:val="SalutationChar"/>
    <w:rsid w:val="00BA03C5"/>
  </w:style>
  <w:style w:type="character" w:customStyle="1" w:styleId="SalutationChar">
    <w:name w:val="Salutation Char"/>
    <w:link w:val="Salutation"/>
    <w:rsid w:val="00BA03C5"/>
    <w:rPr>
      <w:lang w:eastAsia="en-US"/>
    </w:rPr>
  </w:style>
  <w:style w:type="paragraph" w:styleId="Signature">
    <w:name w:val="Signature"/>
    <w:basedOn w:val="Normal"/>
    <w:link w:val="SignatureChar"/>
    <w:rsid w:val="00BA03C5"/>
    <w:pPr>
      <w:ind w:left="4252"/>
    </w:pPr>
  </w:style>
  <w:style w:type="character" w:customStyle="1" w:styleId="SignatureChar">
    <w:name w:val="Signature Char"/>
    <w:link w:val="Signature"/>
    <w:rsid w:val="00BA03C5"/>
    <w:rPr>
      <w:lang w:eastAsia="en-US"/>
    </w:rPr>
  </w:style>
  <w:style w:type="character" w:styleId="Strong">
    <w:name w:val="Strong"/>
    <w:qFormat/>
    <w:rsid w:val="00BA03C5"/>
    <w:rPr>
      <w:b/>
      <w:bCs/>
    </w:rPr>
  </w:style>
  <w:style w:type="paragraph" w:styleId="Subtitle">
    <w:name w:val="Subtitle"/>
    <w:basedOn w:val="Normal"/>
    <w:link w:val="SubtitleChar"/>
    <w:qFormat/>
    <w:rsid w:val="00BA03C5"/>
    <w:pPr>
      <w:spacing w:after="60"/>
      <w:jc w:val="center"/>
      <w:outlineLvl w:val="1"/>
    </w:pPr>
    <w:rPr>
      <w:rFonts w:ascii="Arial" w:hAnsi="Arial" w:cs="Arial"/>
      <w:sz w:val="24"/>
      <w:szCs w:val="24"/>
    </w:rPr>
  </w:style>
  <w:style w:type="character" w:customStyle="1" w:styleId="SubtitleChar">
    <w:name w:val="Subtitle Char"/>
    <w:link w:val="Subtitle"/>
    <w:rsid w:val="00BA03C5"/>
    <w:rPr>
      <w:rFonts w:ascii="Arial" w:hAnsi="Arial" w:cs="Arial"/>
      <w:sz w:val="24"/>
      <w:szCs w:val="24"/>
      <w:lang w:eastAsia="en-US"/>
    </w:rPr>
  </w:style>
  <w:style w:type="table" w:styleId="Table3Deffects1">
    <w:name w:val="Table 3D effects 1"/>
    <w:basedOn w:val="TableNormal"/>
    <w:rsid w:val="00BA03C5"/>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A03C5"/>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A03C5"/>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A03C5"/>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A03C5"/>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A03C5"/>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A03C5"/>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A03C5"/>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A03C5"/>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A03C5"/>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A03C5"/>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A03C5"/>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A03C5"/>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A03C5"/>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A03C5"/>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A03C5"/>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A03C5"/>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A03C5"/>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A03C5"/>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A03C5"/>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A03C5"/>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A03C5"/>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A03C5"/>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A03C5"/>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A03C5"/>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A03C5"/>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A03C5"/>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A03C5"/>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A03C5"/>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A03C5"/>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A03C5"/>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A03C5"/>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A03C5"/>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A03C5"/>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A03C5"/>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A03C5"/>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A03C5"/>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A03C5"/>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A03C5"/>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A03C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A03C5"/>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A03C5"/>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A03C5"/>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A03C5"/>
    <w:pPr>
      <w:spacing w:before="240" w:after="60"/>
      <w:jc w:val="center"/>
      <w:outlineLvl w:val="0"/>
    </w:pPr>
    <w:rPr>
      <w:rFonts w:ascii="Arial" w:hAnsi="Arial" w:cs="Arial"/>
      <w:b/>
      <w:bCs/>
      <w:kern w:val="28"/>
      <w:sz w:val="32"/>
      <w:szCs w:val="32"/>
    </w:rPr>
  </w:style>
  <w:style w:type="character" w:customStyle="1" w:styleId="TitleChar">
    <w:name w:val="Title Char"/>
    <w:link w:val="Title"/>
    <w:rsid w:val="00BA03C5"/>
    <w:rPr>
      <w:rFonts w:ascii="Arial" w:hAnsi="Arial" w:cs="Arial"/>
      <w:b/>
      <w:bCs/>
      <w:kern w:val="28"/>
      <w:sz w:val="32"/>
      <w:szCs w:val="32"/>
      <w:lang w:eastAsia="en-US"/>
    </w:rPr>
  </w:style>
  <w:style w:type="paragraph" w:styleId="EnvelopeAddress">
    <w:name w:val="envelope address"/>
    <w:basedOn w:val="Normal"/>
    <w:rsid w:val="00BA03C5"/>
    <w:pPr>
      <w:framePr w:w="7920" w:h="1980" w:hRule="exact" w:hSpace="180" w:wrap="auto" w:hAnchor="page" w:xAlign="center" w:yAlign="bottom"/>
      <w:ind w:left="2880"/>
    </w:pPr>
    <w:rPr>
      <w:rFonts w:ascii="Arial" w:hAnsi="Arial" w:cs="Arial"/>
      <w:sz w:val="24"/>
      <w:szCs w:val="24"/>
    </w:rPr>
  </w:style>
  <w:style w:type="character" w:customStyle="1" w:styleId="FooterChar">
    <w:name w:val="Footer Char"/>
    <w:aliases w:val="3_G Char"/>
    <w:link w:val="Footer"/>
    <w:uiPriority w:val="99"/>
    <w:rsid w:val="00BA03C5"/>
    <w:rPr>
      <w:sz w:val="16"/>
      <w:lang w:eastAsia="en-US"/>
    </w:rPr>
  </w:style>
  <w:style w:type="character" w:customStyle="1" w:styleId="HeaderChar">
    <w:name w:val="Header Char"/>
    <w:aliases w:val="6_G Char"/>
    <w:link w:val="Header"/>
    <w:rsid w:val="00BA03C5"/>
    <w:rPr>
      <w:b/>
      <w:sz w:val="18"/>
      <w:lang w:eastAsia="en-US"/>
    </w:rPr>
  </w:style>
  <w:style w:type="paragraph" w:styleId="BalloonText">
    <w:name w:val="Balloon Text"/>
    <w:basedOn w:val="Normal"/>
    <w:link w:val="BalloonTextChar"/>
    <w:rsid w:val="00787260"/>
    <w:pPr>
      <w:spacing w:line="240" w:lineRule="auto"/>
    </w:pPr>
    <w:rPr>
      <w:rFonts w:ascii="Tahoma" w:hAnsi="Tahoma" w:cs="Tahoma"/>
      <w:sz w:val="16"/>
      <w:szCs w:val="16"/>
    </w:rPr>
  </w:style>
  <w:style w:type="character" w:customStyle="1" w:styleId="BalloonTextChar">
    <w:name w:val="Balloon Text Char"/>
    <w:link w:val="BalloonText"/>
    <w:rsid w:val="00787260"/>
    <w:rPr>
      <w:rFonts w:ascii="Tahoma" w:hAnsi="Tahoma" w:cs="Tahoma"/>
      <w:sz w:val="16"/>
      <w:szCs w:val="16"/>
      <w:lang w:eastAsia="en-US"/>
    </w:rPr>
  </w:style>
  <w:style w:type="paragraph" w:customStyle="1" w:styleId="H1">
    <w:name w:val="_ H_1"/>
    <w:basedOn w:val="Normal"/>
    <w:next w:val="SingleTxt"/>
    <w:rsid w:val="001F3B2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SimSun"/>
      <w:b/>
      <w:spacing w:val="4"/>
      <w:w w:val="103"/>
      <w:kern w:val="14"/>
      <w:sz w:val="24"/>
      <w:lang w:eastAsia="zh-CN"/>
    </w:rPr>
  </w:style>
  <w:style w:type="paragraph" w:customStyle="1" w:styleId="HCh">
    <w:name w:val="_ H _Ch"/>
    <w:basedOn w:val="H1"/>
    <w:next w:val="SingleTxt"/>
    <w:rsid w:val="001F3B24"/>
    <w:pPr>
      <w:spacing w:line="300" w:lineRule="exact"/>
      <w:ind w:left="0" w:right="0" w:firstLine="0"/>
    </w:pPr>
    <w:rPr>
      <w:spacing w:val="-2"/>
      <w:sz w:val="28"/>
    </w:rPr>
  </w:style>
  <w:style w:type="paragraph" w:customStyle="1" w:styleId="SingleTxt">
    <w:name w:val="__Single Txt"/>
    <w:basedOn w:val="Normal"/>
    <w:rsid w:val="001F3B2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H23">
    <w:name w:val="_ H_2/3"/>
    <w:basedOn w:val="Normal"/>
    <w:next w:val="SingleTxt"/>
    <w:rsid w:val="006D242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rFonts w:eastAsia="SimSun"/>
      <w:b/>
      <w:spacing w:val="2"/>
      <w:w w:val="103"/>
      <w:kern w:val="14"/>
      <w:lang w:eastAsia="zh-CN"/>
    </w:rPr>
  </w:style>
  <w:style w:type="character" w:customStyle="1" w:styleId="H1GChar">
    <w:name w:val="_ H_1_G Char"/>
    <w:link w:val="H1G"/>
    <w:rsid w:val="000B3CC6"/>
    <w:rPr>
      <w:b/>
      <w:sz w:val="24"/>
      <w:lang w:eastAsia="en-US"/>
    </w:rPr>
  </w:style>
  <w:style w:type="paragraph" w:customStyle="1" w:styleId="Default">
    <w:name w:val="Default"/>
    <w:rsid w:val="000B3CC6"/>
    <w:pPr>
      <w:widowControl w:val="0"/>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A12FDD"/>
    <w:pPr>
      <w:suppressAutoHyphens w:val="0"/>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rthet\Templates\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2A09D-B73F-4937-87DC-620861CF6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62</TotalTime>
  <Pages>24</Pages>
  <Words>7674</Words>
  <Characters>43747</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12</cp:revision>
  <cp:lastPrinted>2016-12-23T12:40:00Z</cp:lastPrinted>
  <dcterms:created xsi:type="dcterms:W3CDTF">2016-12-23T11:37:00Z</dcterms:created>
  <dcterms:modified xsi:type="dcterms:W3CDTF">2016-12-27T09:42:00Z</dcterms:modified>
</cp:coreProperties>
</file>