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3F006C" w:rsidTr="00C14945">
        <w:trPr>
          <w:trHeight w:val="851"/>
        </w:trPr>
        <w:tc>
          <w:tcPr>
            <w:tcW w:w="1259" w:type="dxa"/>
            <w:tcBorders>
              <w:top w:val="nil"/>
              <w:left w:val="nil"/>
              <w:bottom w:val="single" w:sz="4" w:space="0" w:color="auto"/>
              <w:right w:val="nil"/>
            </w:tcBorders>
            <w:shd w:val="clear" w:color="auto" w:fill="auto"/>
          </w:tcPr>
          <w:p w:rsidR="00C14945" w:rsidRPr="003F006C"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3F006C" w:rsidRDefault="00C14945" w:rsidP="00C14945">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3F006C" w:rsidRDefault="00C14945" w:rsidP="00A309D3">
            <w:pPr>
              <w:suppressAutoHyphens w:val="0"/>
              <w:spacing w:after="20"/>
              <w:jc w:val="right"/>
            </w:pPr>
            <w:r w:rsidRPr="003F006C">
              <w:rPr>
                <w:sz w:val="40"/>
              </w:rPr>
              <w:t>ST</w:t>
            </w:r>
            <w:r w:rsidR="005717DA">
              <w:t>/SG/AC.10/C.3/2016</w:t>
            </w:r>
            <w:r w:rsidR="00F16F65">
              <w:t>/</w:t>
            </w:r>
            <w:r w:rsidR="00B926B1">
              <w:t>8</w:t>
            </w:r>
            <w:r w:rsidR="00A309D3">
              <w:t>1</w:t>
            </w:r>
          </w:p>
        </w:tc>
      </w:tr>
      <w:tr w:rsidR="00C14945" w:rsidRPr="003F006C"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3F006C" w:rsidRDefault="009153A0" w:rsidP="00C14945">
            <w:pPr>
              <w:spacing w:before="120"/>
              <w:jc w:val="center"/>
            </w:pPr>
            <w:r>
              <w:rPr>
                <w:noProof/>
                <w:lang w:eastAsia="en-GB"/>
              </w:rPr>
              <w:drawing>
                <wp:inline distT="0" distB="0" distL="0" distR="0" wp14:anchorId="7F5285FD" wp14:editId="1BEB2AA1">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3F006C" w:rsidRDefault="00C14945" w:rsidP="00C14945">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3F006C" w:rsidRDefault="00C14945" w:rsidP="00C14945">
            <w:pPr>
              <w:suppressAutoHyphens w:val="0"/>
              <w:spacing w:before="240" w:line="240" w:lineRule="exact"/>
            </w:pPr>
            <w:r w:rsidRPr="003F006C">
              <w:t>Distr.: General</w:t>
            </w:r>
          </w:p>
          <w:p w:rsidR="00C14945" w:rsidRPr="003F006C" w:rsidRDefault="00765461" w:rsidP="00C14945">
            <w:pPr>
              <w:suppressAutoHyphens w:val="0"/>
            </w:pPr>
            <w:r>
              <w:t>9</w:t>
            </w:r>
            <w:r w:rsidR="003F006C">
              <w:t xml:space="preserve"> </w:t>
            </w:r>
            <w:r w:rsidR="005B1865">
              <w:t>September</w:t>
            </w:r>
            <w:r w:rsidR="00E85933">
              <w:t xml:space="preserve"> </w:t>
            </w:r>
            <w:r w:rsidR="00AC6C48" w:rsidRPr="003F006C">
              <w:t>2016</w:t>
            </w:r>
          </w:p>
          <w:p w:rsidR="00C14945" w:rsidRPr="003F006C" w:rsidRDefault="00C14945" w:rsidP="00C14945">
            <w:pPr>
              <w:suppressAutoHyphens w:val="0"/>
            </w:pPr>
          </w:p>
          <w:p w:rsidR="00C14945" w:rsidRPr="003F006C" w:rsidRDefault="00C14945" w:rsidP="00C14945">
            <w:pPr>
              <w:suppressAutoHyphens w:val="0"/>
            </w:pPr>
            <w:r w:rsidRPr="003F006C">
              <w:t>Original: English</w:t>
            </w:r>
          </w:p>
        </w:tc>
      </w:tr>
    </w:tbl>
    <w:p w:rsidR="00C14945" w:rsidRPr="003F006C" w:rsidRDefault="00C14945" w:rsidP="00C14945">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rsidR="00C14945" w:rsidRPr="003F006C" w:rsidRDefault="00C14945" w:rsidP="00C14945">
      <w:pPr>
        <w:spacing w:before="120"/>
        <w:rPr>
          <w:b/>
          <w:lang w:val="en-US"/>
        </w:rPr>
      </w:pPr>
      <w:r w:rsidRPr="003F006C">
        <w:rPr>
          <w:b/>
          <w:lang w:val="en-US"/>
        </w:rPr>
        <w:t>Sub-Committee of Experts on the Transport of Dangerous Goods</w:t>
      </w:r>
    </w:p>
    <w:p w:rsidR="00876173" w:rsidRPr="003F006C" w:rsidRDefault="00E85933" w:rsidP="00876173">
      <w:pPr>
        <w:spacing w:before="120"/>
        <w:rPr>
          <w:b/>
        </w:rPr>
      </w:pPr>
      <w:r>
        <w:rPr>
          <w:b/>
        </w:rPr>
        <w:t>Fiftieth</w:t>
      </w:r>
      <w:r w:rsidR="00876173" w:rsidRPr="003F006C">
        <w:rPr>
          <w:b/>
        </w:rPr>
        <w:t xml:space="preserve"> session</w:t>
      </w:r>
    </w:p>
    <w:p w:rsidR="00876173" w:rsidRPr="003F006C" w:rsidRDefault="00876173" w:rsidP="00876173">
      <w:pPr>
        <w:rPr>
          <w:color w:val="333333"/>
          <w:lang w:eastAsia="it-IT"/>
        </w:rPr>
      </w:pPr>
      <w:r w:rsidRPr="003F006C">
        <w:t xml:space="preserve">Geneva, </w:t>
      </w:r>
      <w:r w:rsidR="00B926B1">
        <w:rPr>
          <w:color w:val="333333"/>
          <w:lang w:eastAsia="it-IT"/>
        </w:rPr>
        <w:t>28 November-</w:t>
      </w:r>
      <w:r w:rsidR="00E85933" w:rsidRPr="00E85933">
        <w:rPr>
          <w:color w:val="333333"/>
          <w:lang w:eastAsia="it-IT"/>
        </w:rPr>
        <w:t>6 December 2016</w:t>
      </w:r>
    </w:p>
    <w:p w:rsidR="00876173" w:rsidRPr="003F006C" w:rsidRDefault="00876173" w:rsidP="00876173">
      <w:r w:rsidRPr="003F006C">
        <w:t>Item</w:t>
      </w:r>
      <w:r w:rsidR="00F16F65">
        <w:t xml:space="preserve"> 2</w:t>
      </w:r>
      <w:r w:rsidR="00B926B1">
        <w:t xml:space="preserve"> </w:t>
      </w:r>
      <w:r w:rsidR="00F16F65">
        <w:t>(d)</w:t>
      </w:r>
      <w:r w:rsidRPr="003F006C">
        <w:t xml:space="preserve"> of the provisional agenda</w:t>
      </w:r>
    </w:p>
    <w:p w:rsidR="00EC1580" w:rsidRPr="00B926B1" w:rsidRDefault="00B926B1" w:rsidP="00EC1580">
      <w:pPr>
        <w:rPr>
          <w:b/>
        </w:rPr>
      </w:pPr>
      <w:r w:rsidRPr="00B926B1">
        <w:rPr>
          <w:b/>
        </w:rPr>
        <w:t xml:space="preserve">Recommendations made by the Sub-Committee </w:t>
      </w:r>
      <w:r w:rsidRPr="00B926B1">
        <w:rPr>
          <w:b/>
        </w:rPr>
        <w:br/>
        <w:t xml:space="preserve">on its forty-seventh, forty-eighth </w:t>
      </w:r>
      <w:r w:rsidRPr="00B926B1">
        <w:rPr>
          <w:b/>
        </w:rPr>
        <w:br/>
        <w:t xml:space="preserve">and forty-ninth sessions and pending issues: </w:t>
      </w:r>
      <w:r w:rsidRPr="00B926B1">
        <w:rPr>
          <w:b/>
        </w:rPr>
        <w:br/>
        <w:t>electric storage systems</w:t>
      </w:r>
    </w:p>
    <w:p w:rsidR="006A6089" w:rsidRPr="003F006C" w:rsidRDefault="006A6089" w:rsidP="006A6089">
      <w:pPr>
        <w:pStyle w:val="HChG"/>
      </w:pPr>
      <w:r w:rsidRPr="003F006C">
        <w:tab/>
      </w:r>
      <w:r w:rsidRPr="003F006C">
        <w:tab/>
      </w:r>
      <w:r w:rsidR="00765461">
        <w:t>Lithium b</w:t>
      </w:r>
      <w:r w:rsidR="004760E0">
        <w:t>attery T.2 Thermal test</w:t>
      </w:r>
      <w:r w:rsidR="00B23A53">
        <w:t xml:space="preserve"> </w:t>
      </w:r>
      <w:bookmarkStart w:id="0" w:name="_GoBack"/>
      <w:bookmarkEnd w:id="0"/>
    </w:p>
    <w:p w:rsidR="00A10817" w:rsidRPr="003F006C" w:rsidRDefault="006A6089" w:rsidP="00A10817">
      <w:pPr>
        <w:pStyle w:val="H1G"/>
      </w:pPr>
      <w:r w:rsidRPr="003F006C">
        <w:tab/>
      </w:r>
      <w:r w:rsidRPr="003F006C">
        <w:tab/>
      </w:r>
      <w:r w:rsidR="00765461">
        <w:t>Transmitted by t</w:t>
      </w:r>
      <w:r w:rsidR="00765461" w:rsidRPr="001F085F">
        <w:t>he European Association for Advanced Rechargeable Batteries</w:t>
      </w:r>
      <w:r w:rsidR="00765461">
        <w:t xml:space="preserve"> </w:t>
      </w:r>
      <w:r w:rsidR="00765461" w:rsidRPr="001F085F">
        <w:t>(RECHARGE)</w:t>
      </w:r>
      <w:r w:rsidR="00765461">
        <w:t xml:space="preserve"> and t</w:t>
      </w:r>
      <w:r w:rsidR="00765461" w:rsidRPr="001F085F">
        <w:t>he Rechargeable Battery Association (PRBA)</w:t>
      </w:r>
      <w:r w:rsidR="00527268">
        <w:rPr>
          <w:rStyle w:val="FootnoteReference"/>
        </w:rPr>
        <w:footnoteReference w:id="2"/>
      </w:r>
    </w:p>
    <w:p w:rsidR="006A6089" w:rsidRPr="003F006C" w:rsidRDefault="006A6089" w:rsidP="00C42061">
      <w:pPr>
        <w:pStyle w:val="HChG"/>
      </w:pPr>
      <w:r w:rsidRPr="003F006C">
        <w:tab/>
      </w:r>
      <w:r w:rsidRPr="003F006C">
        <w:tab/>
        <w:t>Introduction</w:t>
      </w:r>
    </w:p>
    <w:p w:rsidR="006861EF" w:rsidRDefault="005717DA" w:rsidP="006861EF">
      <w:pPr>
        <w:pStyle w:val="SingleTxtG"/>
        <w:rPr>
          <w:lang w:val="en-US"/>
        </w:rPr>
      </w:pPr>
      <w:r>
        <w:rPr>
          <w:lang w:val="en-US"/>
        </w:rPr>
        <w:t>1.</w:t>
      </w:r>
      <w:r>
        <w:rPr>
          <w:lang w:val="en-US"/>
        </w:rPr>
        <w:tab/>
      </w:r>
      <w:r w:rsidR="00C31D92" w:rsidRPr="00C31D92">
        <w:rPr>
          <w:lang w:val="en-US"/>
        </w:rPr>
        <w:t>At its forty-</w:t>
      </w:r>
      <w:r w:rsidR="00C31D92">
        <w:rPr>
          <w:lang w:val="en-US"/>
        </w:rPr>
        <w:t>ninth</w:t>
      </w:r>
      <w:r w:rsidR="00C31D92" w:rsidRPr="00C31D92">
        <w:rPr>
          <w:lang w:val="en-US"/>
        </w:rPr>
        <w:t xml:space="preserve"> session</w:t>
      </w:r>
      <w:r w:rsidR="00C31D92">
        <w:rPr>
          <w:lang w:val="en-US"/>
        </w:rPr>
        <w:t>,</w:t>
      </w:r>
      <w:r w:rsidR="00C31D92" w:rsidRPr="00C31D92">
        <w:rPr>
          <w:lang w:val="en-US"/>
        </w:rPr>
        <w:t xml:space="preserve"> the Sub-Committee </w:t>
      </w:r>
      <w:r w:rsidR="004E31B5">
        <w:rPr>
          <w:lang w:val="en-US"/>
        </w:rPr>
        <w:t>agreed to</w:t>
      </w:r>
      <w:r w:rsidR="00C31D92" w:rsidRPr="00C31D92">
        <w:rPr>
          <w:lang w:val="en-US"/>
        </w:rPr>
        <w:t xml:space="preserve"> </w:t>
      </w:r>
      <w:r w:rsidR="00B23A53">
        <w:rPr>
          <w:lang w:val="en-US"/>
        </w:rPr>
        <w:t>a number of changes to the lithium battery tests</w:t>
      </w:r>
      <w:r w:rsidR="0024413E">
        <w:rPr>
          <w:lang w:val="en-US"/>
        </w:rPr>
        <w:t xml:space="preserve"> in </w:t>
      </w:r>
      <w:r w:rsidR="00E665F9">
        <w:rPr>
          <w:lang w:val="en-US"/>
        </w:rPr>
        <w:t xml:space="preserve">Section 38.3 of </w:t>
      </w:r>
      <w:r w:rsidR="0024413E">
        <w:rPr>
          <w:lang w:val="en-US"/>
        </w:rPr>
        <w:t>the</w:t>
      </w:r>
      <w:r w:rsidR="00CB191C">
        <w:rPr>
          <w:lang w:val="en-US"/>
        </w:rPr>
        <w:t xml:space="preserve"> </w:t>
      </w:r>
      <w:r w:rsidR="0024413E">
        <w:rPr>
          <w:lang w:val="en-US"/>
        </w:rPr>
        <w:t>M</w:t>
      </w:r>
      <w:r w:rsidR="00B23A53">
        <w:rPr>
          <w:lang w:val="en-US"/>
        </w:rPr>
        <w:t>anual of Tests and Criteria, which were included in</w:t>
      </w:r>
      <w:r w:rsidR="00C31D92" w:rsidRPr="00C31D92">
        <w:rPr>
          <w:lang w:val="en-US"/>
        </w:rPr>
        <w:t xml:space="preserve"> document ST/SG/AC.10/C.3/2016/4</w:t>
      </w:r>
      <w:r w:rsidR="00B23A53">
        <w:rPr>
          <w:lang w:val="en-US"/>
        </w:rPr>
        <w:t>6</w:t>
      </w:r>
      <w:r w:rsidR="006861EF">
        <w:rPr>
          <w:lang w:val="en-US"/>
        </w:rPr>
        <w:t xml:space="preserve">. </w:t>
      </w:r>
      <w:r w:rsidR="00DC2893">
        <w:rPr>
          <w:lang w:val="en-US"/>
        </w:rPr>
        <w:t xml:space="preserve">One proposed change </w:t>
      </w:r>
      <w:r w:rsidR="002E122F">
        <w:rPr>
          <w:lang w:val="en-US"/>
        </w:rPr>
        <w:t xml:space="preserve">the Sub-Committee considered but did not adopt would </w:t>
      </w:r>
      <w:r w:rsidR="00E56315">
        <w:rPr>
          <w:lang w:val="en-US"/>
        </w:rPr>
        <w:t xml:space="preserve">have </w:t>
      </w:r>
      <w:r w:rsidR="00DC2893">
        <w:rPr>
          <w:lang w:val="en-US"/>
        </w:rPr>
        <w:t>reduce</w:t>
      </w:r>
      <w:r w:rsidR="00E56315">
        <w:rPr>
          <w:lang w:val="en-US"/>
        </w:rPr>
        <w:t>d</w:t>
      </w:r>
      <w:r w:rsidR="00DC2893">
        <w:rPr>
          <w:lang w:val="en-US"/>
        </w:rPr>
        <w:t xml:space="preserve"> the maximum temperature requirement </w:t>
      </w:r>
      <w:r w:rsidR="002E122F">
        <w:rPr>
          <w:lang w:val="en-US"/>
        </w:rPr>
        <w:t>in the lithium battery T.2 Thermal test in Section 38.3 of the Manual of Tests and Criteria</w:t>
      </w:r>
      <w:r w:rsidR="003704F2">
        <w:rPr>
          <w:lang w:val="en-US"/>
        </w:rPr>
        <w:t xml:space="preserve"> from </w:t>
      </w:r>
      <w:r w:rsidR="003704F2" w:rsidRPr="003704F2">
        <w:rPr>
          <w:lang w:val="en-US"/>
        </w:rPr>
        <w:t>72 ± 2 °C</w:t>
      </w:r>
      <w:r w:rsidR="00CC6249">
        <w:rPr>
          <w:lang w:val="en-US"/>
        </w:rPr>
        <w:t xml:space="preserve"> to </w:t>
      </w:r>
      <w:r w:rsidR="00CC6249">
        <w:t>65 ± 2 °C</w:t>
      </w:r>
      <w:r w:rsidR="004E31B5">
        <w:rPr>
          <w:lang w:val="en-US"/>
        </w:rPr>
        <w:t xml:space="preserve">.  The proposed change was intended to </w:t>
      </w:r>
      <w:r w:rsidR="002E122F">
        <w:rPr>
          <w:lang w:val="en-US"/>
        </w:rPr>
        <w:t xml:space="preserve">account for </w:t>
      </w:r>
      <w:r w:rsidR="004E31B5">
        <w:rPr>
          <w:lang w:val="en-US"/>
        </w:rPr>
        <w:t xml:space="preserve">cell and battery designs that have </w:t>
      </w:r>
      <w:r w:rsidR="002E122F">
        <w:rPr>
          <w:lang w:val="en-US"/>
        </w:rPr>
        <w:t>non-resettable safety device</w:t>
      </w:r>
      <w:r w:rsidR="004E31B5">
        <w:rPr>
          <w:lang w:val="en-US"/>
        </w:rPr>
        <w:t>s</w:t>
      </w:r>
      <w:r w:rsidR="002115B4">
        <w:rPr>
          <w:lang w:val="en-US"/>
        </w:rPr>
        <w:t xml:space="preserve"> typically found in lithium ion cells</w:t>
      </w:r>
      <w:r w:rsidR="002E122F">
        <w:rPr>
          <w:lang w:val="en-US"/>
        </w:rPr>
        <w:t xml:space="preserve">. </w:t>
      </w:r>
      <w:r w:rsidR="00CC6249">
        <w:rPr>
          <w:lang w:val="en-US"/>
        </w:rPr>
        <w:t xml:space="preserve"> </w:t>
      </w:r>
      <w:r w:rsidR="002E122F">
        <w:rPr>
          <w:lang w:val="en-US"/>
        </w:rPr>
        <w:t xml:space="preserve">This proposed change was presented in </w:t>
      </w:r>
      <w:r w:rsidR="00CB191C">
        <w:rPr>
          <w:lang w:val="en-US"/>
        </w:rPr>
        <w:t xml:space="preserve">informal document </w:t>
      </w:r>
      <w:r w:rsidR="002E122F" w:rsidRPr="002E122F">
        <w:rPr>
          <w:lang w:val="en-US"/>
        </w:rPr>
        <w:t>INF.56</w:t>
      </w:r>
      <w:r w:rsidR="00CB191C">
        <w:rPr>
          <w:lang w:val="en-US"/>
        </w:rPr>
        <w:t xml:space="preserve"> (forty-ninth session)</w:t>
      </w:r>
      <w:r w:rsidR="004E31B5">
        <w:rPr>
          <w:lang w:val="en-US"/>
        </w:rPr>
        <w:t>.</w:t>
      </w:r>
    </w:p>
    <w:p w:rsidR="00CB191C" w:rsidRDefault="00FD51FF" w:rsidP="002B3986">
      <w:pPr>
        <w:pStyle w:val="SingleTxtG"/>
      </w:pPr>
      <w:r>
        <w:rPr>
          <w:lang w:val="en-US"/>
        </w:rPr>
        <w:t>2.</w:t>
      </w:r>
      <w:r>
        <w:rPr>
          <w:lang w:val="en-US"/>
        </w:rPr>
        <w:tab/>
        <w:t xml:space="preserve">As explained in </w:t>
      </w:r>
      <w:r w:rsidR="00CB191C">
        <w:rPr>
          <w:lang w:val="en-US"/>
        </w:rPr>
        <w:t xml:space="preserve">informal document </w:t>
      </w:r>
      <w:r w:rsidR="00CB191C" w:rsidRPr="002E122F">
        <w:rPr>
          <w:lang w:val="en-US"/>
        </w:rPr>
        <w:t>INF.56</w:t>
      </w:r>
      <w:r w:rsidR="00CB191C">
        <w:rPr>
          <w:lang w:val="en-US"/>
        </w:rPr>
        <w:t xml:space="preserve"> (forty-ninth session)</w:t>
      </w:r>
      <w:r w:rsidRPr="001647B4">
        <w:t>, there are situations in which lithium ion cells or batteries have integrated resettable and/or non-resettable protective mechanisms that are designed to activate due to temperature o</w:t>
      </w:r>
      <w:r w:rsidR="00CB191C">
        <w:t xml:space="preserve">r mechanical </w:t>
      </w:r>
    </w:p>
    <w:p w:rsidR="00FD51FF" w:rsidRPr="001647B4" w:rsidRDefault="00CB191C" w:rsidP="00FD51FF">
      <w:pPr>
        <w:pStyle w:val="SingleTxtG"/>
      </w:pPr>
      <w:proofErr w:type="gramStart"/>
      <w:r>
        <w:lastRenderedPageBreak/>
        <w:t>conditions</w:t>
      </w:r>
      <w:proofErr w:type="gramEnd"/>
      <w:r>
        <w:t xml:space="preserve">. </w:t>
      </w:r>
      <w:r w:rsidR="00FD51FF" w:rsidRPr="001647B4">
        <w:t>When these devices activate, the battery or cell open voltage becomes close to zero volts, thus not meeting the voltage loss pass criteria</w:t>
      </w:r>
      <w:r w:rsidR="002115B4">
        <w:t xml:space="preserve"> in the Manual of Tests and Criteria</w:t>
      </w:r>
      <w:r>
        <w:t xml:space="preserve">. </w:t>
      </w:r>
      <w:r w:rsidR="00FD51FF" w:rsidRPr="001647B4">
        <w:t>This means the cell or battery designs technically fail the tests when in fact the tests prove the safety features in the cell or battery are working as designed.</w:t>
      </w:r>
      <w:r w:rsidR="00426B1B">
        <w:t xml:space="preserve">  </w:t>
      </w:r>
    </w:p>
    <w:p w:rsidR="0075744A" w:rsidRDefault="002115B4" w:rsidP="00FD51FF">
      <w:pPr>
        <w:pStyle w:val="SingleTxtG"/>
      </w:pPr>
      <w:r>
        <w:t>3</w:t>
      </w:r>
      <w:r w:rsidR="00FD51FF">
        <w:t>.</w:t>
      </w:r>
      <w:r w:rsidR="00FD51FF">
        <w:tab/>
      </w:r>
      <w:r w:rsidR="00FD51FF" w:rsidRPr="001647B4">
        <w:t xml:space="preserve">An example of such protective mechanism is the non-resettable current interrupting safety device in </w:t>
      </w:r>
      <w:r w:rsidR="0075744A">
        <w:t xml:space="preserve">lithium ion </w:t>
      </w:r>
      <w:r w:rsidR="00FD51FF" w:rsidRPr="001647B4">
        <w:t>cells, commonly known as CID.</w:t>
      </w:r>
      <w:r w:rsidR="00CB191C">
        <w:t xml:space="preserve"> </w:t>
      </w:r>
      <w:r w:rsidR="0075744A">
        <w:t xml:space="preserve">How this safety mechanism operates was explained in </w:t>
      </w:r>
      <w:r w:rsidR="00CB191C">
        <w:t xml:space="preserve">informal document </w:t>
      </w:r>
      <w:r w:rsidR="0075744A" w:rsidRPr="0075744A">
        <w:t>INF.56</w:t>
      </w:r>
      <w:r w:rsidR="00CB191C">
        <w:t xml:space="preserve"> (forty-ninth session)</w:t>
      </w:r>
      <w:r w:rsidR="0075744A">
        <w:t>.</w:t>
      </w:r>
    </w:p>
    <w:p w:rsidR="00426B1B" w:rsidRDefault="0075744A" w:rsidP="00846671">
      <w:pPr>
        <w:pStyle w:val="SingleTxtG"/>
      </w:pPr>
      <w:r>
        <w:t>4.</w:t>
      </w:r>
      <w:r>
        <w:tab/>
      </w:r>
      <w:r w:rsidR="00754ED5">
        <w:t>In the late 1980’s and early 1990’s, the original lithium battery tests in the Manual of Tests and Criteria were initially developed from military specifications because lithium metal batteries were widely used f</w:t>
      </w:r>
      <w:r w:rsidR="00BE278A">
        <w:t xml:space="preserve">or many military applications. </w:t>
      </w:r>
      <w:r w:rsidR="00754ED5">
        <w:t xml:space="preserve">As lithium metal battery technology evolved and became more widely </w:t>
      </w:r>
      <w:r w:rsidR="00C4074C">
        <w:t xml:space="preserve">available </w:t>
      </w:r>
      <w:r w:rsidR="00754ED5">
        <w:t xml:space="preserve">in consumer applications, the tests were </w:t>
      </w:r>
      <w:r w:rsidR="00426B1B">
        <w:t>amended</w:t>
      </w:r>
      <w:r w:rsidR="00754ED5">
        <w:t xml:space="preserve"> accordingly</w:t>
      </w:r>
      <w:r w:rsidR="00C4074C">
        <w:t xml:space="preserve"> to account for different form factors and chemistries</w:t>
      </w:r>
      <w:r w:rsidR="00BE278A">
        <w:t xml:space="preserve">. </w:t>
      </w:r>
      <w:r w:rsidR="00426B1B">
        <w:t xml:space="preserve">After </w:t>
      </w:r>
      <w:r w:rsidR="00754ED5">
        <w:t xml:space="preserve">lithium ion </w:t>
      </w:r>
      <w:r w:rsidR="00426B1B">
        <w:t xml:space="preserve">batteries entered the market in the </w:t>
      </w:r>
      <w:proofErr w:type="gramStart"/>
      <w:r w:rsidR="00426B1B">
        <w:t>mid-1990’s</w:t>
      </w:r>
      <w:proofErr w:type="gramEnd"/>
      <w:r w:rsidR="00426B1B">
        <w:t>, the lithium battery tests and Model Regulations were once again amended to account for this new rechargeable technology that did not contain lithium metal.</w:t>
      </w:r>
    </w:p>
    <w:p w:rsidR="00846671" w:rsidRDefault="00426B1B" w:rsidP="00846671">
      <w:pPr>
        <w:pStyle w:val="SingleTxtG"/>
      </w:pPr>
      <w:r>
        <w:t>5.</w:t>
      </w:r>
      <w:r>
        <w:tab/>
      </w:r>
      <w:r w:rsidR="0075744A">
        <w:t xml:space="preserve">The lithium battery tests in Section 38.3 of the Manual of Tests and Criteria are classification tests </w:t>
      </w:r>
      <w:r w:rsidR="00A258EF">
        <w:t xml:space="preserve">and many are </w:t>
      </w:r>
      <w:r w:rsidR="0075744A">
        <w:t>intended to simulate what typically will be enco</w:t>
      </w:r>
      <w:r w:rsidR="00BE278A">
        <w:t xml:space="preserve">untered during transportation. </w:t>
      </w:r>
      <w:r w:rsidR="00846671">
        <w:t>For example, the purpose of the T.1 Altitude test “simulates air transport under low-pressure conditions.” The purpose of the T.3 Vibration test “</w:t>
      </w:r>
      <w:r w:rsidR="00846671" w:rsidRPr="00846671">
        <w:t>simulates vibration during transport</w:t>
      </w:r>
      <w:r w:rsidR="00846671">
        <w:t xml:space="preserve">.”  </w:t>
      </w:r>
    </w:p>
    <w:p w:rsidR="00BB7547" w:rsidRDefault="00BB7547" w:rsidP="00C84B05">
      <w:pPr>
        <w:pStyle w:val="SingleTxtG"/>
      </w:pPr>
      <w:r>
        <w:t>6.</w:t>
      </w:r>
      <w:r>
        <w:tab/>
        <w:t>The T.2 Thermal test “assesses cell and battery seal integrity and internal electrical connections.” The test is conducted using rapid and extreme temperature changes ranging from 72 ± 2 °C to - 40 ± 2 °</w:t>
      </w:r>
      <w:r w:rsidRPr="00BB7547">
        <w:t>C</w:t>
      </w:r>
      <w:r w:rsidR="00CB191C">
        <w:t xml:space="preserve">. </w:t>
      </w:r>
      <w:r w:rsidR="00C84B05">
        <w:t xml:space="preserve">Cells and batteries must be stored for at least six hours at these test temperatures.  </w:t>
      </w:r>
    </w:p>
    <w:p w:rsidR="008F0D82" w:rsidRDefault="00DE40C6" w:rsidP="004760E0">
      <w:pPr>
        <w:pStyle w:val="SingleTxtG"/>
      </w:pPr>
      <w:r>
        <w:t>7.</w:t>
      </w:r>
      <w:r>
        <w:tab/>
      </w:r>
      <w:r w:rsidR="00C102B3">
        <w:t xml:space="preserve">Section 7.1.5.3.1.1 of the Model Regulations </w:t>
      </w:r>
      <w:r w:rsidR="00C947ED">
        <w:t xml:space="preserve">states </w:t>
      </w:r>
      <w:r w:rsidR="00C102B3">
        <w:t>in relation to temperature</w:t>
      </w:r>
      <w:r w:rsidR="00C947ED">
        <w:t xml:space="preserve"> </w:t>
      </w:r>
      <w:r w:rsidR="00C102B3">
        <w:t>control requirements</w:t>
      </w:r>
      <w:r w:rsidR="0052254D">
        <w:t>:</w:t>
      </w:r>
      <w:r w:rsidR="00C947ED">
        <w:t xml:space="preserve"> </w:t>
      </w:r>
      <w:r w:rsidR="00C102B3">
        <w:t>“It is assumed that during transport the temperature of the immediate surroundings of the</w:t>
      </w:r>
      <w:r w:rsidR="00C947ED">
        <w:t xml:space="preserve"> package does not exceed 55 ° </w:t>
      </w:r>
      <w:r w:rsidR="00C102B3">
        <w:t>C and attains this value for a relatively short time during each</w:t>
      </w:r>
      <w:r w:rsidR="00CB191C">
        <w:t xml:space="preserve"> period of 24 hours.” </w:t>
      </w:r>
      <w:r w:rsidR="008F0D82" w:rsidRPr="008F0D82">
        <w:t xml:space="preserve">These assumed maximum transport temperature conditions are reflected in many places throughout the Model Regulations, for example, in prescribing filling conditions for packagings (see, 4.1.1.4 (first sentence) and 4.1.1.10.  </w:t>
      </w:r>
    </w:p>
    <w:p w:rsidR="004760E0" w:rsidRDefault="004760E0" w:rsidP="004760E0">
      <w:pPr>
        <w:pStyle w:val="SingleTxtG"/>
      </w:pPr>
      <w:r>
        <w:t>The ICAO T</w:t>
      </w:r>
      <w:r w:rsidR="008F0D82">
        <w:t>echnical Instructions states: “</w:t>
      </w:r>
      <w:r>
        <w:t>For the information of users of these Instructions, the extremes of temperature which may be encountered in international transportation are in the order of –40</w:t>
      </w:r>
      <w:r w:rsidR="00E56315">
        <w:t xml:space="preserve"> </w:t>
      </w:r>
      <w:r>
        <w:t>°C and 55</w:t>
      </w:r>
      <w:r w:rsidR="00E56315">
        <w:t xml:space="preserve"> </w:t>
      </w:r>
      <w:r>
        <w:t>°C.”</w:t>
      </w:r>
    </w:p>
    <w:p w:rsidR="0052254D" w:rsidRDefault="008F0D82" w:rsidP="004760E0">
      <w:pPr>
        <w:pStyle w:val="SingleTxtG"/>
      </w:pPr>
      <w:r>
        <w:t>8.</w:t>
      </w:r>
      <w:r>
        <w:tab/>
      </w:r>
      <w:r w:rsidR="004760E0">
        <w:t>These temperature</w:t>
      </w:r>
      <w:r w:rsidR="0052254D">
        <w:t xml:space="preserve"> assumption</w:t>
      </w:r>
      <w:r w:rsidR="004760E0">
        <w:t>s</w:t>
      </w:r>
      <w:r w:rsidR="0052254D">
        <w:t xml:space="preserve"> </w:t>
      </w:r>
      <w:r w:rsidR="004760E0">
        <w:t>are</w:t>
      </w:r>
      <w:r w:rsidR="0052254D">
        <w:t xml:space="preserve"> supported by </w:t>
      </w:r>
      <w:r w:rsidR="00DE40C6">
        <w:t xml:space="preserve">numerous </w:t>
      </w:r>
      <w:r w:rsidR="00164B97">
        <w:t xml:space="preserve">formal and informal </w:t>
      </w:r>
      <w:r w:rsidR="00DE40C6">
        <w:t xml:space="preserve">studies and articles published over the last 10 years </w:t>
      </w:r>
      <w:r w:rsidR="00D85D0B">
        <w:t>that provide</w:t>
      </w:r>
      <w:r w:rsidR="00DE40C6">
        <w:t xml:space="preserve"> data on temperatures recorded in packages and containers </w:t>
      </w:r>
      <w:r w:rsidR="00F44916">
        <w:t>during air</w:t>
      </w:r>
      <w:r w:rsidR="00DE40C6">
        <w:t>, sea</w:t>
      </w:r>
      <w:r w:rsidR="00F44916">
        <w:t xml:space="preserve">, and land </w:t>
      </w:r>
      <w:r w:rsidR="00DE40C6">
        <w:t xml:space="preserve">transport.  </w:t>
      </w:r>
      <w:r w:rsidR="0052254D">
        <w:t>Some of the studies and articles are available online:</w:t>
      </w:r>
    </w:p>
    <w:p w:rsidR="0052254D" w:rsidRDefault="00E52BF3" w:rsidP="002B3986">
      <w:pPr>
        <w:pStyle w:val="Bullet1G"/>
      </w:pPr>
      <w:hyperlink r:id="rId10" w:history="1">
        <w:r w:rsidR="0052254D" w:rsidRPr="006D09B3">
          <w:rPr>
            <w:rStyle w:val="Hyperlink"/>
          </w:rPr>
          <w:t>https://www.ista.org/forms/2015_FAA%20AIR_SINGH_SAHA_SINGH.pdf</w:t>
        </w:r>
      </w:hyperlink>
      <w:r w:rsidR="0052254D">
        <w:t xml:space="preserve"> </w:t>
      </w:r>
    </w:p>
    <w:p w:rsidR="0052254D" w:rsidRDefault="00E52BF3" w:rsidP="002B3986">
      <w:pPr>
        <w:pStyle w:val="Bullet1G"/>
      </w:pPr>
      <w:hyperlink r:id="rId11" w:anchor="comments" w:history="1">
        <w:r w:rsidR="0052254D" w:rsidRPr="006D09B3">
          <w:rPr>
            <w:rStyle w:val="Hyperlink"/>
          </w:rPr>
          <w:t>https://interdry.wordpress.com/2012/01/27/ocean-container-temperature-and-humidity-study-2/#comments</w:t>
        </w:r>
      </w:hyperlink>
      <w:r w:rsidR="0052254D">
        <w:t xml:space="preserve"> </w:t>
      </w:r>
    </w:p>
    <w:p w:rsidR="00164B97" w:rsidRDefault="00E52BF3" w:rsidP="002B3986">
      <w:pPr>
        <w:pStyle w:val="Bullet1G"/>
      </w:pPr>
      <w:hyperlink r:id="rId12" w:history="1">
        <w:r w:rsidR="00164B97" w:rsidRPr="006D09B3">
          <w:rPr>
            <w:rStyle w:val="Hyperlink"/>
          </w:rPr>
          <w:t>http://wscc.scl.gatech.edu/resources/tempinseacontainers.pdf</w:t>
        </w:r>
      </w:hyperlink>
      <w:r w:rsidR="00164B97">
        <w:t xml:space="preserve"> </w:t>
      </w:r>
    </w:p>
    <w:p w:rsidR="002B3986" w:rsidRDefault="002B3986">
      <w:pPr>
        <w:suppressAutoHyphens w:val="0"/>
        <w:spacing w:line="240" w:lineRule="auto"/>
      </w:pPr>
      <w:r>
        <w:br w:type="page"/>
      </w:r>
    </w:p>
    <w:p w:rsidR="00C84B05" w:rsidRDefault="008F0D82" w:rsidP="00DE40C6">
      <w:pPr>
        <w:pStyle w:val="SingleTxtG"/>
      </w:pPr>
      <w:r>
        <w:lastRenderedPageBreak/>
        <w:t>9</w:t>
      </w:r>
      <w:r w:rsidR="003674C8">
        <w:t>.</w:t>
      </w:r>
      <w:r w:rsidR="003674C8">
        <w:tab/>
      </w:r>
      <w:r w:rsidR="00164B97">
        <w:t>In addition, d</w:t>
      </w:r>
      <w:r w:rsidR="00D85D0B">
        <w:t xml:space="preserve">uring the </w:t>
      </w:r>
      <w:r w:rsidR="00CB191C">
        <w:t>thirty-fourth</w:t>
      </w:r>
      <w:r w:rsidR="00D85D0B">
        <w:t xml:space="preserve"> session of the Sub-Committee i</w:t>
      </w:r>
      <w:r w:rsidR="00DE40C6">
        <w:t xml:space="preserve">n </w:t>
      </w:r>
      <w:r w:rsidR="00D85D0B">
        <w:t>December 2009,</w:t>
      </w:r>
      <w:r w:rsidR="00DE40C6">
        <w:t xml:space="preserve"> PRBA, RECHARGE and Battery Association of Japan </w:t>
      </w:r>
      <w:r w:rsidR="00713FD1">
        <w:t xml:space="preserve">presented </w:t>
      </w:r>
      <w:r w:rsidR="00DE40C6">
        <w:t xml:space="preserve">nickel metal hydride battery shipping data </w:t>
      </w:r>
      <w:r w:rsidR="00713FD1">
        <w:t xml:space="preserve">in </w:t>
      </w:r>
      <w:r w:rsidR="00CB191C">
        <w:t xml:space="preserve">informal document </w:t>
      </w:r>
      <w:r w:rsidR="00713FD1" w:rsidRPr="00713FD1">
        <w:t>INF.11</w:t>
      </w:r>
      <w:r w:rsidR="00D85D0B">
        <w:t xml:space="preserve"> </w:t>
      </w:r>
      <w:r w:rsidR="00CB191C">
        <w:t xml:space="preserve">(thirty-fourth session) </w:t>
      </w:r>
      <w:r w:rsidR="00D85D0B">
        <w:t>that showed</w:t>
      </w:r>
      <w:r w:rsidR="003920FB">
        <w:t xml:space="preserve"> the following</w:t>
      </w:r>
      <w:r w:rsidR="00D85D0B">
        <w:t xml:space="preserve"> temperatures</w:t>
      </w:r>
      <w:r w:rsidR="004760E0">
        <w:t>:</w:t>
      </w:r>
    </w:p>
    <w:p w:rsidR="003674C8" w:rsidRDefault="003674C8" w:rsidP="00BE278A">
      <w:pPr>
        <w:pStyle w:val="Bullet1G"/>
      </w:pPr>
      <w:r>
        <w:t>For sea transport, the temperatures within containers ON DECK reached a maximum temperature of approximately 47 ° C during the day and UNDER DECK reached a maximum temperature of 34 ° C.</w:t>
      </w:r>
    </w:p>
    <w:p w:rsidR="003674C8" w:rsidRDefault="003674C8" w:rsidP="00BE278A">
      <w:pPr>
        <w:pStyle w:val="Bullet1G"/>
      </w:pPr>
      <w:r>
        <w:t>For air transport, the top surface of packages reached a maximum temperature of approximately 48 ° C.</w:t>
      </w:r>
    </w:p>
    <w:p w:rsidR="003674C8" w:rsidRDefault="003674C8" w:rsidP="00BE278A">
      <w:pPr>
        <w:pStyle w:val="Bullet1G"/>
      </w:pPr>
      <w:r>
        <w:t xml:space="preserve">For land transport, </w:t>
      </w:r>
      <w:r w:rsidR="003920FB">
        <w:t>the cargo hold (pallet top) reached a maximum</w:t>
      </w:r>
      <w:r w:rsidR="00F44916">
        <w:t xml:space="preserve"> temperature</w:t>
      </w:r>
      <w:r w:rsidR="00BE278A">
        <w:t xml:space="preserve"> of 55 </w:t>
      </w:r>
      <w:r w:rsidR="003920FB">
        <w:t>°C.</w:t>
      </w:r>
    </w:p>
    <w:p w:rsidR="00846671" w:rsidRDefault="008F0D82" w:rsidP="00846671">
      <w:pPr>
        <w:pStyle w:val="SingleTxtG"/>
      </w:pPr>
      <w:r>
        <w:t>10</w:t>
      </w:r>
      <w:r w:rsidR="004760E0">
        <w:t>.</w:t>
      </w:r>
      <w:r w:rsidR="004760E0">
        <w:tab/>
      </w:r>
      <w:r w:rsidR="00D36F59">
        <w:t xml:space="preserve">As previously noted, the T.2 Thermal test “assesses cell and battery seal integrity and internal electrical connections.”  Because studies </w:t>
      </w:r>
      <w:r w:rsidR="00837982">
        <w:t xml:space="preserve">have </w:t>
      </w:r>
      <w:r w:rsidR="00D36F59">
        <w:t xml:space="preserve">shown that lithium cells and batteries will not typically encounter temperatures above 55 ° C in transport, requiring the cells and batteries be subject to 72 °C </w:t>
      </w:r>
      <w:r w:rsidR="00E56315">
        <w:t>does</w:t>
      </w:r>
      <w:r w:rsidR="00D36F59">
        <w:t xml:space="preserve"> not </w:t>
      </w:r>
      <w:r w:rsidR="00E56315">
        <w:t xml:space="preserve">seem </w:t>
      </w:r>
      <w:r w:rsidR="00D36F59">
        <w:t xml:space="preserve">warranted.  </w:t>
      </w:r>
      <w:r w:rsidR="00CC6249">
        <w:t xml:space="preserve">Lowering the temperature requirements in the T.2 Thermal test from 72 ± 2 °C to 65 ± 2 °C </w:t>
      </w:r>
      <w:r w:rsidR="00E56315">
        <w:t>as PRBA and RECHARGE proposed at the 49</w:t>
      </w:r>
      <w:r w:rsidR="00E56315" w:rsidRPr="00E56315">
        <w:rPr>
          <w:vertAlign w:val="superscript"/>
        </w:rPr>
        <w:t>th</w:t>
      </w:r>
      <w:r w:rsidR="00E56315">
        <w:t xml:space="preserve"> session </w:t>
      </w:r>
      <w:r w:rsidR="00CC6249">
        <w:t>will provide a large margin of error of 10 °C</w:t>
      </w:r>
      <w:r w:rsidR="008F5475">
        <w:t xml:space="preserve">, </w:t>
      </w:r>
      <w:r w:rsidR="008F5475" w:rsidRPr="008F5475">
        <w:t>cover realistic exposure temperatures in transport</w:t>
      </w:r>
      <w:r w:rsidR="008F5475">
        <w:t>ation</w:t>
      </w:r>
      <w:r w:rsidR="00FD6264">
        <w:t>,</w:t>
      </w:r>
      <w:r w:rsidR="00C714F5">
        <w:t xml:space="preserve"> </w:t>
      </w:r>
      <w:r w:rsidR="00E56315">
        <w:t xml:space="preserve">and </w:t>
      </w:r>
      <w:r w:rsidR="00C714F5">
        <w:t xml:space="preserve">no longer </w:t>
      </w:r>
      <w:r w:rsidR="00F60C77">
        <w:t>disadvantage</w:t>
      </w:r>
      <w:r w:rsidR="00C714F5">
        <w:t xml:space="preserve"> lithium ion cell</w:t>
      </w:r>
      <w:r w:rsidR="00E56315">
        <w:t xml:space="preserve"> manufacturers</w:t>
      </w:r>
      <w:r w:rsidR="00C714F5">
        <w:t xml:space="preserve"> who design cells </w:t>
      </w:r>
      <w:r w:rsidR="00E56315">
        <w:t xml:space="preserve">to </w:t>
      </w:r>
      <w:r w:rsidR="000678AB">
        <w:t>“fail</w:t>
      </w:r>
      <w:r w:rsidR="00C714F5">
        <w:t xml:space="preserve"> safely</w:t>
      </w:r>
      <w:r w:rsidR="000678AB">
        <w:t>”</w:t>
      </w:r>
      <w:r w:rsidR="00C714F5">
        <w:t xml:space="preserve"> when </w:t>
      </w:r>
      <w:r w:rsidR="00E56315">
        <w:t>a</w:t>
      </w:r>
      <w:r w:rsidR="00C714F5">
        <w:t xml:space="preserve"> CID is activated at </w:t>
      </w:r>
      <w:r w:rsidR="002D38EF">
        <w:t>temperatures</w:t>
      </w:r>
      <w:r w:rsidR="00E56315">
        <w:t xml:space="preserve"> above 65 °C.</w:t>
      </w:r>
    </w:p>
    <w:p w:rsidR="006861EF" w:rsidRDefault="00BE278A" w:rsidP="00BE278A">
      <w:pPr>
        <w:pStyle w:val="HChG"/>
        <w:rPr>
          <w:lang w:val="en-US"/>
        </w:rPr>
      </w:pPr>
      <w:r>
        <w:rPr>
          <w:lang w:val="en-US"/>
        </w:rPr>
        <w:tab/>
      </w:r>
      <w:r>
        <w:rPr>
          <w:lang w:val="en-US"/>
        </w:rPr>
        <w:tab/>
      </w:r>
      <w:r w:rsidR="00BB0AC5" w:rsidRPr="005B0D94">
        <w:rPr>
          <w:lang w:val="en-US"/>
        </w:rPr>
        <w:t>Proposal</w:t>
      </w:r>
    </w:p>
    <w:p w:rsidR="00C84B05" w:rsidRDefault="008F0D82" w:rsidP="00C84B05">
      <w:pPr>
        <w:pStyle w:val="SingleTxtG"/>
        <w:rPr>
          <w:lang w:val="en-US"/>
        </w:rPr>
      </w:pPr>
      <w:r>
        <w:rPr>
          <w:lang w:val="en-US"/>
        </w:rPr>
        <w:t>11</w:t>
      </w:r>
      <w:r w:rsidR="000678AB">
        <w:rPr>
          <w:lang w:val="en-US"/>
        </w:rPr>
        <w:t>.</w:t>
      </w:r>
      <w:r w:rsidR="00837982">
        <w:rPr>
          <w:lang w:val="en-US"/>
        </w:rPr>
        <w:tab/>
      </w:r>
      <w:r w:rsidR="005B1865">
        <w:rPr>
          <w:lang w:val="en-US"/>
        </w:rPr>
        <w:t>PRBA and RECHARGE propose</w:t>
      </w:r>
      <w:r w:rsidR="00C714F5">
        <w:rPr>
          <w:lang w:val="en-US"/>
        </w:rPr>
        <w:t xml:space="preserve"> the following change to the T.2 Thermal test </w:t>
      </w:r>
      <w:r w:rsidR="005B1865">
        <w:rPr>
          <w:lang w:val="en-US"/>
        </w:rPr>
        <w:t xml:space="preserve">procedure found in section </w:t>
      </w:r>
      <w:r w:rsidR="00C714F5" w:rsidRPr="00C714F5">
        <w:rPr>
          <w:lang w:val="en-US"/>
        </w:rPr>
        <w:t xml:space="preserve">38.3.4.2.2 </w:t>
      </w:r>
      <w:r w:rsidR="005B1865">
        <w:rPr>
          <w:lang w:val="en-US"/>
        </w:rPr>
        <w:t>of the Manual of Tests and Criteria:</w:t>
      </w:r>
    </w:p>
    <w:p w:rsidR="00837982" w:rsidRPr="00C84B05" w:rsidRDefault="005B1865" w:rsidP="00BE278A">
      <w:pPr>
        <w:pStyle w:val="SingleTxtG"/>
        <w:ind w:left="1701"/>
        <w:rPr>
          <w:lang w:val="en-US"/>
        </w:rPr>
      </w:pPr>
      <w:r>
        <w:rPr>
          <w:lang w:val="en-US"/>
        </w:rPr>
        <w:t>“</w:t>
      </w:r>
      <w:r w:rsidR="00C714F5" w:rsidRPr="00C714F5">
        <w:rPr>
          <w:lang w:val="en-US"/>
        </w:rPr>
        <w:t>Test cells and batteries are to be stored for at least six hours at a test temperature equal to</w:t>
      </w:r>
      <w:r w:rsidR="00C714F5">
        <w:rPr>
          <w:lang w:val="en-US"/>
        </w:rPr>
        <w:t xml:space="preserve"> </w:t>
      </w:r>
      <w:r w:rsidR="00C714F5" w:rsidRPr="005B1865">
        <w:rPr>
          <w:strike/>
          <w:lang w:val="en-US"/>
        </w:rPr>
        <w:t>7</w:t>
      </w:r>
      <w:r>
        <w:rPr>
          <w:strike/>
          <w:lang w:val="en-US"/>
        </w:rPr>
        <w:t>2</w:t>
      </w:r>
      <w:r w:rsidR="00C714F5" w:rsidRPr="00C714F5">
        <w:rPr>
          <w:lang w:val="en-US"/>
        </w:rPr>
        <w:t xml:space="preserve"> </w:t>
      </w:r>
      <w:r>
        <w:rPr>
          <w:u w:val="single"/>
          <w:lang w:val="en-US"/>
        </w:rPr>
        <w:t>65</w:t>
      </w:r>
      <w:r w:rsidRPr="005B1865">
        <w:rPr>
          <w:lang w:val="en-US"/>
        </w:rPr>
        <w:t xml:space="preserve"> </w:t>
      </w:r>
      <w:r w:rsidR="00C714F5" w:rsidRPr="00C714F5">
        <w:rPr>
          <w:lang w:val="en-US"/>
        </w:rPr>
        <w:t xml:space="preserve">± 2 °C, followed by storage for at least six hours at a test </w:t>
      </w:r>
      <w:r w:rsidR="00C714F5">
        <w:rPr>
          <w:lang w:val="en-US"/>
        </w:rPr>
        <w:t>temperature equal to - 40 ± 2 °C</w:t>
      </w:r>
      <w:r w:rsidR="00C714F5" w:rsidRPr="00C714F5">
        <w:rPr>
          <w:lang w:val="en-US"/>
        </w:rPr>
        <w:t>.</w:t>
      </w:r>
      <w:r w:rsidR="00977B3D">
        <w:rPr>
          <w:lang w:val="en-US"/>
        </w:rPr>
        <w:t>”</w:t>
      </w:r>
    </w:p>
    <w:p w:rsidR="00FD2489" w:rsidRPr="003F006C" w:rsidRDefault="00FD2489" w:rsidP="003C6322">
      <w:pPr>
        <w:suppressAutoHyphens w:val="0"/>
        <w:autoSpaceDE w:val="0"/>
        <w:autoSpaceDN w:val="0"/>
        <w:adjustRightInd w:val="0"/>
        <w:spacing w:line="240" w:lineRule="auto"/>
        <w:ind w:left="1134"/>
        <w:jc w:val="center"/>
        <w:rPr>
          <w:iCs/>
          <w:lang w:eastAsia="fr-CH"/>
        </w:rPr>
      </w:pPr>
      <w:r w:rsidRPr="003F006C">
        <w:rPr>
          <w:iCs/>
          <w:lang w:eastAsia="fr-CH"/>
        </w:rPr>
        <w:t>________________</w:t>
      </w:r>
    </w:p>
    <w:sectPr w:rsidR="00FD2489" w:rsidRPr="003F006C" w:rsidSect="00181506">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A5" w:rsidRDefault="00C20EA5"/>
  </w:endnote>
  <w:endnote w:type="continuationSeparator" w:id="0">
    <w:p w:rsidR="00C20EA5" w:rsidRDefault="00C20EA5"/>
  </w:endnote>
  <w:endnote w:type="continuationNotice" w:id="1">
    <w:p w:rsidR="00C20EA5" w:rsidRDefault="00C20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52BF3">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52BF3">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D3" w:rsidRDefault="00A30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A5" w:rsidRPr="000B175B" w:rsidRDefault="00C20EA5" w:rsidP="000B175B">
      <w:pPr>
        <w:tabs>
          <w:tab w:val="right" w:pos="2155"/>
        </w:tabs>
        <w:spacing w:after="80"/>
        <w:ind w:left="680"/>
        <w:rPr>
          <w:u w:val="single"/>
        </w:rPr>
      </w:pPr>
      <w:r>
        <w:rPr>
          <w:u w:val="single"/>
        </w:rPr>
        <w:tab/>
      </w:r>
    </w:p>
  </w:footnote>
  <w:footnote w:type="continuationSeparator" w:id="0">
    <w:p w:rsidR="00C20EA5" w:rsidRPr="00FC68B7" w:rsidRDefault="00C20EA5" w:rsidP="00FC68B7">
      <w:pPr>
        <w:tabs>
          <w:tab w:val="left" w:pos="2155"/>
        </w:tabs>
        <w:spacing w:after="80"/>
        <w:ind w:left="680"/>
        <w:rPr>
          <w:u w:val="single"/>
        </w:rPr>
      </w:pPr>
      <w:r>
        <w:rPr>
          <w:u w:val="single"/>
        </w:rPr>
        <w:tab/>
      </w:r>
    </w:p>
  </w:footnote>
  <w:footnote w:type="continuationNotice" w:id="1">
    <w:p w:rsidR="00C20EA5" w:rsidRDefault="00C20EA5"/>
  </w:footnote>
  <w:footnote w:id="2">
    <w:p w:rsidR="00527268" w:rsidRPr="00527268" w:rsidRDefault="00527268" w:rsidP="00765461">
      <w:pPr>
        <w:pStyle w:val="FootnoteText"/>
        <w:tabs>
          <w:tab w:val="left" w:pos="1418"/>
        </w:tabs>
        <w:ind w:firstLine="0"/>
        <w:rPr>
          <w:lang w:val="fr-CH"/>
        </w:rPr>
      </w:pPr>
      <w:r>
        <w:rPr>
          <w:rStyle w:val="FootnoteReference"/>
        </w:rPr>
        <w:footnoteRef/>
      </w:r>
      <w:r>
        <w:t xml:space="preserve"> </w:t>
      </w:r>
      <w:r>
        <w:rPr>
          <w:lang w:val="fr-CH"/>
        </w:rP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w:t>
      </w:r>
      <w:r w:rsidRPr="00A94D43">
        <w:t>and ST/SG/AC.10/42, para. 15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5717DA" w:rsidP="00023445">
    <w:pPr>
      <w:pStyle w:val="Header"/>
      <w:rPr>
        <w:szCs w:val="18"/>
      </w:rPr>
    </w:pPr>
    <w:r>
      <w:rPr>
        <w:szCs w:val="18"/>
      </w:rPr>
      <w:t>S</w:t>
    </w:r>
    <w:r w:rsidR="00A309D3">
      <w:rPr>
        <w:szCs w:val="18"/>
      </w:rPr>
      <w:t>T/SG/AC.10/C.3/2016/81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820CDE" w:rsidP="00023445">
    <w:pPr>
      <w:pStyle w:val="Header"/>
      <w:jc w:val="right"/>
      <w:rPr>
        <w:szCs w:val="18"/>
      </w:rPr>
    </w:pPr>
    <w:r w:rsidRPr="00023445">
      <w:rPr>
        <w:szCs w:val="18"/>
      </w:rPr>
      <w:t>ST</w:t>
    </w:r>
    <w:r w:rsidR="00A309D3">
      <w:rPr>
        <w:szCs w:val="18"/>
      </w:rPr>
      <w:t>/SG/AC.10/C.3/2016/81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65" w:rsidRDefault="00F16F65" w:rsidP="00F16F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EF7493"/>
    <w:multiLevelType w:val="hybridMultilevel"/>
    <w:tmpl w:val="06EE59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563686"/>
    <w:multiLevelType w:val="hybridMultilevel"/>
    <w:tmpl w:val="8FC030FC"/>
    <w:lvl w:ilvl="0" w:tplc="EEA2528E">
      <w:start w:val="1"/>
      <w:numFmt w:val="decimal"/>
      <w:lvlText w:val="%1."/>
      <w:lvlJc w:val="left"/>
      <w:pPr>
        <w:ind w:left="163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021633D"/>
    <w:multiLevelType w:val="hybridMultilevel"/>
    <w:tmpl w:val="CF3262E0"/>
    <w:lvl w:ilvl="0" w:tplc="E37A503A">
      <w:start w:val="1"/>
      <w:numFmt w:val="lowerLetter"/>
      <w:lvlText w:val="(%1)"/>
      <w:lvlJc w:val="left"/>
      <w:pPr>
        <w:ind w:left="1689" w:hanging="555"/>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14E829A7"/>
    <w:multiLevelType w:val="hybridMultilevel"/>
    <w:tmpl w:val="3D346D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777C4C"/>
    <w:multiLevelType w:val="hybridMultilevel"/>
    <w:tmpl w:val="859ADD06"/>
    <w:lvl w:ilvl="0" w:tplc="37DA1E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A304C78"/>
    <w:multiLevelType w:val="hybridMultilevel"/>
    <w:tmpl w:val="6E808F72"/>
    <w:lvl w:ilvl="0" w:tplc="13CCC4F4">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B014C2"/>
    <w:multiLevelType w:val="hybridMultilevel"/>
    <w:tmpl w:val="CD2EEBDC"/>
    <w:lvl w:ilvl="0" w:tplc="627E00B8">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3D971706"/>
    <w:multiLevelType w:val="hybridMultilevel"/>
    <w:tmpl w:val="FCC4AB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nsid w:val="4E4750A2"/>
    <w:multiLevelType w:val="hybridMultilevel"/>
    <w:tmpl w:val="599AE2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5DEE40C9"/>
    <w:multiLevelType w:val="hybridMultilevel"/>
    <w:tmpl w:val="B80E8914"/>
    <w:lvl w:ilvl="0" w:tplc="B8C870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82F0E8D"/>
    <w:multiLevelType w:val="hybridMultilevel"/>
    <w:tmpl w:val="E7C8874C"/>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3">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70E60176"/>
    <w:multiLevelType w:val="hybridMultilevel"/>
    <w:tmpl w:val="929876CA"/>
    <w:lvl w:ilvl="0" w:tplc="B8B6A6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9C12324"/>
    <w:multiLevelType w:val="hybridMultilevel"/>
    <w:tmpl w:val="965838D2"/>
    <w:lvl w:ilvl="0" w:tplc="0409000F">
      <w:start w:val="1"/>
      <w:numFmt w:val="decimal"/>
      <w:lvlText w:val="%1."/>
      <w:lvlJc w:val="left"/>
      <w:pPr>
        <w:ind w:left="1689" w:hanging="555"/>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1"/>
  </w:num>
  <w:num w:numId="13">
    <w:abstractNumId w:val="11"/>
  </w:num>
  <w:num w:numId="14">
    <w:abstractNumId w:val="31"/>
  </w:num>
  <w:num w:numId="15">
    <w:abstractNumId w:val="18"/>
  </w:num>
  <w:num w:numId="16">
    <w:abstractNumId w:val="12"/>
  </w:num>
  <w:num w:numId="17">
    <w:abstractNumId w:val="0"/>
  </w:num>
  <w:num w:numId="18">
    <w:abstractNumId w:val="14"/>
  </w:num>
  <w:num w:numId="19">
    <w:abstractNumId w:val="33"/>
  </w:num>
  <w:num w:numId="20">
    <w:abstractNumId w:val="24"/>
  </w:num>
  <w:num w:numId="21">
    <w:abstractNumId w:val="26"/>
  </w:num>
  <w:num w:numId="22">
    <w:abstractNumId w:val="28"/>
  </w:num>
  <w:num w:numId="23">
    <w:abstractNumId w:val="29"/>
  </w:num>
  <w:num w:numId="24">
    <w:abstractNumId w:val="15"/>
  </w:num>
  <w:num w:numId="25">
    <w:abstractNumId w:val="32"/>
  </w:num>
  <w:num w:numId="26">
    <w:abstractNumId w:val="34"/>
  </w:num>
  <w:num w:numId="27">
    <w:abstractNumId w:val="19"/>
  </w:num>
  <w:num w:numId="28">
    <w:abstractNumId w:val="20"/>
  </w:num>
  <w:num w:numId="29">
    <w:abstractNumId w:val="30"/>
  </w:num>
  <w:num w:numId="30">
    <w:abstractNumId w:val="25"/>
  </w:num>
  <w:num w:numId="31">
    <w:abstractNumId w:val="13"/>
  </w:num>
  <w:num w:numId="32">
    <w:abstractNumId w:val="22"/>
  </w:num>
  <w:num w:numId="33">
    <w:abstractNumId w:val="35"/>
  </w:num>
  <w:num w:numId="34">
    <w:abstractNumId w:val="16"/>
  </w:num>
  <w:num w:numId="35">
    <w:abstractNumId w:val="17"/>
  </w:num>
  <w:num w:numId="3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0C4D51"/>
    <w:rsid w:val="00004041"/>
    <w:rsid w:val="00023445"/>
    <w:rsid w:val="00030391"/>
    <w:rsid w:val="00037C49"/>
    <w:rsid w:val="00037F90"/>
    <w:rsid w:val="00046B1F"/>
    <w:rsid w:val="00050F6B"/>
    <w:rsid w:val="00051B9C"/>
    <w:rsid w:val="000553D4"/>
    <w:rsid w:val="00057447"/>
    <w:rsid w:val="00057E97"/>
    <w:rsid w:val="00066DF5"/>
    <w:rsid w:val="000678AB"/>
    <w:rsid w:val="0007088F"/>
    <w:rsid w:val="00072C8C"/>
    <w:rsid w:val="000733B5"/>
    <w:rsid w:val="000769A9"/>
    <w:rsid w:val="00081815"/>
    <w:rsid w:val="000931C0"/>
    <w:rsid w:val="000B0595"/>
    <w:rsid w:val="000B175B"/>
    <w:rsid w:val="000B3A0F"/>
    <w:rsid w:val="000B4EF7"/>
    <w:rsid w:val="000C2C03"/>
    <w:rsid w:val="000C2D2E"/>
    <w:rsid w:val="000C4D51"/>
    <w:rsid w:val="000E0415"/>
    <w:rsid w:val="000E47CA"/>
    <w:rsid w:val="00107320"/>
    <w:rsid w:val="001103AA"/>
    <w:rsid w:val="00110CCA"/>
    <w:rsid w:val="0011666B"/>
    <w:rsid w:val="00121DE7"/>
    <w:rsid w:val="001234B8"/>
    <w:rsid w:val="001275B3"/>
    <w:rsid w:val="001370F8"/>
    <w:rsid w:val="00153694"/>
    <w:rsid w:val="00153A47"/>
    <w:rsid w:val="00154A06"/>
    <w:rsid w:val="00155068"/>
    <w:rsid w:val="00164B97"/>
    <w:rsid w:val="00165F3A"/>
    <w:rsid w:val="00181506"/>
    <w:rsid w:val="001979B7"/>
    <w:rsid w:val="001B13A5"/>
    <w:rsid w:val="001B4B04"/>
    <w:rsid w:val="001B79DC"/>
    <w:rsid w:val="001C6663"/>
    <w:rsid w:val="001C7895"/>
    <w:rsid w:val="001C7C7A"/>
    <w:rsid w:val="001D0C8C"/>
    <w:rsid w:val="001D1419"/>
    <w:rsid w:val="001D26DF"/>
    <w:rsid w:val="001D3A03"/>
    <w:rsid w:val="001D7F46"/>
    <w:rsid w:val="001E0B9E"/>
    <w:rsid w:val="001E7B67"/>
    <w:rsid w:val="001F7435"/>
    <w:rsid w:val="001F7F04"/>
    <w:rsid w:val="00202CD0"/>
    <w:rsid w:val="00202DA8"/>
    <w:rsid w:val="0021157B"/>
    <w:rsid w:val="002115B4"/>
    <w:rsid w:val="00211E0B"/>
    <w:rsid w:val="002257FB"/>
    <w:rsid w:val="00231BA1"/>
    <w:rsid w:val="0023548F"/>
    <w:rsid w:val="0024413E"/>
    <w:rsid w:val="00245ACC"/>
    <w:rsid w:val="00260757"/>
    <w:rsid w:val="002653E7"/>
    <w:rsid w:val="00267F5F"/>
    <w:rsid w:val="002740C0"/>
    <w:rsid w:val="0028267A"/>
    <w:rsid w:val="00286B4D"/>
    <w:rsid w:val="00297EA8"/>
    <w:rsid w:val="002A603B"/>
    <w:rsid w:val="002A6B8F"/>
    <w:rsid w:val="002B3986"/>
    <w:rsid w:val="002B57A7"/>
    <w:rsid w:val="002C18EF"/>
    <w:rsid w:val="002C3039"/>
    <w:rsid w:val="002D38EF"/>
    <w:rsid w:val="002D4643"/>
    <w:rsid w:val="002D4B6C"/>
    <w:rsid w:val="002E122F"/>
    <w:rsid w:val="002E199D"/>
    <w:rsid w:val="002F175C"/>
    <w:rsid w:val="002F32B6"/>
    <w:rsid w:val="00302E18"/>
    <w:rsid w:val="0030721A"/>
    <w:rsid w:val="00320B22"/>
    <w:rsid w:val="003229D8"/>
    <w:rsid w:val="00322B47"/>
    <w:rsid w:val="00324F93"/>
    <w:rsid w:val="00325594"/>
    <w:rsid w:val="0034446B"/>
    <w:rsid w:val="003453B6"/>
    <w:rsid w:val="00347DDB"/>
    <w:rsid w:val="00350DA4"/>
    <w:rsid w:val="00352709"/>
    <w:rsid w:val="00357186"/>
    <w:rsid w:val="00362296"/>
    <w:rsid w:val="00363D30"/>
    <w:rsid w:val="003674C8"/>
    <w:rsid w:val="003704F2"/>
    <w:rsid w:val="00371178"/>
    <w:rsid w:val="003772D4"/>
    <w:rsid w:val="003920FB"/>
    <w:rsid w:val="00392DE1"/>
    <w:rsid w:val="003A6810"/>
    <w:rsid w:val="003C2CC4"/>
    <w:rsid w:val="003C6322"/>
    <w:rsid w:val="003C71B8"/>
    <w:rsid w:val="003D4B23"/>
    <w:rsid w:val="003E3D8A"/>
    <w:rsid w:val="003E753A"/>
    <w:rsid w:val="003F006C"/>
    <w:rsid w:val="00405F89"/>
    <w:rsid w:val="00407087"/>
    <w:rsid w:val="00410C89"/>
    <w:rsid w:val="00416A6E"/>
    <w:rsid w:val="00422E03"/>
    <w:rsid w:val="00426B1B"/>
    <w:rsid w:val="00426B9B"/>
    <w:rsid w:val="004325CB"/>
    <w:rsid w:val="004355B1"/>
    <w:rsid w:val="00442A83"/>
    <w:rsid w:val="0045495B"/>
    <w:rsid w:val="004760E0"/>
    <w:rsid w:val="004834D3"/>
    <w:rsid w:val="0048397A"/>
    <w:rsid w:val="004A12F2"/>
    <w:rsid w:val="004C2461"/>
    <w:rsid w:val="004C333F"/>
    <w:rsid w:val="004C7462"/>
    <w:rsid w:val="004D4E04"/>
    <w:rsid w:val="004D5426"/>
    <w:rsid w:val="004D5867"/>
    <w:rsid w:val="004D5ABD"/>
    <w:rsid w:val="004D6BCA"/>
    <w:rsid w:val="004D7E81"/>
    <w:rsid w:val="004E0C05"/>
    <w:rsid w:val="004E2D74"/>
    <w:rsid w:val="004E31B5"/>
    <w:rsid w:val="004E320B"/>
    <w:rsid w:val="004E77B2"/>
    <w:rsid w:val="00503DEB"/>
    <w:rsid w:val="00504B2D"/>
    <w:rsid w:val="00505328"/>
    <w:rsid w:val="00505957"/>
    <w:rsid w:val="0052136D"/>
    <w:rsid w:val="0052254D"/>
    <w:rsid w:val="00522B58"/>
    <w:rsid w:val="00527268"/>
    <w:rsid w:val="0052775E"/>
    <w:rsid w:val="00527D3F"/>
    <w:rsid w:val="005315A3"/>
    <w:rsid w:val="00533623"/>
    <w:rsid w:val="00535C90"/>
    <w:rsid w:val="00540A84"/>
    <w:rsid w:val="005420F2"/>
    <w:rsid w:val="00542893"/>
    <w:rsid w:val="00546993"/>
    <w:rsid w:val="005628B6"/>
    <w:rsid w:val="005717DA"/>
    <w:rsid w:val="00595DD5"/>
    <w:rsid w:val="005A575C"/>
    <w:rsid w:val="005B0D94"/>
    <w:rsid w:val="005B1865"/>
    <w:rsid w:val="005B3DB3"/>
    <w:rsid w:val="005B4E13"/>
    <w:rsid w:val="005B5D9E"/>
    <w:rsid w:val="005B6DA7"/>
    <w:rsid w:val="005D2D66"/>
    <w:rsid w:val="005D4BE6"/>
    <w:rsid w:val="005D68F4"/>
    <w:rsid w:val="005E3A54"/>
    <w:rsid w:val="005E6A77"/>
    <w:rsid w:val="005F4FF4"/>
    <w:rsid w:val="005F7B75"/>
    <w:rsid w:val="006001EE"/>
    <w:rsid w:val="00605042"/>
    <w:rsid w:val="006055D6"/>
    <w:rsid w:val="00610928"/>
    <w:rsid w:val="00611FC4"/>
    <w:rsid w:val="0061365A"/>
    <w:rsid w:val="006174F9"/>
    <w:rsid w:val="006176FB"/>
    <w:rsid w:val="00621BDE"/>
    <w:rsid w:val="00625568"/>
    <w:rsid w:val="00635DAF"/>
    <w:rsid w:val="00640B26"/>
    <w:rsid w:val="006437D6"/>
    <w:rsid w:val="006469B3"/>
    <w:rsid w:val="00651E57"/>
    <w:rsid w:val="00652D0A"/>
    <w:rsid w:val="006623D5"/>
    <w:rsid w:val="00662AEF"/>
    <w:rsid w:val="00662BB6"/>
    <w:rsid w:val="00667F8F"/>
    <w:rsid w:val="0068109D"/>
    <w:rsid w:val="006831A5"/>
    <w:rsid w:val="00684C21"/>
    <w:rsid w:val="006861EF"/>
    <w:rsid w:val="00691BE3"/>
    <w:rsid w:val="006A0066"/>
    <w:rsid w:val="006A0884"/>
    <w:rsid w:val="006A2530"/>
    <w:rsid w:val="006A6089"/>
    <w:rsid w:val="006C3589"/>
    <w:rsid w:val="006D37AF"/>
    <w:rsid w:val="006D51D0"/>
    <w:rsid w:val="006E564B"/>
    <w:rsid w:val="006E7191"/>
    <w:rsid w:val="006F01EF"/>
    <w:rsid w:val="00703577"/>
    <w:rsid w:val="00705894"/>
    <w:rsid w:val="00713FD1"/>
    <w:rsid w:val="00716E60"/>
    <w:rsid w:val="007204F6"/>
    <w:rsid w:val="00725A6A"/>
    <w:rsid w:val="0072632A"/>
    <w:rsid w:val="00731FF0"/>
    <w:rsid w:val="007327D5"/>
    <w:rsid w:val="00735B5A"/>
    <w:rsid w:val="00754ED5"/>
    <w:rsid w:val="0075744A"/>
    <w:rsid w:val="007603EC"/>
    <w:rsid w:val="007611CF"/>
    <w:rsid w:val="007629C8"/>
    <w:rsid w:val="007642A4"/>
    <w:rsid w:val="00765461"/>
    <w:rsid w:val="00765DF8"/>
    <w:rsid w:val="0077047D"/>
    <w:rsid w:val="00786E2F"/>
    <w:rsid w:val="007B6BA5"/>
    <w:rsid w:val="007C3390"/>
    <w:rsid w:val="007C449A"/>
    <w:rsid w:val="007C4F4B"/>
    <w:rsid w:val="007D08C9"/>
    <w:rsid w:val="007D4851"/>
    <w:rsid w:val="007E01E9"/>
    <w:rsid w:val="007E63F3"/>
    <w:rsid w:val="007F1F93"/>
    <w:rsid w:val="007F3AB2"/>
    <w:rsid w:val="007F6611"/>
    <w:rsid w:val="007F7106"/>
    <w:rsid w:val="00811920"/>
    <w:rsid w:val="00815045"/>
    <w:rsid w:val="00815AD0"/>
    <w:rsid w:val="00820CDE"/>
    <w:rsid w:val="008242D7"/>
    <w:rsid w:val="008257B1"/>
    <w:rsid w:val="00826E9A"/>
    <w:rsid w:val="00837982"/>
    <w:rsid w:val="00843767"/>
    <w:rsid w:val="00846671"/>
    <w:rsid w:val="008521A5"/>
    <w:rsid w:val="00853EBC"/>
    <w:rsid w:val="0086081B"/>
    <w:rsid w:val="008679D9"/>
    <w:rsid w:val="00871389"/>
    <w:rsid w:val="00876173"/>
    <w:rsid w:val="00882E80"/>
    <w:rsid w:val="00883999"/>
    <w:rsid w:val="008862C2"/>
    <w:rsid w:val="008878DE"/>
    <w:rsid w:val="0089577A"/>
    <w:rsid w:val="008979B1"/>
    <w:rsid w:val="008A6B25"/>
    <w:rsid w:val="008A6C4F"/>
    <w:rsid w:val="008A6CE3"/>
    <w:rsid w:val="008B2335"/>
    <w:rsid w:val="008B717B"/>
    <w:rsid w:val="008C5775"/>
    <w:rsid w:val="008C73DC"/>
    <w:rsid w:val="008D6F3C"/>
    <w:rsid w:val="008E0678"/>
    <w:rsid w:val="008E57F4"/>
    <w:rsid w:val="008F0D82"/>
    <w:rsid w:val="008F3D61"/>
    <w:rsid w:val="008F5475"/>
    <w:rsid w:val="0090194D"/>
    <w:rsid w:val="0090347B"/>
    <w:rsid w:val="00906D3C"/>
    <w:rsid w:val="0091237E"/>
    <w:rsid w:val="00912FCE"/>
    <w:rsid w:val="009153A0"/>
    <w:rsid w:val="00916E19"/>
    <w:rsid w:val="00920C59"/>
    <w:rsid w:val="009223CA"/>
    <w:rsid w:val="00932F3F"/>
    <w:rsid w:val="0093509F"/>
    <w:rsid w:val="00936FF4"/>
    <w:rsid w:val="00940F93"/>
    <w:rsid w:val="0094558F"/>
    <w:rsid w:val="00956229"/>
    <w:rsid w:val="009603D2"/>
    <w:rsid w:val="009605B0"/>
    <w:rsid w:val="00961690"/>
    <w:rsid w:val="00962F62"/>
    <w:rsid w:val="009665DB"/>
    <w:rsid w:val="009760F3"/>
    <w:rsid w:val="00977B3D"/>
    <w:rsid w:val="00987862"/>
    <w:rsid w:val="00994E13"/>
    <w:rsid w:val="009A0E8D"/>
    <w:rsid w:val="009B0FD1"/>
    <w:rsid w:val="009B1518"/>
    <w:rsid w:val="009B26E7"/>
    <w:rsid w:val="009B3BA6"/>
    <w:rsid w:val="009B6982"/>
    <w:rsid w:val="009C454F"/>
    <w:rsid w:val="009D09F2"/>
    <w:rsid w:val="009D2A5B"/>
    <w:rsid w:val="009F02C6"/>
    <w:rsid w:val="009F4DE9"/>
    <w:rsid w:val="00A00A3F"/>
    <w:rsid w:val="00A01489"/>
    <w:rsid w:val="00A10817"/>
    <w:rsid w:val="00A1217C"/>
    <w:rsid w:val="00A20EA0"/>
    <w:rsid w:val="00A2573C"/>
    <w:rsid w:val="00A258EF"/>
    <w:rsid w:val="00A3009E"/>
    <w:rsid w:val="00A3026E"/>
    <w:rsid w:val="00A309D3"/>
    <w:rsid w:val="00A338F1"/>
    <w:rsid w:val="00A51C2B"/>
    <w:rsid w:val="00A658A6"/>
    <w:rsid w:val="00A7278D"/>
    <w:rsid w:val="00A72F22"/>
    <w:rsid w:val="00A7360F"/>
    <w:rsid w:val="00A748A6"/>
    <w:rsid w:val="00A769F4"/>
    <w:rsid w:val="00A776B4"/>
    <w:rsid w:val="00A94361"/>
    <w:rsid w:val="00A945E2"/>
    <w:rsid w:val="00AA293C"/>
    <w:rsid w:val="00AA2B79"/>
    <w:rsid w:val="00AA4BD0"/>
    <w:rsid w:val="00AB1C7D"/>
    <w:rsid w:val="00AC6C48"/>
    <w:rsid w:val="00AC72CA"/>
    <w:rsid w:val="00AE2FC5"/>
    <w:rsid w:val="00AE76C0"/>
    <w:rsid w:val="00AF0E53"/>
    <w:rsid w:val="00AF1569"/>
    <w:rsid w:val="00AF690B"/>
    <w:rsid w:val="00B11BB4"/>
    <w:rsid w:val="00B2256D"/>
    <w:rsid w:val="00B22BC2"/>
    <w:rsid w:val="00B23A53"/>
    <w:rsid w:val="00B30179"/>
    <w:rsid w:val="00B421C1"/>
    <w:rsid w:val="00B44FA2"/>
    <w:rsid w:val="00B45128"/>
    <w:rsid w:val="00B518AA"/>
    <w:rsid w:val="00B54C34"/>
    <w:rsid w:val="00B55C71"/>
    <w:rsid w:val="00B56E4A"/>
    <w:rsid w:val="00B56E9C"/>
    <w:rsid w:val="00B61320"/>
    <w:rsid w:val="00B63F84"/>
    <w:rsid w:val="00B64B1F"/>
    <w:rsid w:val="00B6553F"/>
    <w:rsid w:val="00B70F1E"/>
    <w:rsid w:val="00B72372"/>
    <w:rsid w:val="00B77C49"/>
    <w:rsid w:val="00B77D05"/>
    <w:rsid w:val="00B81206"/>
    <w:rsid w:val="00B81E12"/>
    <w:rsid w:val="00B82EBD"/>
    <w:rsid w:val="00B858B2"/>
    <w:rsid w:val="00B926B1"/>
    <w:rsid w:val="00BB0AC5"/>
    <w:rsid w:val="00BB1538"/>
    <w:rsid w:val="00BB7547"/>
    <w:rsid w:val="00BB7CD1"/>
    <w:rsid w:val="00BC3FA0"/>
    <w:rsid w:val="00BC74E9"/>
    <w:rsid w:val="00BE1A87"/>
    <w:rsid w:val="00BE278A"/>
    <w:rsid w:val="00BF1D2D"/>
    <w:rsid w:val="00BF68A8"/>
    <w:rsid w:val="00C00584"/>
    <w:rsid w:val="00C02351"/>
    <w:rsid w:val="00C050DF"/>
    <w:rsid w:val="00C102B3"/>
    <w:rsid w:val="00C10FE6"/>
    <w:rsid w:val="00C11A03"/>
    <w:rsid w:val="00C14945"/>
    <w:rsid w:val="00C20EA5"/>
    <w:rsid w:val="00C22C0C"/>
    <w:rsid w:val="00C31D92"/>
    <w:rsid w:val="00C349D8"/>
    <w:rsid w:val="00C36879"/>
    <w:rsid w:val="00C4074C"/>
    <w:rsid w:val="00C42061"/>
    <w:rsid w:val="00C4527F"/>
    <w:rsid w:val="00C45B7D"/>
    <w:rsid w:val="00C463DD"/>
    <w:rsid w:val="00C4724C"/>
    <w:rsid w:val="00C54DB3"/>
    <w:rsid w:val="00C557D6"/>
    <w:rsid w:val="00C629A0"/>
    <w:rsid w:val="00C64629"/>
    <w:rsid w:val="00C714F5"/>
    <w:rsid w:val="00C745C3"/>
    <w:rsid w:val="00C84B05"/>
    <w:rsid w:val="00C90189"/>
    <w:rsid w:val="00C947ED"/>
    <w:rsid w:val="00CA7535"/>
    <w:rsid w:val="00CB191C"/>
    <w:rsid w:val="00CB3E03"/>
    <w:rsid w:val="00CB5F93"/>
    <w:rsid w:val="00CB7AA6"/>
    <w:rsid w:val="00CC1ADB"/>
    <w:rsid w:val="00CC3754"/>
    <w:rsid w:val="00CC6249"/>
    <w:rsid w:val="00CD1D4A"/>
    <w:rsid w:val="00CD1E31"/>
    <w:rsid w:val="00CD350C"/>
    <w:rsid w:val="00CE4A8F"/>
    <w:rsid w:val="00CE7206"/>
    <w:rsid w:val="00CF559A"/>
    <w:rsid w:val="00CF689B"/>
    <w:rsid w:val="00CF7079"/>
    <w:rsid w:val="00D02A70"/>
    <w:rsid w:val="00D07D06"/>
    <w:rsid w:val="00D138C6"/>
    <w:rsid w:val="00D2031B"/>
    <w:rsid w:val="00D21FBD"/>
    <w:rsid w:val="00D25FE2"/>
    <w:rsid w:val="00D36F59"/>
    <w:rsid w:val="00D43252"/>
    <w:rsid w:val="00D47EEA"/>
    <w:rsid w:val="00D53515"/>
    <w:rsid w:val="00D550D4"/>
    <w:rsid w:val="00D66F7C"/>
    <w:rsid w:val="00D773DF"/>
    <w:rsid w:val="00D838E4"/>
    <w:rsid w:val="00D84C5B"/>
    <w:rsid w:val="00D85D0B"/>
    <w:rsid w:val="00D9255F"/>
    <w:rsid w:val="00D94663"/>
    <w:rsid w:val="00D95303"/>
    <w:rsid w:val="00D978C6"/>
    <w:rsid w:val="00DA3C1C"/>
    <w:rsid w:val="00DA5C80"/>
    <w:rsid w:val="00DB6726"/>
    <w:rsid w:val="00DC179E"/>
    <w:rsid w:val="00DC2893"/>
    <w:rsid w:val="00DE40C6"/>
    <w:rsid w:val="00DF469C"/>
    <w:rsid w:val="00DF596D"/>
    <w:rsid w:val="00E046DF"/>
    <w:rsid w:val="00E10FF1"/>
    <w:rsid w:val="00E15557"/>
    <w:rsid w:val="00E21E8B"/>
    <w:rsid w:val="00E240D2"/>
    <w:rsid w:val="00E27346"/>
    <w:rsid w:val="00E300A7"/>
    <w:rsid w:val="00E36F73"/>
    <w:rsid w:val="00E459EF"/>
    <w:rsid w:val="00E50E13"/>
    <w:rsid w:val="00E52BF3"/>
    <w:rsid w:val="00E56315"/>
    <w:rsid w:val="00E57C72"/>
    <w:rsid w:val="00E658E5"/>
    <w:rsid w:val="00E665F9"/>
    <w:rsid w:val="00E666EE"/>
    <w:rsid w:val="00E71610"/>
    <w:rsid w:val="00E71BC8"/>
    <w:rsid w:val="00E7260F"/>
    <w:rsid w:val="00E73F5D"/>
    <w:rsid w:val="00E77E4E"/>
    <w:rsid w:val="00E85933"/>
    <w:rsid w:val="00E96630"/>
    <w:rsid w:val="00EB5A8B"/>
    <w:rsid w:val="00EC106A"/>
    <w:rsid w:val="00EC1580"/>
    <w:rsid w:val="00EC73C8"/>
    <w:rsid w:val="00ED7A2A"/>
    <w:rsid w:val="00EE5ACF"/>
    <w:rsid w:val="00EE6B3A"/>
    <w:rsid w:val="00EE7BF6"/>
    <w:rsid w:val="00EF1D7F"/>
    <w:rsid w:val="00EF5E81"/>
    <w:rsid w:val="00EF6394"/>
    <w:rsid w:val="00F01202"/>
    <w:rsid w:val="00F16F65"/>
    <w:rsid w:val="00F2270C"/>
    <w:rsid w:val="00F31E5F"/>
    <w:rsid w:val="00F326E4"/>
    <w:rsid w:val="00F32BB7"/>
    <w:rsid w:val="00F37110"/>
    <w:rsid w:val="00F44916"/>
    <w:rsid w:val="00F51B9F"/>
    <w:rsid w:val="00F537CF"/>
    <w:rsid w:val="00F56440"/>
    <w:rsid w:val="00F60C77"/>
    <w:rsid w:val="00F6100A"/>
    <w:rsid w:val="00F66565"/>
    <w:rsid w:val="00F707D3"/>
    <w:rsid w:val="00F73229"/>
    <w:rsid w:val="00F82591"/>
    <w:rsid w:val="00F93781"/>
    <w:rsid w:val="00FA765E"/>
    <w:rsid w:val="00FB3ABD"/>
    <w:rsid w:val="00FB613B"/>
    <w:rsid w:val="00FB7078"/>
    <w:rsid w:val="00FC68B7"/>
    <w:rsid w:val="00FD2489"/>
    <w:rsid w:val="00FD24A6"/>
    <w:rsid w:val="00FD473F"/>
    <w:rsid w:val="00FD51FF"/>
    <w:rsid w:val="00FD6264"/>
    <w:rsid w:val="00FD6839"/>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 w:type="character" w:customStyle="1" w:styleId="SingleTxtGChar">
    <w:name w:val="_ Single Txt_G Char"/>
    <w:link w:val="SingleTxtG"/>
    <w:rsid w:val="00FD51F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 w:type="character" w:customStyle="1" w:styleId="SingleTxtGChar">
    <w:name w:val="_ Single Txt_G Char"/>
    <w:link w:val="SingleTxtG"/>
    <w:rsid w:val="00FD51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823">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789160">
      <w:bodyDiv w:val="1"/>
      <w:marLeft w:val="0"/>
      <w:marRight w:val="0"/>
      <w:marTop w:val="0"/>
      <w:marBottom w:val="0"/>
      <w:divBdr>
        <w:top w:val="none" w:sz="0" w:space="0" w:color="auto"/>
        <w:left w:val="none" w:sz="0" w:space="0" w:color="auto"/>
        <w:bottom w:val="none" w:sz="0" w:space="0" w:color="auto"/>
        <w:right w:val="none" w:sz="0" w:space="0" w:color="auto"/>
      </w:divBdr>
      <w:divsChild>
        <w:div w:id="855146183">
          <w:marLeft w:val="0"/>
          <w:marRight w:val="0"/>
          <w:marTop w:val="0"/>
          <w:marBottom w:val="0"/>
          <w:divBdr>
            <w:top w:val="none" w:sz="0" w:space="0" w:color="auto"/>
            <w:left w:val="none" w:sz="0" w:space="0" w:color="auto"/>
            <w:bottom w:val="none" w:sz="0" w:space="0" w:color="auto"/>
            <w:right w:val="none" w:sz="0" w:space="0" w:color="auto"/>
          </w:divBdr>
          <w:divsChild>
            <w:div w:id="1517620306">
              <w:marLeft w:val="0"/>
              <w:marRight w:val="0"/>
              <w:marTop w:val="0"/>
              <w:marBottom w:val="0"/>
              <w:divBdr>
                <w:top w:val="none" w:sz="0" w:space="0" w:color="auto"/>
                <w:left w:val="none" w:sz="0" w:space="0" w:color="auto"/>
                <w:bottom w:val="none" w:sz="0" w:space="0" w:color="auto"/>
                <w:right w:val="none" w:sz="0" w:space="0" w:color="auto"/>
              </w:divBdr>
              <w:divsChild>
                <w:div w:id="298657286">
                  <w:marLeft w:val="0"/>
                  <w:marRight w:val="0"/>
                  <w:marTop w:val="0"/>
                  <w:marBottom w:val="0"/>
                  <w:divBdr>
                    <w:top w:val="none" w:sz="0" w:space="0" w:color="auto"/>
                    <w:left w:val="none" w:sz="0" w:space="0" w:color="auto"/>
                    <w:bottom w:val="none" w:sz="0" w:space="0" w:color="auto"/>
                    <w:right w:val="none" w:sz="0" w:space="0" w:color="auto"/>
                  </w:divBdr>
                  <w:divsChild>
                    <w:div w:id="1251232807">
                      <w:marLeft w:val="0"/>
                      <w:marRight w:val="0"/>
                      <w:marTop w:val="0"/>
                      <w:marBottom w:val="0"/>
                      <w:divBdr>
                        <w:top w:val="none" w:sz="0" w:space="0" w:color="auto"/>
                        <w:left w:val="none" w:sz="0" w:space="0" w:color="auto"/>
                        <w:bottom w:val="none" w:sz="0" w:space="0" w:color="auto"/>
                        <w:right w:val="none" w:sz="0" w:space="0" w:color="auto"/>
                      </w:divBdr>
                      <w:divsChild>
                        <w:div w:id="818545506">
                          <w:marLeft w:val="0"/>
                          <w:marRight w:val="0"/>
                          <w:marTop w:val="0"/>
                          <w:marBottom w:val="0"/>
                          <w:divBdr>
                            <w:top w:val="none" w:sz="0" w:space="0" w:color="auto"/>
                            <w:left w:val="none" w:sz="0" w:space="0" w:color="auto"/>
                            <w:bottom w:val="none" w:sz="0" w:space="0" w:color="auto"/>
                            <w:right w:val="none" w:sz="0" w:space="0" w:color="auto"/>
                          </w:divBdr>
                          <w:divsChild>
                            <w:div w:id="1303847386">
                              <w:marLeft w:val="0"/>
                              <w:marRight w:val="0"/>
                              <w:marTop w:val="0"/>
                              <w:marBottom w:val="0"/>
                              <w:divBdr>
                                <w:top w:val="none" w:sz="0" w:space="0" w:color="auto"/>
                                <w:left w:val="none" w:sz="0" w:space="0" w:color="auto"/>
                                <w:bottom w:val="none" w:sz="0" w:space="0" w:color="auto"/>
                                <w:right w:val="none" w:sz="0" w:space="0" w:color="auto"/>
                              </w:divBdr>
                              <w:divsChild>
                                <w:div w:id="1965960427">
                                  <w:marLeft w:val="0"/>
                                  <w:marRight w:val="0"/>
                                  <w:marTop w:val="0"/>
                                  <w:marBottom w:val="0"/>
                                  <w:divBdr>
                                    <w:top w:val="none" w:sz="0" w:space="0" w:color="auto"/>
                                    <w:left w:val="none" w:sz="0" w:space="0" w:color="auto"/>
                                    <w:bottom w:val="none" w:sz="0" w:space="0" w:color="auto"/>
                                    <w:right w:val="none" w:sz="0" w:space="0" w:color="auto"/>
                                  </w:divBdr>
                                  <w:divsChild>
                                    <w:div w:id="1853953469">
                                      <w:marLeft w:val="0"/>
                                      <w:marRight w:val="0"/>
                                      <w:marTop w:val="0"/>
                                      <w:marBottom w:val="0"/>
                                      <w:divBdr>
                                        <w:top w:val="none" w:sz="0" w:space="0" w:color="auto"/>
                                        <w:left w:val="none" w:sz="0" w:space="0" w:color="auto"/>
                                        <w:bottom w:val="none" w:sz="0" w:space="0" w:color="auto"/>
                                        <w:right w:val="none" w:sz="0" w:space="0" w:color="auto"/>
                                      </w:divBdr>
                                      <w:divsChild>
                                        <w:div w:id="1367949242">
                                          <w:marLeft w:val="0"/>
                                          <w:marRight w:val="0"/>
                                          <w:marTop w:val="0"/>
                                          <w:marBottom w:val="0"/>
                                          <w:divBdr>
                                            <w:top w:val="none" w:sz="0" w:space="0" w:color="auto"/>
                                            <w:left w:val="none" w:sz="0" w:space="0" w:color="auto"/>
                                            <w:bottom w:val="none" w:sz="0" w:space="0" w:color="auto"/>
                                            <w:right w:val="none" w:sz="0" w:space="0" w:color="auto"/>
                                          </w:divBdr>
                                          <w:divsChild>
                                            <w:div w:id="1252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cc.scl.gatech.edu/resources/tempinseacontainer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dry.wordpress.com/2012/01/27/ocean-container-temperature-and-humidity-study-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sta.org/forms/2015_FAA%20AIR_SINGH_SAHA_SINGH.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E752-1801-48D6-BFD1-FCEECB20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998</Words>
  <Characters>5652</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Laurence Berthet</cp:lastModifiedBy>
  <cp:revision>10</cp:revision>
  <cp:lastPrinted>2016-09-07T15:59:00Z</cp:lastPrinted>
  <dcterms:created xsi:type="dcterms:W3CDTF">2016-09-07T09:36:00Z</dcterms:created>
  <dcterms:modified xsi:type="dcterms:W3CDTF">2016-09-07T16:00:00Z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14022540.1</vt:lpwstr>
  </property>
</Properties>
</file>