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B143EF">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B143EF" w:rsidP="00B143EF">
            <w:pPr>
              <w:jc w:val="right"/>
            </w:pPr>
            <w:r w:rsidRPr="00B143EF">
              <w:rPr>
                <w:sz w:val="40"/>
              </w:rPr>
              <w:t>ST</w:t>
            </w:r>
            <w:r>
              <w:t>/SG/AC.10/C.3/2016/78</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B143EF" w:rsidP="009C3129">
            <w:pPr>
              <w:spacing w:before="240"/>
            </w:pPr>
            <w:r>
              <w:t>Distr. générale</w:t>
            </w:r>
          </w:p>
          <w:p w:rsidR="00B143EF" w:rsidRDefault="00B143EF" w:rsidP="00B143EF">
            <w:pPr>
              <w:spacing w:line="240" w:lineRule="exact"/>
            </w:pPr>
            <w:r>
              <w:t>9 septembre 2016</w:t>
            </w:r>
          </w:p>
          <w:p w:rsidR="00B143EF" w:rsidRDefault="00B143EF" w:rsidP="00B143EF">
            <w:pPr>
              <w:spacing w:line="240" w:lineRule="exact"/>
            </w:pPr>
            <w:r>
              <w:t>Français</w:t>
            </w:r>
          </w:p>
          <w:p w:rsidR="00B143EF" w:rsidRPr="00DB58B5" w:rsidRDefault="00B143EF" w:rsidP="00B143EF">
            <w:pPr>
              <w:spacing w:line="240" w:lineRule="exact"/>
            </w:pPr>
            <w:r>
              <w:t>Original : anglais</w:t>
            </w:r>
          </w:p>
        </w:tc>
      </w:tr>
    </w:tbl>
    <w:p w:rsidR="00775300" w:rsidRPr="00927F4A" w:rsidRDefault="00775300" w:rsidP="00927F4A">
      <w:pPr>
        <w:spacing w:before="120"/>
        <w:rPr>
          <w:b/>
          <w:sz w:val="24"/>
          <w:szCs w:val="24"/>
        </w:rPr>
      </w:pPr>
      <w:r w:rsidRPr="00927F4A">
        <w:rPr>
          <w:b/>
          <w:sz w:val="24"/>
          <w:szCs w:val="24"/>
        </w:rPr>
        <w:t>Comité d’experts du transport des marchandises dangereuses</w:t>
      </w:r>
      <w:r w:rsidR="00927F4A" w:rsidRPr="00927F4A">
        <w:rPr>
          <w:b/>
          <w:sz w:val="24"/>
          <w:szCs w:val="24"/>
        </w:rPr>
        <w:t xml:space="preserve"> </w:t>
      </w:r>
      <w:r w:rsidR="00927F4A">
        <w:rPr>
          <w:b/>
          <w:sz w:val="24"/>
          <w:szCs w:val="24"/>
        </w:rPr>
        <w:br/>
      </w:r>
      <w:r w:rsidRPr="00927F4A">
        <w:rPr>
          <w:b/>
          <w:sz w:val="24"/>
          <w:szCs w:val="24"/>
        </w:rPr>
        <w:t>et du Système général harmonisé de classification</w:t>
      </w:r>
      <w:r w:rsidR="00927F4A">
        <w:rPr>
          <w:b/>
          <w:sz w:val="24"/>
          <w:szCs w:val="24"/>
        </w:rPr>
        <w:t xml:space="preserve"> </w:t>
      </w:r>
      <w:r w:rsidR="00927F4A">
        <w:rPr>
          <w:b/>
          <w:sz w:val="24"/>
          <w:szCs w:val="24"/>
        </w:rPr>
        <w:br/>
      </w:r>
      <w:r w:rsidRPr="00927F4A">
        <w:rPr>
          <w:b/>
          <w:sz w:val="24"/>
          <w:szCs w:val="24"/>
        </w:rPr>
        <w:t>et d’étiquetage des produits chimiques</w:t>
      </w:r>
    </w:p>
    <w:p w:rsidR="00775300" w:rsidRPr="00927F4A" w:rsidRDefault="00775300" w:rsidP="00927F4A">
      <w:pPr>
        <w:spacing w:before="120"/>
        <w:rPr>
          <w:b/>
        </w:rPr>
      </w:pPr>
      <w:r w:rsidRPr="00927F4A">
        <w:rPr>
          <w:b/>
        </w:rPr>
        <w:t>Sous-Comité d’experts du Système général harmonisé</w:t>
      </w:r>
      <w:r w:rsidR="00927F4A">
        <w:rPr>
          <w:b/>
        </w:rPr>
        <w:t xml:space="preserve"> </w:t>
      </w:r>
      <w:r w:rsidR="00927F4A">
        <w:rPr>
          <w:b/>
        </w:rPr>
        <w:br/>
      </w:r>
      <w:r w:rsidRPr="00927F4A">
        <w:rPr>
          <w:b/>
        </w:rPr>
        <w:t>de classification et d’étiquetage des produits chimiques</w:t>
      </w:r>
    </w:p>
    <w:p w:rsidR="00775300" w:rsidRPr="004D32DD" w:rsidRDefault="00775300" w:rsidP="00A863D6">
      <w:pPr>
        <w:spacing w:before="120"/>
        <w:rPr>
          <w:b/>
        </w:rPr>
      </w:pPr>
      <w:r w:rsidRPr="004D32DD">
        <w:rPr>
          <w:b/>
        </w:rPr>
        <w:t>Cinquantième session</w:t>
      </w:r>
    </w:p>
    <w:p w:rsidR="00775300" w:rsidRPr="004D32DD" w:rsidRDefault="00775300" w:rsidP="00775300">
      <w:r w:rsidRPr="004D32DD">
        <w:t>Genè</w:t>
      </w:r>
      <w:r w:rsidR="00927F4A" w:rsidRPr="004D32DD">
        <w:t>ve</w:t>
      </w:r>
      <w:r w:rsidRPr="004D32DD">
        <w:t>, 28</w:t>
      </w:r>
      <w:r w:rsidR="00927F4A" w:rsidRPr="004D32DD">
        <w:t> </w:t>
      </w:r>
      <w:r w:rsidRPr="004D32DD">
        <w:t>novembre-6</w:t>
      </w:r>
      <w:r w:rsidR="00927F4A" w:rsidRPr="004D32DD">
        <w:t> </w:t>
      </w:r>
      <w:r w:rsidRPr="004D32DD">
        <w:t>décembre 2016</w:t>
      </w:r>
      <w:r w:rsidRPr="004D32DD">
        <w:rPr>
          <w:color w:val="333333"/>
          <w:lang w:eastAsia="it-IT"/>
        </w:rPr>
        <w:br/>
      </w:r>
      <w:r w:rsidRPr="004D32DD">
        <w:t>Point 4 de l’ordre du jour provisoire</w:t>
      </w:r>
    </w:p>
    <w:p w:rsidR="00775300" w:rsidRPr="004D32DD" w:rsidRDefault="00775300" w:rsidP="00775300">
      <w:pPr>
        <w:rPr>
          <w:b/>
        </w:rPr>
      </w:pPr>
      <w:r w:rsidRPr="004D32DD">
        <w:rPr>
          <w:b/>
        </w:rPr>
        <w:t>Principes directeurs pour le développement du Règlement type</w:t>
      </w:r>
    </w:p>
    <w:p w:rsidR="00775300" w:rsidRDefault="00775300" w:rsidP="005F7119">
      <w:pPr>
        <w:pStyle w:val="HChG"/>
      </w:pPr>
      <w:r>
        <w:tab/>
      </w:r>
      <w:r>
        <w:tab/>
        <w:t>Affectation des codes-E</w:t>
      </w:r>
    </w:p>
    <w:p w:rsidR="00775300" w:rsidRPr="003403D0" w:rsidRDefault="00775300" w:rsidP="005F7119">
      <w:pPr>
        <w:pStyle w:val="H1G"/>
        <w:rPr>
          <w:lang w:val="en-US"/>
        </w:rPr>
      </w:pPr>
      <w:r>
        <w:tab/>
      </w:r>
      <w:r>
        <w:tab/>
      </w:r>
      <w:r w:rsidRPr="00974088">
        <w:t>Communication de l</w:t>
      </w:r>
      <w:r>
        <w:t>’</w:t>
      </w:r>
      <w:r w:rsidRPr="00974088">
        <w:t>expert des États-Unis d</w:t>
      </w:r>
      <w:r>
        <w:t>’</w:t>
      </w:r>
      <w:r w:rsidRPr="00974088">
        <w:t>Amérique</w:t>
      </w:r>
      <w:r w:rsidR="005F7119" w:rsidRPr="004D32DD">
        <w:rPr>
          <w:rStyle w:val="FootnoteReference"/>
          <w:b w:val="0"/>
        </w:rPr>
        <w:footnoteReference w:id="2"/>
      </w:r>
    </w:p>
    <w:p w:rsidR="00775300" w:rsidRPr="00CD3BAB" w:rsidRDefault="00775300" w:rsidP="00BE0C0F">
      <w:pPr>
        <w:pStyle w:val="HChG"/>
      </w:pPr>
      <w:r>
        <w:tab/>
      </w:r>
      <w:r>
        <w:tab/>
      </w:r>
      <w:r w:rsidRPr="007A165C">
        <w:t>Introduction</w:t>
      </w:r>
    </w:p>
    <w:p w:rsidR="00775300" w:rsidRPr="00A5786A" w:rsidDel="00320A76" w:rsidRDefault="00775300" w:rsidP="00BE0C0F">
      <w:pPr>
        <w:pStyle w:val="ParNoG"/>
      </w:pPr>
      <w:r>
        <w:t>L</w:t>
      </w:r>
      <w:r w:rsidRPr="00A5786A">
        <w:t>e</w:t>
      </w:r>
      <w:r>
        <w:t>s</w:t>
      </w:r>
      <w:r w:rsidRPr="00A5786A">
        <w:t xml:space="preserve"> </w:t>
      </w:r>
      <w:r w:rsidRPr="00E84F67">
        <w:t>Principes directeurs à appliquer dans le cadre de la dix-</w:t>
      </w:r>
      <w:r>
        <w:t>neuv</w:t>
      </w:r>
      <w:r w:rsidRPr="00E84F67">
        <w:t>ième édition révisée des Recommandations relatives au transport des marchandises dangereuses</w:t>
      </w:r>
      <w:r>
        <w:t xml:space="preserve"> </w:t>
      </w:r>
      <w:r w:rsidRPr="00A5786A">
        <w:t>(</w:t>
      </w:r>
      <w:r w:rsidR="00BE0C0F">
        <w:t>voir </w:t>
      </w:r>
      <w:r w:rsidRPr="00A5786A">
        <w:t xml:space="preserve">http://www.unece.org/trans/danger/publi/unrec/guidingprinciples/guidingprinciplesrev15_e.html) </w:t>
      </w:r>
      <w:r>
        <w:t xml:space="preserve">indiquent </w:t>
      </w:r>
      <w:r w:rsidRPr="00F2286C">
        <w:t xml:space="preserve">les affectations de codes </w:t>
      </w:r>
      <w:r>
        <w:t>correctes</w:t>
      </w:r>
      <w:r w:rsidRPr="00F2286C">
        <w:t xml:space="preserve"> pour les marchandises dangereuses énumérées a</w:t>
      </w:r>
      <w:r>
        <w:t>u chapitre</w:t>
      </w:r>
      <w:r w:rsidR="00BE0C0F">
        <w:t> </w:t>
      </w:r>
      <w:r>
        <w:t xml:space="preserve">3.2, mais n’indiquent </w:t>
      </w:r>
      <w:r w:rsidRPr="00F2286C">
        <w:t xml:space="preserve">pas les motifs précis de leur affectation. </w:t>
      </w:r>
      <w:r>
        <w:t>La</w:t>
      </w:r>
      <w:r w:rsidR="00BE0C0F">
        <w:t> </w:t>
      </w:r>
      <w:r>
        <w:t>présente</w:t>
      </w:r>
      <w:r w:rsidRPr="00F2286C">
        <w:t xml:space="preserve"> proposition </w:t>
      </w:r>
      <w:r>
        <w:t>inclurait</w:t>
      </w:r>
      <w:r w:rsidRPr="00F2286C">
        <w:t xml:space="preserve"> les limites quantitatives applicables correspondant aux codes</w:t>
      </w:r>
      <w:r w:rsidR="00D83A14">
        <w:t>-</w:t>
      </w:r>
      <w:r w:rsidRPr="00F2286C">
        <w:t>E actuels sur la base de leur classe de danger et groupe d</w:t>
      </w:r>
      <w:r>
        <w:t>’</w:t>
      </w:r>
      <w:r w:rsidRPr="00F2286C">
        <w:t>emballage et compatibles avec l</w:t>
      </w:r>
      <w:r>
        <w:t>’</w:t>
      </w:r>
      <w:r w:rsidRPr="00F2286C">
        <w:t>approche fondée sur les risques dans les instructions techniques 2005-2006 de l</w:t>
      </w:r>
      <w:r>
        <w:t>’</w:t>
      </w:r>
      <w:r w:rsidRPr="00F2286C">
        <w:t>OACI</w:t>
      </w:r>
      <w:r w:rsidR="007E7298">
        <w:rPr>
          <w:rStyle w:val="FootnoteReference"/>
        </w:rPr>
        <w:footnoteReference w:id="3"/>
      </w:r>
      <w:r w:rsidRPr="00F2286C">
        <w:t xml:space="preserve"> qui ont servi de base à l</w:t>
      </w:r>
      <w:r>
        <w:t>’</w:t>
      </w:r>
      <w:r w:rsidRPr="00F2286C">
        <w:t xml:space="preserve">actuel </w:t>
      </w:r>
      <w:r>
        <w:t>s</w:t>
      </w:r>
      <w:r w:rsidRPr="00F2286C">
        <w:t>ystème de code-E. Cette proposition n</w:t>
      </w:r>
      <w:r>
        <w:t>’</w:t>
      </w:r>
      <w:r w:rsidRPr="00F2286C">
        <w:t>entraînerait aucune modification aux affectations actuelles des codes, mais spécifierait les quantités associées à chaque classe de danger et groupe d</w:t>
      </w:r>
      <w:r>
        <w:t>’</w:t>
      </w:r>
      <w:r w:rsidRPr="00F2286C">
        <w:t>emballage de manière à fournir une justification du code affecté.</w:t>
      </w:r>
    </w:p>
    <w:p w:rsidR="00775300" w:rsidRDefault="00775300" w:rsidP="00BE0C0F">
      <w:pPr>
        <w:pStyle w:val="HChG"/>
      </w:pPr>
      <w:r>
        <w:lastRenderedPageBreak/>
        <w:tab/>
      </w:r>
      <w:r>
        <w:tab/>
        <w:t>Discussion</w:t>
      </w:r>
    </w:p>
    <w:p w:rsidR="00775300" w:rsidRPr="00BD6027" w:rsidRDefault="00775300" w:rsidP="00BE0C0F">
      <w:pPr>
        <w:pStyle w:val="ParNoG"/>
      </w:pPr>
      <w:r>
        <w:rPr>
          <w:rStyle w:val="alt-edited"/>
        </w:rPr>
        <w:t>Les principes directeurs du chapitre</w:t>
      </w:r>
      <w:r w:rsidR="00BE0C0F">
        <w:rPr>
          <w:rStyle w:val="alt-edited"/>
        </w:rPr>
        <w:t> </w:t>
      </w:r>
      <w:r>
        <w:rPr>
          <w:rStyle w:val="alt-edited"/>
        </w:rPr>
        <w:t>3.5 expliquent les bases des prescriptions de sécurité dans le cas des dispositions relatives aux quantités exceptées et affectent des codes</w:t>
      </w:r>
      <w:r w:rsidR="00D83A14">
        <w:rPr>
          <w:rStyle w:val="alt-edited"/>
        </w:rPr>
        <w:noBreakHyphen/>
      </w:r>
      <w:r>
        <w:rPr>
          <w:rStyle w:val="alt-edited"/>
        </w:rPr>
        <w:t>E basés sur la classe de danger ou la division et le groupe d’emballage. Les</w:t>
      </w:r>
      <w:r w:rsidR="00BE0C0F">
        <w:rPr>
          <w:rStyle w:val="alt-edited"/>
        </w:rPr>
        <w:t> </w:t>
      </w:r>
      <w:r>
        <w:rPr>
          <w:rStyle w:val="alt-edited"/>
        </w:rPr>
        <w:t xml:space="preserve">dispositions relatives aux quantités exceptées sont basées sur l’argumentation selon laquelle certaines marchandises dangereuses emballées en très petites quantités, avec des limitations sur la quantité par emballage intérieur et l’emballage extérieur et transportés dans des emballages très robustes et éprouvés, présentent moins de risque au transport que les mêmes marchandises emballées dans des volumes plus grands. Les substances autorisées en </w:t>
      </w:r>
      <w:r>
        <w:t xml:space="preserve">quantités exemptées </w:t>
      </w:r>
      <w:r>
        <w:rPr>
          <w:rStyle w:val="alt-edited"/>
        </w:rPr>
        <w:t xml:space="preserve">sont basées sur celles qui peuvent être transportées par des avions de passagers conformément à l’édition 2005-2006 des Instructions </w:t>
      </w:r>
      <w:r w:rsidR="005A15C5">
        <w:rPr>
          <w:rStyle w:val="alt-edited"/>
        </w:rPr>
        <w:t xml:space="preserve">techniques </w:t>
      </w:r>
      <w:r>
        <w:rPr>
          <w:rStyle w:val="alt-edited"/>
        </w:rPr>
        <w:t>de l’OACI. Les objets sont exclus des quantités exemptées</w:t>
      </w:r>
      <w:r w:rsidRPr="00BD6027">
        <w:t>.</w:t>
      </w:r>
    </w:p>
    <w:p w:rsidR="00775300" w:rsidRPr="00BD6027" w:rsidRDefault="00775300" w:rsidP="00BE0C0F">
      <w:pPr>
        <w:pStyle w:val="ParNoG"/>
      </w:pPr>
      <w:r w:rsidRPr="00DE6A1B">
        <w:t>Le Règlement type, au chapitre</w:t>
      </w:r>
      <w:r w:rsidR="00BE0C0F">
        <w:t> </w:t>
      </w:r>
      <w:r w:rsidRPr="00DE6A1B">
        <w:t>3.5, énonce les prescriptions d</w:t>
      </w:r>
      <w:r>
        <w:t>’</w:t>
      </w:r>
      <w:r w:rsidRPr="00DE6A1B">
        <w:t>emballage, y</w:t>
      </w:r>
      <w:r w:rsidR="00BE0C0F">
        <w:t> </w:t>
      </w:r>
      <w:r w:rsidRPr="00DE6A1B">
        <w:t>compris les limites par emballage intérieur et les limites par emballage extérieur, basées sur le code affecté à une substance particulière dans la colonne</w:t>
      </w:r>
      <w:r w:rsidR="00BE0C0F">
        <w:t> </w:t>
      </w:r>
      <w:r w:rsidRPr="00DE6A1B">
        <w:t>7b de la Liste des marchandises dangereuses.</w:t>
      </w:r>
    </w:p>
    <w:p w:rsidR="00775300" w:rsidRPr="00BD6027" w:rsidRDefault="00775300" w:rsidP="00BE0C0F">
      <w:pPr>
        <w:pStyle w:val="ParNoG"/>
      </w:pPr>
      <w:r w:rsidRPr="00E5272A">
        <w:t>Bien que les Principes directeurs actuels affectent des codes corrects aux marchandises dangereuses en fonction de leur classe de danger et de leur groupe d</w:t>
      </w:r>
      <w:r>
        <w:t>’</w:t>
      </w:r>
      <w:r w:rsidRPr="00E5272A">
        <w:t>emballage, le tableau figurant au chapitre</w:t>
      </w:r>
      <w:r w:rsidR="00D83A14">
        <w:t> </w:t>
      </w:r>
      <w:r w:rsidRPr="00E5272A">
        <w:t>3.5 des Principes directeurs ne donne pas d</w:t>
      </w:r>
      <w:r>
        <w:t>’</w:t>
      </w:r>
      <w:r w:rsidRPr="00E5272A">
        <w:t xml:space="preserve">indication sur les quantités. La présente proposition permettrait de </w:t>
      </w:r>
      <w:r>
        <w:t xml:space="preserve">modifier </w:t>
      </w:r>
      <w:r w:rsidRPr="00E5272A">
        <w:t xml:space="preserve">le tableau </w:t>
      </w:r>
      <w:r>
        <w:t xml:space="preserve">pour qu’il </w:t>
      </w:r>
      <w:r w:rsidRPr="00E5272A">
        <w:t>indique clairement en outre les limites par emballage intérieur et extérieur autorisées sur la base de la classe de risque et du groupe d</w:t>
      </w:r>
      <w:r>
        <w:t>’</w:t>
      </w:r>
      <w:r w:rsidRPr="00E5272A">
        <w:t>emballage, conformément aux instructions techniques 2005-2006 de l</w:t>
      </w:r>
      <w:r>
        <w:t>’</w:t>
      </w:r>
      <w:r w:rsidRPr="00E5272A">
        <w:t xml:space="preserve">OACI. En incluant les quantités par emballage intérieur et extérieur pertinentes dans le tableau tel que proposé, on obtiendrait une </w:t>
      </w:r>
      <w:r>
        <w:t xml:space="preserve">représentation </w:t>
      </w:r>
      <w:r w:rsidRPr="00E5272A">
        <w:t>plus directe de l</w:t>
      </w:r>
      <w:r>
        <w:t>’</w:t>
      </w:r>
      <w:r w:rsidRPr="00E5272A">
        <w:t>approche fondée sur les risques adoptée dans le Règlement type, conformément aux Instructions techniques de l</w:t>
      </w:r>
      <w:r>
        <w:t>’</w:t>
      </w:r>
      <w:r w:rsidRPr="00E5272A">
        <w:t>OACI 2005-2006.</w:t>
      </w:r>
    </w:p>
    <w:p w:rsidR="00775300" w:rsidRPr="00826775" w:rsidRDefault="00775300" w:rsidP="00BE0C0F">
      <w:pPr>
        <w:pStyle w:val="HChG"/>
      </w:pPr>
      <w:r>
        <w:tab/>
      </w:r>
      <w:r>
        <w:tab/>
        <w:t>Proposition</w:t>
      </w:r>
    </w:p>
    <w:p w:rsidR="00775300" w:rsidRDefault="00775300" w:rsidP="00BE0C0F">
      <w:pPr>
        <w:pStyle w:val="ParNoG"/>
      </w:pPr>
      <w:r>
        <w:t>Remplacer le tableau existant au chapitre</w:t>
      </w:r>
      <w:r w:rsidR="00D83A14">
        <w:t> </w:t>
      </w:r>
      <w:r>
        <w:t xml:space="preserve">3.5 </w:t>
      </w:r>
      <w:r w:rsidRPr="00E5272A">
        <w:t xml:space="preserve">des Principes directeurs </w:t>
      </w:r>
      <w:r>
        <w:t>par le suivant</w:t>
      </w:r>
      <w:r w:rsidR="00BE0C0F">
        <w:t> </w:t>
      </w:r>
      <w:r>
        <w:t>:</w:t>
      </w:r>
    </w:p>
    <w:p w:rsidR="00775300" w:rsidRDefault="00730FAF" w:rsidP="00730FAF">
      <w:pPr>
        <w:pStyle w:val="H23G"/>
      </w:pPr>
      <w:r>
        <w:tab/>
      </w:r>
      <w:r w:rsidR="00775300">
        <w:t>Méthodologie de dé</w:t>
      </w:r>
      <w:r w:rsidR="00775300" w:rsidRPr="00F81D20">
        <w:t xml:space="preserve">termination des </w:t>
      </w:r>
      <w:r w:rsidR="00775300">
        <w:t>quantités exemptées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5"/>
        <w:gridCol w:w="1417"/>
        <w:gridCol w:w="3115"/>
        <w:gridCol w:w="2576"/>
        <w:gridCol w:w="964"/>
      </w:tblGrid>
      <w:tr w:rsidR="006574DF" w:rsidRPr="006574DF" w:rsidTr="003F0AD9">
        <w:trPr>
          <w:tblHeader/>
        </w:trPr>
        <w:tc>
          <w:tcPr>
            <w:tcW w:w="1565" w:type="dxa"/>
            <w:shd w:val="clear" w:color="auto" w:fill="auto"/>
            <w:noWrap/>
            <w:vAlign w:val="bottom"/>
            <w:hideMark/>
          </w:tcPr>
          <w:p w:rsidR="00775300" w:rsidRPr="006574DF" w:rsidRDefault="00775300" w:rsidP="003F0AD9">
            <w:pPr>
              <w:spacing w:before="60" w:after="60"/>
              <w:ind w:left="113" w:right="113"/>
              <w:rPr>
                <w:b/>
              </w:rPr>
            </w:pPr>
            <w:r w:rsidRPr="006574DF">
              <w:rPr>
                <w:b/>
              </w:rPr>
              <w:t>Classe/Division</w:t>
            </w:r>
          </w:p>
        </w:tc>
        <w:tc>
          <w:tcPr>
            <w:tcW w:w="1417" w:type="dxa"/>
            <w:shd w:val="clear" w:color="auto" w:fill="auto"/>
            <w:vAlign w:val="bottom"/>
            <w:hideMark/>
          </w:tcPr>
          <w:p w:rsidR="00775300" w:rsidRPr="006574DF" w:rsidRDefault="00775300" w:rsidP="003F0AD9">
            <w:pPr>
              <w:spacing w:before="60" w:after="60"/>
              <w:ind w:left="113" w:right="113"/>
              <w:rPr>
                <w:b/>
              </w:rPr>
            </w:pPr>
            <w:r w:rsidRPr="006574DF">
              <w:rPr>
                <w:b/>
              </w:rPr>
              <w:t>Groupe d’emballage</w:t>
            </w:r>
          </w:p>
        </w:tc>
        <w:tc>
          <w:tcPr>
            <w:tcW w:w="3115" w:type="dxa"/>
            <w:shd w:val="clear" w:color="auto" w:fill="auto"/>
            <w:vAlign w:val="bottom"/>
            <w:hideMark/>
          </w:tcPr>
          <w:p w:rsidR="00775300" w:rsidRPr="006574DF" w:rsidRDefault="00775300" w:rsidP="003F0AD9">
            <w:pPr>
              <w:spacing w:before="60" w:after="60"/>
              <w:ind w:left="113" w:right="113"/>
            </w:pPr>
            <w:r w:rsidRPr="006574DF">
              <w:rPr>
                <w:b/>
              </w:rPr>
              <w:t xml:space="preserve">Quantité nette maximale </w:t>
            </w:r>
            <w:r w:rsidR="003F0AD9">
              <w:rPr>
                <w:b/>
              </w:rPr>
              <w:br/>
            </w:r>
            <w:r w:rsidRPr="006574DF">
              <w:rPr>
                <w:b/>
              </w:rPr>
              <w:t>par emballage intérieur</w:t>
            </w:r>
            <w:r w:rsidRPr="006574DF">
              <w:t xml:space="preserve"> </w:t>
            </w:r>
            <w:r w:rsidR="003F0AD9">
              <w:br/>
            </w:r>
            <w:r w:rsidRPr="006574DF">
              <w:t xml:space="preserve">(en grammes pour les matières solides et en ml pour les liquides </w:t>
            </w:r>
            <w:r w:rsidR="003F0AD9">
              <w:br/>
            </w:r>
            <w:r w:rsidRPr="006574DF">
              <w:t>et gaz)</w:t>
            </w:r>
          </w:p>
        </w:tc>
        <w:tc>
          <w:tcPr>
            <w:tcW w:w="2576" w:type="dxa"/>
            <w:shd w:val="clear" w:color="auto" w:fill="auto"/>
            <w:vAlign w:val="bottom"/>
            <w:hideMark/>
          </w:tcPr>
          <w:p w:rsidR="00775300" w:rsidRPr="006574DF" w:rsidRDefault="00775300" w:rsidP="003F0AD9">
            <w:pPr>
              <w:spacing w:before="60" w:after="60"/>
              <w:ind w:left="113" w:right="113"/>
            </w:pPr>
            <w:r w:rsidRPr="006574DF">
              <w:rPr>
                <w:b/>
              </w:rPr>
              <w:t>Quantité nette maximale par emballage extérieur</w:t>
            </w:r>
            <w:r w:rsidRPr="006574DF">
              <w:t xml:space="preserve"> (en grammes pour les matières solides et en ml pour les liquides et gaz, </w:t>
            </w:r>
            <w:r w:rsidR="003F0AD9">
              <w:br/>
            </w:r>
            <w:r w:rsidRPr="006574DF">
              <w:t xml:space="preserve">ou somme des grammes </w:t>
            </w:r>
            <w:r w:rsidR="003F0AD9">
              <w:br/>
            </w:r>
            <w:r w:rsidRPr="006574DF">
              <w:t>et ml dans le cas de de l’emballage en commun)</w:t>
            </w:r>
          </w:p>
        </w:tc>
        <w:tc>
          <w:tcPr>
            <w:tcW w:w="964" w:type="dxa"/>
            <w:shd w:val="clear" w:color="auto" w:fill="auto"/>
            <w:noWrap/>
            <w:vAlign w:val="bottom"/>
            <w:hideMark/>
          </w:tcPr>
          <w:p w:rsidR="00775300" w:rsidRPr="006574DF" w:rsidRDefault="00775300" w:rsidP="003F0AD9">
            <w:pPr>
              <w:spacing w:before="60" w:after="60"/>
              <w:ind w:left="113" w:right="113"/>
              <w:rPr>
                <w:b/>
              </w:rPr>
            </w:pPr>
            <w:r w:rsidRPr="006574DF">
              <w:rPr>
                <w:b/>
              </w:rPr>
              <w:t>Code-E</w:t>
            </w:r>
          </w:p>
        </w:tc>
      </w:tr>
      <w:tr w:rsidR="003F0AD9" w:rsidRPr="006574DF" w:rsidTr="003F0AD9">
        <w:trPr>
          <w:trHeight w:hRule="exact" w:val="113"/>
        </w:trPr>
        <w:tc>
          <w:tcPr>
            <w:tcW w:w="1565" w:type="dxa"/>
            <w:tcBorders>
              <w:bottom w:val="nil"/>
            </w:tcBorders>
            <w:shd w:val="clear" w:color="auto" w:fill="auto"/>
            <w:noWrap/>
          </w:tcPr>
          <w:p w:rsidR="006574DF" w:rsidRPr="006574DF" w:rsidRDefault="006574DF" w:rsidP="003F0AD9">
            <w:pPr>
              <w:spacing w:before="60" w:after="60"/>
              <w:ind w:left="113" w:right="113"/>
            </w:pPr>
          </w:p>
        </w:tc>
        <w:tc>
          <w:tcPr>
            <w:tcW w:w="1417" w:type="dxa"/>
            <w:tcBorders>
              <w:bottom w:val="nil"/>
            </w:tcBorders>
            <w:shd w:val="clear" w:color="auto" w:fill="auto"/>
          </w:tcPr>
          <w:p w:rsidR="006574DF" w:rsidRPr="006574DF" w:rsidRDefault="006574DF" w:rsidP="003F0AD9">
            <w:pPr>
              <w:spacing w:before="60" w:after="60"/>
              <w:ind w:left="113" w:right="113"/>
            </w:pPr>
          </w:p>
        </w:tc>
        <w:tc>
          <w:tcPr>
            <w:tcW w:w="3115" w:type="dxa"/>
            <w:tcBorders>
              <w:bottom w:val="nil"/>
            </w:tcBorders>
            <w:shd w:val="clear" w:color="auto" w:fill="auto"/>
          </w:tcPr>
          <w:p w:rsidR="006574DF" w:rsidRPr="006574DF" w:rsidRDefault="006574DF" w:rsidP="003F0AD9">
            <w:pPr>
              <w:spacing w:before="60" w:after="60"/>
              <w:ind w:left="113" w:right="113"/>
            </w:pPr>
          </w:p>
        </w:tc>
        <w:tc>
          <w:tcPr>
            <w:tcW w:w="2576" w:type="dxa"/>
            <w:tcBorders>
              <w:bottom w:val="nil"/>
            </w:tcBorders>
            <w:shd w:val="clear" w:color="auto" w:fill="auto"/>
          </w:tcPr>
          <w:p w:rsidR="006574DF" w:rsidRPr="006574DF" w:rsidRDefault="006574DF" w:rsidP="003F0AD9">
            <w:pPr>
              <w:spacing w:before="60" w:after="60"/>
              <w:ind w:left="113" w:right="113"/>
            </w:pPr>
          </w:p>
        </w:tc>
        <w:tc>
          <w:tcPr>
            <w:tcW w:w="964" w:type="dxa"/>
            <w:tcBorders>
              <w:bottom w:val="nil"/>
            </w:tcBorders>
            <w:shd w:val="clear" w:color="auto" w:fill="auto"/>
            <w:noWrap/>
          </w:tcPr>
          <w:p w:rsidR="006574DF" w:rsidRPr="006574DF" w:rsidRDefault="006574DF" w:rsidP="003F0AD9">
            <w:pPr>
              <w:spacing w:before="60" w:after="60"/>
              <w:ind w:left="113" w:right="113"/>
            </w:pPr>
          </w:p>
        </w:tc>
      </w:tr>
      <w:tr w:rsidR="009F5036" w:rsidRPr="006574DF" w:rsidTr="003F0AD9">
        <w:tc>
          <w:tcPr>
            <w:tcW w:w="1565" w:type="dxa"/>
            <w:tcBorders>
              <w:top w:val="nil"/>
            </w:tcBorders>
            <w:shd w:val="clear" w:color="auto" w:fill="auto"/>
            <w:hideMark/>
          </w:tcPr>
          <w:p w:rsidR="00775300" w:rsidRPr="006574DF" w:rsidRDefault="00775300" w:rsidP="003F0AD9">
            <w:pPr>
              <w:spacing w:before="60" w:after="60"/>
              <w:ind w:left="113" w:right="113"/>
            </w:pPr>
            <w:r w:rsidRPr="006574DF">
              <w:t>1</w:t>
            </w:r>
          </w:p>
        </w:tc>
        <w:tc>
          <w:tcPr>
            <w:tcW w:w="1417" w:type="dxa"/>
            <w:tcBorders>
              <w:top w:val="nil"/>
            </w:tcBorders>
            <w:shd w:val="clear" w:color="auto" w:fill="auto"/>
            <w:noWrap/>
            <w:hideMark/>
          </w:tcPr>
          <w:p w:rsidR="00775300" w:rsidRPr="006574DF" w:rsidRDefault="00775300" w:rsidP="003F0AD9">
            <w:pPr>
              <w:spacing w:before="60" w:after="60"/>
              <w:ind w:left="113" w:right="113"/>
            </w:pPr>
            <w:r w:rsidRPr="006574DF">
              <w:t> </w:t>
            </w:r>
          </w:p>
        </w:tc>
        <w:tc>
          <w:tcPr>
            <w:tcW w:w="5691" w:type="dxa"/>
            <w:gridSpan w:val="2"/>
            <w:tcBorders>
              <w:top w:val="nil"/>
            </w:tcBorders>
            <w:shd w:val="clear" w:color="auto" w:fill="auto"/>
            <w:noWrap/>
            <w:hideMark/>
          </w:tcPr>
          <w:p w:rsidR="00775300" w:rsidRPr="006574DF" w:rsidRDefault="00775300" w:rsidP="003F0AD9">
            <w:pPr>
              <w:spacing w:before="60" w:after="60"/>
              <w:ind w:left="113" w:right="113"/>
              <w:jc w:val="center"/>
            </w:pPr>
            <w:r w:rsidRPr="006574DF">
              <w:t>Non autorisé</w:t>
            </w:r>
          </w:p>
        </w:tc>
        <w:tc>
          <w:tcPr>
            <w:tcW w:w="964" w:type="dxa"/>
            <w:tcBorders>
              <w:top w:val="nil"/>
            </w:tcBorders>
            <w:shd w:val="clear" w:color="auto" w:fill="auto"/>
            <w:noWrap/>
            <w:hideMark/>
          </w:tcPr>
          <w:p w:rsidR="00775300" w:rsidRPr="006574DF" w:rsidRDefault="00775300" w:rsidP="003F0AD9">
            <w:pPr>
              <w:spacing w:before="60" w:after="60"/>
              <w:ind w:left="113" w:right="113"/>
            </w:pPr>
            <w:r w:rsidRPr="006574DF">
              <w:t>E0</w:t>
            </w:r>
          </w:p>
        </w:tc>
      </w:tr>
      <w:tr w:rsidR="003F0AD9" w:rsidRPr="006574DF" w:rsidTr="003F0AD9">
        <w:tc>
          <w:tcPr>
            <w:tcW w:w="1565" w:type="dxa"/>
            <w:shd w:val="clear" w:color="auto" w:fill="auto"/>
            <w:hideMark/>
          </w:tcPr>
          <w:p w:rsidR="00775300" w:rsidRPr="006574DF" w:rsidRDefault="00775300" w:rsidP="003F0AD9">
            <w:pPr>
              <w:spacing w:before="60" w:after="60"/>
              <w:ind w:left="113" w:right="113"/>
            </w:pPr>
            <w:r w:rsidRPr="006574DF">
              <w:t>2.1</w:t>
            </w:r>
          </w:p>
        </w:tc>
        <w:tc>
          <w:tcPr>
            <w:tcW w:w="1417" w:type="dxa"/>
            <w:shd w:val="clear" w:color="auto" w:fill="auto"/>
            <w:noWrap/>
            <w:hideMark/>
          </w:tcPr>
          <w:p w:rsidR="00775300" w:rsidRPr="006574DF" w:rsidRDefault="00775300" w:rsidP="003F0AD9">
            <w:pPr>
              <w:spacing w:before="60" w:after="60"/>
              <w:ind w:left="113" w:right="113"/>
            </w:pPr>
            <w:r w:rsidRPr="006574DF">
              <w:t> </w:t>
            </w:r>
          </w:p>
        </w:tc>
        <w:tc>
          <w:tcPr>
            <w:tcW w:w="5691" w:type="dxa"/>
            <w:gridSpan w:val="2"/>
            <w:shd w:val="clear" w:color="auto" w:fill="auto"/>
            <w:noWrap/>
            <w:hideMark/>
          </w:tcPr>
          <w:p w:rsidR="00775300" w:rsidRPr="006574DF" w:rsidRDefault="00775300" w:rsidP="003F0AD9">
            <w:pPr>
              <w:spacing w:before="60" w:after="60"/>
              <w:ind w:left="113" w:right="113"/>
              <w:jc w:val="center"/>
            </w:pPr>
            <w:r w:rsidRPr="006574DF">
              <w:t>Non autorisé</w:t>
            </w:r>
          </w:p>
        </w:tc>
        <w:tc>
          <w:tcPr>
            <w:tcW w:w="964" w:type="dxa"/>
            <w:shd w:val="clear" w:color="auto" w:fill="auto"/>
            <w:noWrap/>
            <w:hideMark/>
          </w:tcPr>
          <w:p w:rsidR="00775300" w:rsidRPr="006574DF" w:rsidRDefault="00775300" w:rsidP="003F0AD9">
            <w:pPr>
              <w:spacing w:before="60" w:after="60"/>
              <w:ind w:left="113" w:right="113"/>
            </w:pPr>
            <w:r w:rsidRPr="006574DF">
              <w:t>E0</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rPr>
                <w:vertAlign w:val="superscript"/>
              </w:rPr>
            </w:pPr>
            <w:r w:rsidRPr="006574DF">
              <w:t>2.2 sans danger subsidiaire</w:t>
            </w:r>
            <w:r w:rsidRPr="003F0AD9">
              <w:rPr>
                <w:i/>
                <w:vertAlign w:val="superscript"/>
              </w:rPr>
              <w:t>a</w:t>
            </w:r>
          </w:p>
        </w:tc>
        <w:tc>
          <w:tcPr>
            <w:tcW w:w="1417" w:type="dxa"/>
            <w:shd w:val="clear" w:color="auto" w:fill="auto"/>
            <w:noWrap/>
            <w:hideMark/>
          </w:tcPr>
          <w:p w:rsidR="00775300" w:rsidRPr="006574DF" w:rsidRDefault="00775300" w:rsidP="003F0AD9">
            <w:pPr>
              <w:spacing w:before="60" w:after="60"/>
              <w:ind w:left="113" w:right="113"/>
            </w:pPr>
            <w:r w:rsidRPr="006574DF">
              <w:t> </w:t>
            </w:r>
          </w:p>
        </w:tc>
        <w:tc>
          <w:tcPr>
            <w:tcW w:w="3115" w:type="dxa"/>
            <w:shd w:val="clear" w:color="auto" w:fill="auto"/>
            <w:noWrap/>
            <w:hideMark/>
          </w:tcPr>
          <w:p w:rsidR="00775300" w:rsidRPr="006574DF" w:rsidRDefault="00D83A14" w:rsidP="003F0AD9">
            <w:pPr>
              <w:spacing w:before="60" w:after="60"/>
              <w:ind w:left="113" w:right="113"/>
            </w:pPr>
            <w:r>
              <w:t>30 g/</w:t>
            </w:r>
            <w:r w:rsidR="00775300" w:rsidRPr="006574DF">
              <w:t>30 ml</w:t>
            </w:r>
          </w:p>
        </w:tc>
        <w:tc>
          <w:tcPr>
            <w:tcW w:w="2576" w:type="dxa"/>
            <w:shd w:val="clear" w:color="auto" w:fill="auto"/>
            <w:noWrap/>
            <w:hideMark/>
          </w:tcPr>
          <w:p w:rsidR="00775300" w:rsidRPr="006574DF" w:rsidRDefault="00D83A14" w:rsidP="003F0AD9">
            <w:pPr>
              <w:spacing w:before="60" w:after="60"/>
              <w:ind w:left="113" w:right="113"/>
            </w:pPr>
            <w:r>
              <w:t>1</w:t>
            </w:r>
            <w:r w:rsidR="00BD46BD">
              <w:t> </w:t>
            </w:r>
            <w:r>
              <w:t>000 g/</w:t>
            </w:r>
            <w:r w:rsidR="00775300" w:rsidRPr="006574DF">
              <w:t>1</w:t>
            </w:r>
            <w:r w:rsidR="00BD46BD">
              <w:t> </w:t>
            </w:r>
            <w:r w:rsidR="00775300" w:rsidRPr="006574DF">
              <w:t>000 ml</w:t>
            </w:r>
          </w:p>
        </w:tc>
        <w:tc>
          <w:tcPr>
            <w:tcW w:w="964" w:type="dxa"/>
            <w:shd w:val="clear" w:color="auto" w:fill="auto"/>
            <w:noWrap/>
            <w:hideMark/>
          </w:tcPr>
          <w:p w:rsidR="00775300" w:rsidRPr="006574DF" w:rsidRDefault="00775300" w:rsidP="003F0AD9">
            <w:pPr>
              <w:spacing w:before="60" w:after="60"/>
              <w:ind w:left="113" w:right="113"/>
            </w:pPr>
            <w:r w:rsidRPr="006574DF">
              <w:t>E1</w:t>
            </w:r>
          </w:p>
        </w:tc>
      </w:tr>
      <w:tr w:rsidR="003F0AD9" w:rsidRPr="006574DF" w:rsidTr="003F0AD9">
        <w:tc>
          <w:tcPr>
            <w:tcW w:w="1565" w:type="dxa"/>
            <w:shd w:val="clear" w:color="auto" w:fill="auto"/>
            <w:hideMark/>
          </w:tcPr>
          <w:p w:rsidR="00775300" w:rsidRPr="006574DF" w:rsidRDefault="00775300" w:rsidP="003F0AD9">
            <w:pPr>
              <w:spacing w:before="60" w:after="60"/>
              <w:ind w:left="113" w:right="113"/>
            </w:pPr>
            <w:r w:rsidRPr="006574DF">
              <w:t>2.2 avec danger subsidiaire</w:t>
            </w:r>
          </w:p>
        </w:tc>
        <w:tc>
          <w:tcPr>
            <w:tcW w:w="1417" w:type="dxa"/>
            <w:shd w:val="clear" w:color="auto" w:fill="auto"/>
            <w:noWrap/>
            <w:hideMark/>
          </w:tcPr>
          <w:p w:rsidR="00775300" w:rsidRPr="006574DF" w:rsidRDefault="00775300" w:rsidP="003F0AD9">
            <w:pPr>
              <w:spacing w:before="60" w:after="60"/>
              <w:ind w:left="113" w:right="113"/>
            </w:pPr>
            <w:r w:rsidRPr="006574DF">
              <w:t> </w:t>
            </w:r>
          </w:p>
        </w:tc>
        <w:tc>
          <w:tcPr>
            <w:tcW w:w="5691" w:type="dxa"/>
            <w:gridSpan w:val="2"/>
            <w:shd w:val="clear" w:color="auto" w:fill="auto"/>
            <w:noWrap/>
            <w:hideMark/>
          </w:tcPr>
          <w:p w:rsidR="00775300" w:rsidRPr="006574DF" w:rsidRDefault="00775300" w:rsidP="003F0AD9">
            <w:pPr>
              <w:spacing w:before="60" w:after="60"/>
              <w:ind w:left="113" w:right="113"/>
              <w:jc w:val="center"/>
            </w:pPr>
            <w:r w:rsidRPr="006574DF">
              <w:t>Non autorisé</w:t>
            </w:r>
          </w:p>
        </w:tc>
        <w:tc>
          <w:tcPr>
            <w:tcW w:w="964" w:type="dxa"/>
            <w:shd w:val="clear" w:color="auto" w:fill="auto"/>
            <w:noWrap/>
            <w:hideMark/>
          </w:tcPr>
          <w:p w:rsidR="00775300" w:rsidRPr="006574DF" w:rsidRDefault="00775300" w:rsidP="003F0AD9">
            <w:pPr>
              <w:spacing w:before="60" w:after="60"/>
              <w:ind w:left="113" w:right="113"/>
            </w:pPr>
            <w:r w:rsidRPr="006574DF">
              <w:t>E0</w:t>
            </w:r>
          </w:p>
        </w:tc>
      </w:tr>
      <w:tr w:rsidR="003F0AD9" w:rsidRPr="006574DF" w:rsidTr="003F0AD9">
        <w:tc>
          <w:tcPr>
            <w:tcW w:w="1565" w:type="dxa"/>
            <w:shd w:val="clear" w:color="auto" w:fill="auto"/>
            <w:hideMark/>
          </w:tcPr>
          <w:p w:rsidR="00775300" w:rsidRPr="006574DF" w:rsidRDefault="00775300" w:rsidP="003F0AD9">
            <w:pPr>
              <w:spacing w:before="60" w:after="60"/>
              <w:ind w:left="113" w:right="113"/>
            </w:pPr>
            <w:r w:rsidRPr="006574DF">
              <w:lastRenderedPageBreak/>
              <w:t>2.3</w:t>
            </w:r>
          </w:p>
        </w:tc>
        <w:tc>
          <w:tcPr>
            <w:tcW w:w="1417" w:type="dxa"/>
            <w:shd w:val="clear" w:color="auto" w:fill="auto"/>
            <w:noWrap/>
            <w:hideMark/>
          </w:tcPr>
          <w:p w:rsidR="00775300" w:rsidRPr="006574DF" w:rsidRDefault="00775300" w:rsidP="003F0AD9">
            <w:pPr>
              <w:spacing w:before="60" w:after="60"/>
              <w:ind w:left="113" w:right="113"/>
            </w:pPr>
            <w:r w:rsidRPr="006574DF">
              <w:t> </w:t>
            </w:r>
          </w:p>
        </w:tc>
        <w:tc>
          <w:tcPr>
            <w:tcW w:w="5691" w:type="dxa"/>
            <w:gridSpan w:val="2"/>
            <w:shd w:val="clear" w:color="auto" w:fill="auto"/>
            <w:noWrap/>
            <w:hideMark/>
          </w:tcPr>
          <w:p w:rsidR="00775300" w:rsidRPr="006574DF" w:rsidRDefault="00775300" w:rsidP="003F0AD9">
            <w:pPr>
              <w:spacing w:before="60" w:after="60"/>
              <w:ind w:left="113" w:right="113"/>
              <w:jc w:val="center"/>
            </w:pPr>
            <w:r w:rsidRPr="006574DF">
              <w:t>Non autorisé</w:t>
            </w:r>
          </w:p>
        </w:tc>
        <w:tc>
          <w:tcPr>
            <w:tcW w:w="964" w:type="dxa"/>
            <w:shd w:val="clear" w:color="auto" w:fill="auto"/>
            <w:noWrap/>
            <w:hideMark/>
          </w:tcPr>
          <w:p w:rsidR="00775300" w:rsidRPr="006574DF" w:rsidRDefault="00775300" w:rsidP="003F0AD9">
            <w:pPr>
              <w:spacing w:before="60" w:after="60"/>
              <w:ind w:left="113" w:right="113"/>
            </w:pPr>
            <w:r w:rsidRPr="006574DF">
              <w:t>E0</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rPr>
                <w:vertAlign w:val="superscript"/>
              </w:rPr>
            </w:pPr>
            <w:r w:rsidRPr="006574DF">
              <w:t>3 sans danger subsidiaire</w:t>
            </w:r>
            <w:r w:rsidRPr="003F0AD9">
              <w:rPr>
                <w:i/>
                <w:vertAlign w:val="superscript"/>
              </w:rPr>
              <w:t>b</w:t>
            </w:r>
          </w:p>
        </w:tc>
        <w:tc>
          <w:tcPr>
            <w:tcW w:w="1417" w:type="dxa"/>
            <w:shd w:val="clear" w:color="auto" w:fill="auto"/>
            <w:noWrap/>
            <w:hideMark/>
          </w:tcPr>
          <w:p w:rsidR="00775300" w:rsidRPr="006574DF" w:rsidRDefault="00775300" w:rsidP="003F0AD9">
            <w:pPr>
              <w:spacing w:before="60" w:after="60"/>
              <w:ind w:left="113" w:right="113"/>
            </w:pPr>
            <w:r w:rsidRPr="006574DF">
              <w:t>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300 g</w:t>
            </w:r>
            <w:r w:rsidR="0077438B">
              <w:t>/</w:t>
            </w:r>
            <w:r w:rsidRPr="006574DF">
              <w:t xml:space="preserve">300 ml </w:t>
            </w:r>
          </w:p>
        </w:tc>
        <w:tc>
          <w:tcPr>
            <w:tcW w:w="964" w:type="dxa"/>
            <w:shd w:val="clear" w:color="auto" w:fill="auto"/>
            <w:noWrap/>
            <w:hideMark/>
          </w:tcPr>
          <w:p w:rsidR="00775300" w:rsidRPr="006574DF" w:rsidRDefault="00775300" w:rsidP="003F0AD9">
            <w:pPr>
              <w:spacing w:before="60" w:after="60"/>
              <w:ind w:left="113" w:right="113"/>
            </w:pPr>
            <w:r w:rsidRPr="006574DF">
              <w:t>E3</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500 g</w:t>
            </w:r>
            <w:r w:rsidR="0077438B">
              <w:t>/</w:t>
            </w:r>
            <w:r w:rsidRPr="006574DF">
              <w:t>500 ml</w:t>
            </w:r>
          </w:p>
        </w:tc>
        <w:tc>
          <w:tcPr>
            <w:tcW w:w="964" w:type="dxa"/>
            <w:shd w:val="clear" w:color="auto" w:fill="auto"/>
            <w:noWrap/>
            <w:hideMark/>
          </w:tcPr>
          <w:p w:rsidR="00775300" w:rsidRPr="006574DF" w:rsidRDefault="00775300" w:rsidP="003F0AD9">
            <w:pPr>
              <w:spacing w:before="60" w:after="60"/>
              <w:ind w:left="113" w:right="113"/>
            </w:pPr>
            <w:r w:rsidRPr="006574DF">
              <w:t>E2</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1</w:t>
            </w:r>
            <w:r w:rsidR="00BD46BD">
              <w:t> </w:t>
            </w:r>
            <w:r w:rsidRPr="006574DF">
              <w:t>000 g</w:t>
            </w:r>
            <w:r w:rsidR="0077438B">
              <w:t>/</w:t>
            </w:r>
            <w:r w:rsidRPr="006574DF">
              <w:t>1</w:t>
            </w:r>
            <w:r w:rsidR="00BD46BD">
              <w:t> </w:t>
            </w:r>
            <w:r w:rsidRPr="006574DF">
              <w:t>000 ml</w:t>
            </w:r>
          </w:p>
        </w:tc>
        <w:tc>
          <w:tcPr>
            <w:tcW w:w="964" w:type="dxa"/>
            <w:shd w:val="clear" w:color="auto" w:fill="auto"/>
            <w:noWrap/>
            <w:hideMark/>
          </w:tcPr>
          <w:p w:rsidR="00775300" w:rsidRPr="006574DF" w:rsidRDefault="00775300" w:rsidP="003F0AD9">
            <w:pPr>
              <w:spacing w:before="60" w:after="60"/>
              <w:ind w:left="113" w:right="113"/>
            </w:pPr>
            <w:r w:rsidRPr="006574DF">
              <w:t>E1</w:t>
            </w:r>
          </w:p>
        </w:tc>
      </w:tr>
      <w:tr w:rsidR="003F0AD9" w:rsidRPr="006574DF" w:rsidTr="003F0AD9">
        <w:tc>
          <w:tcPr>
            <w:tcW w:w="1565" w:type="dxa"/>
            <w:shd w:val="clear" w:color="auto" w:fill="auto"/>
            <w:hideMark/>
          </w:tcPr>
          <w:p w:rsidR="00775300" w:rsidRPr="006574DF" w:rsidRDefault="00775300" w:rsidP="003F0AD9">
            <w:pPr>
              <w:spacing w:before="60" w:after="60"/>
              <w:ind w:left="113" w:right="113"/>
            </w:pPr>
            <w:r w:rsidRPr="006574DF">
              <w:t>3 avec danger subsidiaire</w:t>
            </w:r>
            <w:r w:rsidRPr="003F0AD9">
              <w:rPr>
                <w:i/>
                <w:vertAlign w:val="superscript"/>
              </w:rPr>
              <w:t>c</w:t>
            </w:r>
          </w:p>
        </w:tc>
        <w:tc>
          <w:tcPr>
            <w:tcW w:w="1417" w:type="dxa"/>
            <w:shd w:val="clear" w:color="auto" w:fill="auto"/>
            <w:noWrap/>
            <w:hideMark/>
          </w:tcPr>
          <w:p w:rsidR="00775300" w:rsidRPr="006574DF" w:rsidRDefault="00775300" w:rsidP="003F0AD9">
            <w:pPr>
              <w:spacing w:before="60" w:after="60"/>
              <w:ind w:left="113" w:right="113"/>
            </w:pPr>
            <w:r w:rsidRPr="006574DF">
              <w:t>I</w:t>
            </w:r>
          </w:p>
        </w:tc>
        <w:tc>
          <w:tcPr>
            <w:tcW w:w="5691" w:type="dxa"/>
            <w:gridSpan w:val="2"/>
            <w:shd w:val="clear" w:color="auto" w:fill="auto"/>
            <w:noWrap/>
            <w:hideMark/>
          </w:tcPr>
          <w:p w:rsidR="00775300" w:rsidRPr="006574DF" w:rsidRDefault="00775300" w:rsidP="003F0AD9">
            <w:pPr>
              <w:spacing w:before="60" w:after="60"/>
              <w:ind w:left="113" w:right="113"/>
              <w:jc w:val="center"/>
            </w:pPr>
            <w:r w:rsidRPr="006574DF">
              <w:t>Non autorisé</w:t>
            </w:r>
          </w:p>
        </w:tc>
        <w:tc>
          <w:tcPr>
            <w:tcW w:w="964" w:type="dxa"/>
            <w:shd w:val="clear" w:color="auto" w:fill="auto"/>
            <w:noWrap/>
            <w:hideMark/>
          </w:tcPr>
          <w:p w:rsidR="00775300" w:rsidRPr="006574DF" w:rsidRDefault="00775300" w:rsidP="003F0AD9">
            <w:pPr>
              <w:spacing w:before="60" w:after="60"/>
              <w:ind w:left="113" w:right="113"/>
            </w:pPr>
            <w:r w:rsidRPr="006574DF">
              <w:t>E0</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500 g</w:t>
            </w:r>
            <w:r w:rsidR="0077438B">
              <w:t>/</w:t>
            </w:r>
            <w:r w:rsidRPr="006574DF">
              <w:t>500 ml</w:t>
            </w:r>
          </w:p>
        </w:tc>
        <w:tc>
          <w:tcPr>
            <w:tcW w:w="964" w:type="dxa"/>
            <w:shd w:val="clear" w:color="auto" w:fill="auto"/>
            <w:noWrap/>
            <w:hideMark/>
          </w:tcPr>
          <w:p w:rsidR="00775300" w:rsidRPr="006574DF" w:rsidRDefault="00775300" w:rsidP="003F0AD9">
            <w:pPr>
              <w:spacing w:before="60" w:after="60"/>
              <w:ind w:left="113" w:right="113"/>
            </w:pPr>
            <w:r w:rsidRPr="006574DF">
              <w:t>E2</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1</w:t>
            </w:r>
            <w:r w:rsidR="00BD46BD">
              <w:t> </w:t>
            </w:r>
            <w:r w:rsidRPr="006574DF">
              <w:t>000 g</w:t>
            </w:r>
            <w:r w:rsidR="0077438B">
              <w:t>/</w:t>
            </w:r>
            <w:r w:rsidRPr="006574DF">
              <w:t>1</w:t>
            </w:r>
            <w:r w:rsidR="00BD46BD">
              <w:t> </w:t>
            </w:r>
            <w:r w:rsidRPr="006574DF">
              <w:t>000 ml</w:t>
            </w:r>
          </w:p>
        </w:tc>
        <w:tc>
          <w:tcPr>
            <w:tcW w:w="964" w:type="dxa"/>
            <w:shd w:val="clear" w:color="auto" w:fill="auto"/>
            <w:noWrap/>
            <w:hideMark/>
          </w:tcPr>
          <w:p w:rsidR="00775300" w:rsidRPr="006574DF" w:rsidRDefault="00775300" w:rsidP="003F0AD9">
            <w:pPr>
              <w:spacing w:before="60" w:after="60"/>
              <w:ind w:left="113" w:right="113"/>
            </w:pPr>
            <w:r w:rsidRPr="006574DF">
              <w:t>E1</w:t>
            </w:r>
          </w:p>
        </w:tc>
      </w:tr>
      <w:tr w:rsidR="003F0AD9" w:rsidRPr="006574DF" w:rsidTr="003F0AD9">
        <w:tc>
          <w:tcPr>
            <w:tcW w:w="1565" w:type="dxa"/>
            <w:shd w:val="clear" w:color="auto" w:fill="auto"/>
            <w:hideMark/>
          </w:tcPr>
          <w:p w:rsidR="00775300" w:rsidRPr="006574DF" w:rsidRDefault="00775300" w:rsidP="003F0AD9">
            <w:pPr>
              <w:spacing w:before="60" w:after="60"/>
              <w:ind w:left="113" w:right="113"/>
              <w:rPr>
                <w:vertAlign w:val="superscript"/>
              </w:rPr>
            </w:pPr>
            <w:r w:rsidRPr="006574DF">
              <w:t>4.1</w:t>
            </w:r>
            <w:r w:rsidRPr="003F0AD9">
              <w:rPr>
                <w:i/>
                <w:vertAlign w:val="superscript"/>
              </w:rPr>
              <w:t>d</w:t>
            </w:r>
          </w:p>
        </w:tc>
        <w:tc>
          <w:tcPr>
            <w:tcW w:w="1417" w:type="dxa"/>
            <w:shd w:val="clear" w:color="auto" w:fill="auto"/>
            <w:noWrap/>
            <w:hideMark/>
          </w:tcPr>
          <w:p w:rsidR="00775300" w:rsidRPr="006574DF" w:rsidRDefault="00775300" w:rsidP="003F0AD9">
            <w:pPr>
              <w:spacing w:before="60" w:after="60"/>
              <w:ind w:left="113" w:right="113"/>
            </w:pPr>
            <w:r w:rsidRPr="006574DF">
              <w:t>I</w:t>
            </w:r>
          </w:p>
        </w:tc>
        <w:tc>
          <w:tcPr>
            <w:tcW w:w="5691" w:type="dxa"/>
            <w:gridSpan w:val="2"/>
            <w:shd w:val="clear" w:color="auto" w:fill="auto"/>
            <w:noWrap/>
            <w:hideMark/>
          </w:tcPr>
          <w:p w:rsidR="00775300" w:rsidRPr="006574DF" w:rsidRDefault="00775300" w:rsidP="00BD46BD">
            <w:pPr>
              <w:spacing w:before="60" w:after="60"/>
              <w:ind w:left="113" w:right="113"/>
              <w:jc w:val="center"/>
            </w:pPr>
            <w:r w:rsidRPr="006574DF">
              <w:t>Non autorisé</w:t>
            </w:r>
          </w:p>
        </w:tc>
        <w:tc>
          <w:tcPr>
            <w:tcW w:w="964" w:type="dxa"/>
            <w:shd w:val="clear" w:color="auto" w:fill="auto"/>
            <w:noWrap/>
            <w:hideMark/>
          </w:tcPr>
          <w:p w:rsidR="00775300" w:rsidRPr="006574DF" w:rsidRDefault="00775300" w:rsidP="003F0AD9">
            <w:pPr>
              <w:spacing w:before="60" w:after="60"/>
              <w:ind w:left="113" w:right="113"/>
            </w:pPr>
            <w:r w:rsidRPr="006574DF">
              <w:t>E0</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500 g</w:t>
            </w:r>
            <w:r w:rsidR="0077438B">
              <w:t>/</w:t>
            </w:r>
            <w:r w:rsidRPr="006574DF">
              <w:t>500 ml</w:t>
            </w:r>
          </w:p>
        </w:tc>
        <w:tc>
          <w:tcPr>
            <w:tcW w:w="964" w:type="dxa"/>
            <w:shd w:val="clear" w:color="auto" w:fill="auto"/>
            <w:noWrap/>
            <w:hideMark/>
          </w:tcPr>
          <w:p w:rsidR="00775300" w:rsidRPr="006574DF" w:rsidRDefault="00775300" w:rsidP="003F0AD9">
            <w:pPr>
              <w:spacing w:before="60" w:after="60"/>
              <w:ind w:left="113" w:right="113"/>
            </w:pPr>
            <w:r w:rsidRPr="006574DF">
              <w:t>E2</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1</w:t>
            </w:r>
            <w:r w:rsidR="00BD46BD">
              <w:t> </w:t>
            </w:r>
            <w:r w:rsidRPr="006574DF">
              <w:t>000 g</w:t>
            </w:r>
            <w:r w:rsidR="0077438B">
              <w:t>/</w:t>
            </w:r>
            <w:r w:rsidRPr="006574DF">
              <w:t>1</w:t>
            </w:r>
            <w:r w:rsidR="00BD46BD">
              <w:t> </w:t>
            </w:r>
            <w:r w:rsidRPr="006574DF">
              <w:t>000 ml</w:t>
            </w:r>
          </w:p>
        </w:tc>
        <w:tc>
          <w:tcPr>
            <w:tcW w:w="964" w:type="dxa"/>
            <w:shd w:val="clear" w:color="auto" w:fill="auto"/>
            <w:noWrap/>
            <w:hideMark/>
          </w:tcPr>
          <w:p w:rsidR="00775300" w:rsidRPr="006574DF" w:rsidRDefault="00775300" w:rsidP="003F0AD9">
            <w:pPr>
              <w:spacing w:before="60" w:after="60"/>
              <w:ind w:left="113" w:right="113"/>
            </w:pPr>
            <w:r w:rsidRPr="006574DF">
              <w:t>E1</w:t>
            </w:r>
          </w:p>
        </w:tc>
      </w:tr>
      <w:tr w:rsidR="003F0AD9" w:rsidRPr="006574DF" w:rsidTr="003F0AD9">
        <w:tc>
          <w:tcPr>
            <w:tcW w:w="1565" w:type="dxa"/>
            <w:shd w:val="clear" w:color="auto" w:fill="auto"/>
            <w:hideMark/>
          </w:tcPr>
          <w:p w:rsidR="00775300" w:rsidRPr="006574DF" w:rsidRDefault="00775300" w:rsidP="003F0AD9">
            <w:pPr>
              <w:spacing w:before="60" w:after="60"/>
              <w:ind w:left="113" w:right="113"/>
            </w:pPr>
            <w:r w:rsidRPr="006574DF">
              <w:t>4.2</w:t>
            </w:r>
          </w:p>
        </w:tc>
        <w:tc>
          <w:tcPr>
            <w:tcW w:w="1417" w:type="dxa"/>
            <w:shd w:val="clear" w:color="auto" w:fill="auto"/>
            <w:noWrap/>
            <w:hideMark/>
          </w:tcPr>
          <w:p w:rsidR="00775300" w:rsidRPr="006574DF" w:rsidRDefault="00775300" w:rsidP="003F0AD9">
            <w:pPr>
              <w:spacing w:before="60" w:after="60"/>
              <w:ind w:left="113" w:right="113"/>
            </w:pPr>
            <w:r w:rsidRPr="006574DF">
              <w:t>I</w:t>
            </w:r>
          </w:p>
        </w:tc>
        <w:tc>
          <w:tcPr>
            <w:tcW w:w="5691" w:type="dxa"/>
            <w:gridSpan w:val="2"/>
            <w:shd w:val="clear" w:color="auto" w:fill="auto"/>
            <w:noWrap/>
            <w:hideMark/>
          </w:tcPr>
          <w:p w:rsidR="00775300" w:rsidRPr="006574DF" w:rsidRDefault="00775300" w:rsidP="00BD46BD">
            <w:pPr>
              <w:spacing w:before="60" w:after="60"/>
              <w:ind w:left="113" w:right="113"/>
              <w:jc w:val="center"/>
            </w:pPr>
            <w:r w:rsidRPr="006574DF">
              <w:t>Non autorisé</w:t>
            </w:r>
          </w:p>
        </w:tc>
        <w:tc>
          <w:tcPr>
            <w:tcW w:w="964" w:type="dxa"/>
            <w:shd w:val="clear" w:color="auto" w:fill="auto"/>
            <w:noWrap/>
            <w:hideMark/>
          </w:tcPr>
          <w:p w:rsidR="00775300" w:rsidRPr="006574DF" w:rsidRDefault="00775300" w:rsidP="003F0AD9">
            <w:pPr>
              <w:spacing w:before="60" w:after="60"/>
              <w:ind w:left="113" w:right="113"/>
            </w:pPr>
            <w:r w:rsidRPr="006574DF">
              <w:t>E0</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500 g</w:t>
            </w:r>
            <w:r w:rsidR="0077438B">
              <w:t>/</w:t>
            </w:r>
            <w:r w:rsidRPr="006574DF">
              <w:t>500 ml</w:t>
            </w:r>
          </w:p>
        </w:tc>
        <w:tc>
          <w:tcPr>
            <w:tcW w:w="964" w:type="dxa"/>
            <w:shd w:val="clear" w:color="auto" w:fill="auto"/>
            <w:noWrap/>
            <w:hideMark/>
          </w:tcPr>
          <w:p w:rsidR="00775300" w:rsidRPr="006574DF" w:rsidRDefault="00775300" w:rsidP="003F0AD9">
            <w:pPr>
              <w:spacing w:before="60" w:after="60"/>
              <w:ind w:left="113" w:right="113"/>
            </w:pPr>
            <w:r w:rsidRPr="006574DF">
              <w:t>E2</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1</w:t>
            </w:r>
            <w:r w:rsidR="00311347">
              <w:t> </w:t>
            </w:r>
            <w:r w:rsidRPr="006574DF">
              <w:t>000 g</w:t>
            </w:r>
            <w:r w:rsidR="0077438B">
              <w:t>/</w:t>
            </w:r>
            <w:r w:rsidRPr="006574DF">
              <w:t>1</w:t>
            </w:r>
            <w:r w:rsidR="00311347">
              <w:t> </w:t>
            </w:r>
            <w:r w:rsidRPr="006574DF">
              <w:t>000 ml</w:t>
            </w:r>
          </w:p>
        </w:tc>
        <w:tc>
          <w:tcPr>
            <w:tcW w:w="964" w:type="dxa"/>
            <w:shd w:val="clear" w:color="auto" w:fill="auto"/>
            <w:noWrap/>
            <w:hideMark/>
          </w:tcPr>
          <w:p w:rsidR="00775300" w:rsidRPr="006574DF" w:rsidRDefault="00775300" w:rsidP="003F0AD9">
            <w:pPr>
              <w:spacing w:before="60" w:after="60"/>
              <w:ind w:left="113" w:right="113"/>
            </w:pPr>
            <w:r w:rsidRPr="006574DF">
              <w:t>E1</w:t>
            </w:r>
          </w:p>
        </w:tc>
      </w:tr>
      <w:tr w:rsidR="003F0AD9" w:rsidRPr="006574DF" w:rsidTr="003F0AD9">
        <w:tc>
          <w:tcPr>
            <w:tcW w:w="1565" w:type="dxa"/>
            <w:shd w:val="clear" w:color="auto" w:fill="auto"/>
            <w:hideMark/>
          </w:tcPr>
          <w:p w:rsidR="00775300" w:rsidRPr="006574DF" w:rsidRDefault="00775300" w:rsidP="003F0AD9">
            <w:pPr>
              <w:spacing w:before="60" w:after="60"/>
              <w:ind w:left="113" w:right="113"/>
            </w:pPr>
            <w:r w:rsidRPr="006574DF">
              <w:t>4.3</w:t>
            </w:r>
          </w:p>
        </w:tc>
        <w:tc>
          <w:tcPr>
            <w:tcW w:w="1417" w:type="dxa"/>
            <w:shd w:val="clear" w:color="auto" w:fill="auto"/>
            <w:noWrap/>
            <w:hideMark/>
          </w:tcPr>
          <w:p w:rsidR="00775300" w:rsidRPr="006574DF" w:rsidRDefault="00775300" w:rsidP="003F0AD9">
            <w:pPr>
              <w:spacing w:before="60" w:after="60"/>
              <w:ind w:left="113" w:right="113"/>
            </w:pPr>
            <w:r w:rsidRPr="006574DF">
              <w:t>I</w:t>
            </w:r>
          </w:p>
        </w:tc>
        <w:tc>
          <w:tcPr>
            <w:tcW w:w="5691" w:type="dxa"/>
            <w:gridSpan w:val="2"/>
            <w:shd w:val="clear" w:color="auto" w:fill="auto"/>
            <w:noWrap/>
            <w:hideMark/>
          </w:tcPr>
          <w:p w:rsidR="00775300" w:rsidRPr="006574DF" w:rsidRDefault="00775300" w:rsidP="003E2A2C">
            <w:pPr>
              <w:spacing w:before="60" w:after="60"/>
              <w:ind w:left="113" w:right="113"/>
              <w:jc w:val="center"/>
            </w:pPr>
            <w:r w:rsidRPr="006574DF">
              <w:t>Non autorisé</w:t>
            </w:r>
          </w:p>
        </w:tc>
        <w:tc>
          <w:tcPr>
            <w:tcW w:w="964" w:type="dxa"/>
            <w:shd w:val="clear" w:color="auto" w:fill="auto"/>
            <w:noWrap/>
            <w:hideMark/>
          </w:tcPr>
          <w:p w:rsidR="00775300" w:rsidRPr="006574DF" w:rsidRDefault="00775300" w:rsidP="003F0AD9">
            <w:pPr>
              <w:spacing w:before="60" w:after="60"/>
              <w:ind w:left="113" w:right="113"/>
            </w:pPr>
            <w:r w:rsidRPr="006574DF">
              <w:t>E0</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500 g</w:t>
            </w:r>
            <w:r w:rsidR="0077438B">
              <w:t>/</w:t>
            </w:r>
            <w:r w:rsidRPr="006574DF">
              <w:t>500 ml</w:t>
            </w:r>
          </w:p>
        </w:tc>
        <w:tc>
          <w:tcPr>
            <w:tcW w:w="964" w:type="dxa"/>
            <w:shd w:val="clear" w:color="auto" w:fill="auto"/>
            <w:noWrap/>
            <w:hideMark/>
          </w:tcPr>
          <w:p w:rsidR="00775300" w:rsidRPr="006574DF" w:rsidRDefault="00775300" w:rsidP="003F0AD9">
            <w:pPr>
              <w:spacing w:before="60" w:after="60"/>
              <w:ind w:left="113" w:right="113"/>
            </w:pPr>
            <w:r w:rsidRPr="006574DF">
              <w:t>E2</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1</w:t>
            </w:r>
            <w:r w:rsidR="00680C3F">
              <w:t> </w:t>
            </w:r>
            <w:r w:rsidRPr="006574DF">
              <w:t>000 g</w:t>
            </w:r>
            <w:r w:rsidR="0077438B">
              <w:t>/</w:t>
            </w:r>
            <w:r w:rsidRPr="006574DF">
              <w:t>1</w:t>
            </w:r>
            <w:r w:rsidR="00680C3F">
              <w:t> </w:t>
            </w:r>
            <w:r w:rsidRPr="006574DF">
              <w:t>000 ml</w:t>
            </w:r>
          </w:p>
        </w:tc>
        <w:tc>
          <w:tcPr>
            <w:tcW w:w="964" w:type="dxa"/>
            <w:shd w:val="clear" w:color="auto" w:fill="auto"/>
            <w:noWrap/>
            <w:hideMark/>
          </w:tcPr>
          <w:p w:rsidR="00775300" w:rsidRPr="006574DF" w:rsidRDefault="00775300" w:rsidP="003F0AD9">
            <w:pPr>
              <w:spacing w:before="60" w:after="60"/>
              <w:ind w:left="113" w:right="113"/>
            </w:pPr>
            <w:r w:rsidRPr="006574DF">
              <w:t>E1</w:t>
            </w:r>
          </w:p>
        </w:tc>
      </w:tr>
      <w:tr w:rsidR="003F0AD9" w:rsidRPr="006574DF" w:rsidTr="003F0AD9">
        <w:tc>
          <w:tcPr>
            <w:tcW w:w="1565" w:type="dxa"/>
            <w:shd w:val="clear" w:color="auto" w:fill="auto"/>
            <w:hideMark/>
          </w:tcPr>
          <w:p w:rsidR="00775300" w:rsidRPr="006574DF" w:rsidRDefault="00775300" w:rsidP="003F0AD9">
            <w:pPr>
              <w:spacing w:before="60" w:after="60"/>
              <w:ind w:left="113" w:right="113"/>
            </w:pPr>
            <w:r w:rsidRPr="006574DF">
              <w:t>5.1</w:t>
            </w:r>
          </w:p>
        </w:tc>
        <w:tc>
          <w:tcPr>
            <w:tcW w:w="1417" w:type="dxa"/>
            <w:shd w:val="clear" w:color="auto" w:fill="auto"/>
            <w:noWrap/>
            <w:hideMark/>
          </w:tcPr>
          <w:p w:rsidR="00775300" w:rsidRPr="006574DF" w:rsidRDefault="00775300" w:rsidP="003F0AD9">
            <w:pPr>
              <w:spacing w:before="60" w:after="60"/>
              <w:ind w:left="113" w:right="113"/>
            </w:pPr>
            <w:r w:rsidRPr="006574DF">
              <w:t>I</w:t>
            </w:r>
          </w:p>
        </w:tc>
        <w:tc>
          <w:tcPr>
            <w:tcW w:w="5691" w:type="dxa"/>
            <w:gridSpan w:val="2"/>
            <w:shd w:val="clear" w:color="auto" w:fill="auto"/>
            <w:noWrap/>
            <w:hideMark/>
          </w:tcPr>
          <w:p w:rsidR="00775300" w:rsidRPr="006574DF" w:rsidRDefault="00775300" w:rsidP="00680C3F">
            <w:pPr>
              <w:spacing w:before="60" w:after="60"/>
              <w:ind w:left="113" w:right="113"/>
              <w:jc w:val="center"/>
            </w:pPr>
            <w:r w:rsidRPr="006574DF">
              <w:t>Non autorisé</w:t>
            </w:r>
          </w:p>
        </w:tc>
        <w:tc>
          <w:tcPr>
            <w:tcW w:w="964" w:type="dxa"/>
            <w:shd w:val="clear" w:color="auto" w:fill="auto"/>
            <w:noWrap/>
            <w:hideMark/>
          </w:tcPr>
          <w:p w:rsidR="00775300" w:rsidRPr="006574DF" w:rsidRDefault="00775300" w:rsidP="003F0AD9">
            <w:pPr>
              <w:spacing w:before="60" w:after="60"/>
              <w:ind w:left="113" w:right="113"/>
            </w:pPr>
            <w:r w:rsidRPr="006574DF">
              <w:t>E0</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500 g</w:t>
            </w:r>
            <w:r w:rsidR="0077438B">
              <w:t>/</w:t>
            </w:r>
            <w:r w:rsidRPr="006574DF">
              <w:t>500 ml</w:t>
            </w:r>
          </w:p>
        </w:tc>
        <w:tc>
          <w:tcPr>
            <w:tcW w:w="964" w:type="dxa"/>
            <w:shd w:val="clear" w:color="auto" w:fill="auto"/>
            <w:noWrap/>
            <w:hideMark/>
          </w:tcPr>
          <w:p w:rsidR="00775300" w:rsidRPr="006574DF" w:rsidRDefault="00775300" w:rsidP="003F0AD9">
            <w:pPr>
              <w:spacing w:before="60" w:after="60"/>
              <w:ind w:left="113" w:right="113"/>
            </w:pPr>
            <w:r w:rsidRPr="006574DF">
              <w:t>E2</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CB771D">
            <w:pPr>
              <w:spacing w:before="60" w:after="60"/>
              <w:ind w:left="113" w:right="113"/>
            </w:pPr>
            <w:r w:rsidRPr="006574DF">
              <w:t>1</w:t>
            </w:r>
            <w:r w:rsidR="00CB771D">
              <w:t> </w:t>
            </w:r>
            <w:r w:rsidRPr="006574DF">
              <w:t>000 g</w:t>
            </w:r>
            <w:r w:rsidR="0077438B">
              <w:t>/</w:t>
            </w:r>
            <w:r w:rsidRPr="006574DF">
              <w:t>1</w:t>
            </w:r>
            <w:r w:rsidR="00CB771D">
              <w:t> </w:t>
            </w:r>
            <w:r w:rsidRPr="006574DF">
              <w:t>000 ml</w:t>
            </w:r>
          </w:p>
        </w:tc>
        <w:tc>
          <w:tcPr>
            <w:tcW w:w="964" w:type="dxa"/>
            <w:shd w:val="clear" w:color="auto" w:fill="auto"/>
            <w:noWrap/>
            <w:hideMark/>
          </w:tcPr>
          <w:p w:rsidR="00775300" w:rsidRPr="006574DF" w:rsidRDefault="00775300" w:rsidP="003F0AD9">
            <w:pPr>
              <w:spacing w:before="60" w:after="60"/>
              <w:ind w:left="113" w:right="113"/>
            </w:pPr>
            <w:r w:rsidRPr="006574DF">
              <w:t>E1</w:t>
            </w:r>
          </w:p>
        </w:tc>
      </w:tr>
      <w:tr w:rsidR="003F0AD9" w:rsidRPr="006574DF" w:rsidTr="003F0AD9">
        <w:tc>
          <w:tcPr>
            <w:tcW w:w="1565" w:type="dxa"/>
            <w:shd w:val="clear" w:color="auto" w:fill="auto"/>
            <w:hideMark/>
          </w:tcPr>
          <w:p w:rsidR="00775300" w:rsidRPr="006574DF" w:rsidRDefault="00775300" w:rsidP="003F0AD9">
            <w:pPr>
              <w:spacing w:before="60" w:after="60"/>
              <w:ind w:left="113" w:right="113"/>
              <w:rPr>
                <w:vertAlign w:val="superscript"/>
              </w:rPr>
            </w:pPr>
            <w:r w:rsidRPr="006574DF">
              <w:t>5.2</w:t>
            </w:r>
            <w:r w:rsidRPr="003F0AD9">
              <w:rPr>
                <w:i/>
                <w:vertAlign w:val="superscript"/>
              </w:rPr>
              <w:t>e</w:t>
            </w:r>
          </w:p>
        </w:tc>
        <w:tc>
          <w:tcPr>
            <w:tcW w:w="1417" w:type="dxa"/>
            <w:shd w:val="clear" w:color="auto" w:fill="auto"/>
            <w:noWrap/>
            <w:hideMark/>
          </w:tcPr>
          <w:p w:rsidR="00775300" w:rsidRPr="006574DF" w:rsidRDefault="00775300" w:rsidP="003F0AD9">
            <w:pPr>
              <w:spacing w:before="60" w:after="60"/>
              <w:ind w:left="113" w:right="113"/>
            </w:pPr>
            <w:r w:rsidRPr="006574DF">
              <w:t> </w:t>
            </w:r>
          </w:p>
        </w:tc>
        <w:tc>
          <w:tcPr>
            <w:tcW w:w="5691" w:type="dxa"/>
            <w:gridSpan w:val="2"/>
            <w:shd w:val="clear" w:color="auto" w:fill="auto"/>
            <w:noWrap/>
            <w:hideMark/>
          </w:tcPr>
          <w:p w:rsidR="00775300" w:rsidRPr="006574DF" w:rsidRDefault="00775300" w:rsidP="003F0AD9">
            <w:pPr>
              <w:spacing w:before="60" w:after="60"/>
              <w:ind w:left="113" w:right="113"/>
              <w:jc w:val="center"/>
            </w:pPr>
            <w:r w:rsidRPr="006574DF">
              <w:t>Non autorisé</w:t>
            </w:r>
          </w:p>
        </w:tc>
        <w:tc>
          <w:tcPr>
            <w:tcW w:w="964" w:type="dxa"/>
            <w:shd w:val="clear" w:color="auto" w:fill="auto"/>
            <w:noWrap/>
            <w:hideMark/>
          </w:tcPr>
          <w:p w:rsidR="00775300" w:rsidRPr="006574DF" w:rsidRDefault="00775300" w:rsidP="003F0AD9">
            <w:pPr>
              <w:spacing w:before="60" w:after="60"/>
              <w:ind w:left="113" w:right="113"/>
            </w:pPr>
            <w:r w:rsidRPr="006574DF">
              <w:t>E0</w:t>
            </w:r>
          </w:p>
        </w:tc>
      </w:tr>
      <w:tr w:rsidR="003F0AD9" w:rsidRPr="006574DF" w:rsidTr="003F0AD9">
        <w:tc>
          <w:tcPr>
            <w:tcW w:w="1565" w:type="dxa"/>
            <w:shd w:val="clear" w:color="auto" w:fill="auto"/>
            <w:hideMark/>
          </w:tcPr>
          <w:p w:rsidR="00775300" w:rsidRPr="006574DF" w:rsidRDefault="00775300" w:rsidP="003F0AD9">
            <w:pPr>
              <w:spacing w:before="60" w:after="60"/>
              <w:ind w:left="113" w:right="113"/>
            </w:pPr>
            <w:r w:rsidRPr="006574DF">
              <w:t>6.1 matières toxiques par inhalation</w:t>
            </w:r>
            <w:r w:rsidRPr="003F0AD9">
              <w:rPr>
                <w:i/>
                <w:vertAlign w:val="superscript"/>
              </w:rPr>
              <w:t>k</w:t>
            </w:r>
          </w:p>
        </w:tc>
        <w:tc>
          <w:tcPr>
            <w:tcW w:w="1417" w:type="dxa"/>
            <w:shd w:val="clear" w:color="auto" w:fill="auto"/>
            <w:noWrap/>
            <w:hideMark/>
          </w:tcPr>
          <w:p w:rsidR="00775300" w:rsidRPr="006574DF" w:rsidRDefault="00775300" w:rsidP="003F0AD9">
            <w:pPr>
              <w:spacing w:before="60" w:after="60"/>
              <w:ind w:left="113" w:right="113"/>
            </w:pPr>
            <w:r w:rsidRPr="006574DF">
              <w:t>I</w:t>
            </w:r>
          </w:p>
        </w:tc>
        <w:tc>
          <w:tcPr>
            <w:tcW w:w="5691" w:type="dxa"/>
            <w:gridSpan w:val="2"/>
            <w:shd w:val="clear" w:color="auto" w:fill="auto"/>
            <w:noWrap/>
            <w:hideMark/>
          </w:tcPr>
          <w:p w:rsidR="00775300" w:rsidRPr="006574DF" w:rsidRDefault="00775300" w:rsidP="003F0AD9">
            <w:pPr>
              <w:spacing w:before="60" w:after="60"/>
              <w:ind w:left="113" w:right="113"/>
              <w:jc w:val="center"/>
            </w:pPr>
            <w:r w:rsidRPr="006574DF">
              <w:t>Non autorisé</w:t>
            </w:r>
          </w:p>
        </w:tc>
        <w:tc>
          <w:tcPr>
            <w:tcW w:w="964" w:type="dxa"/>
            <w:shd w:val="clear" w:color="auto" w:fill="auto"/>
            <w:noWrap/>
            <w:hideMark/>
          </w:tcPr>
          <w:p w:rsidR="00775300" w:rsidRPr="006574DF" w:rsidRDefault="00775300" w:rsidP="003F0AD9">
            <w:pPr>
              <w:spacing w:before="60" w:after="60"/>
              <w:ind w:left="113" w:right="113"/>
            </w:pPr>
            <w:r w:rsidRPr="006574DF">
              <w:t>E0</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6.1</w:t>
            </w:r>
            <w:r w:rsidRPr="003F0AD9">
              <w:rPr>
                <w:i/>
                <w:vertAlign w:val="superscript"/>
              </w:rPr>
              <w:t>f</w:t>
            </w:r>
            <w:r w:rsidRPr="006574DF">
              <w:rPr>
                <w:vertAlign w:val="superscript"/>
              </w:rPr>
              <w:t>,</w:t>
            </w:r>
            <w:r w:rsidR="003F0AD9">
              <w:rPr>
                <w:vertAlign w:val="superscript"/>
              </w:rPr>
              <w:t xml:space="preserve"> </w:t>
            </w:r>
            <w:r w:rsidRPr="003F0AD9">
              <w:rPr>
                <w:i/>
                <w:vertAlign w:val="superscript"/>
              </w:rPr>
              <w:t>g</w:t>
            </w:r>
          </w:p>
        </w:tc>
        <w:tc>
          <w:tcPr>
            <w:tcW w:w="1417" w:type="dxa"/>
            <w:shd w:val="clear" w:color="auto" w:fill="auto"/>
            <w:noWrap/>
            <w:hideMark/>
          </w:tcPr>
          <w:p w:rsidR="00775300" w:rsidRPr="006574DF" w:rsidRDefault="00775300" w:rsidP="003F0AD9">
            <w:pPr>
              <w:spacing w:before="60" w:after="60"/>
              <w:ind w:left="113" w:right="113"/>
            </w:pPr>
            <w:r w:rsidRPr="006574DF">
              <w:t>I</w:t>
            </w:r>
          </w:p>
        </w:tc>
        <w:tc>
          <w:tcPr>
            <w:tcW w:w="3115" w:type="dxa"/>
            <w:shd w:val="clear" w:color="auto" w:fill="auto"/>
            <w:noWrap/>
            <w:hideMark/>
          </w:tcPr>
          <w:p w:rsidR="00775300" w:rsidRPr="006574DF" w:rsidRDefault="00775300" w:rsidP="003F0AD9">
            <w:pPr>
              <w:spacing w:before="60" w:after="60"/>
              <w:ind w:left="113" w:right="113"/>
            </w:pPr>
            <w:r w:rsidRPr="006574DF">
              <w:t>1 g</w:t>
            </w:r>
            <w:r w:rsidR="0077438B">
              <w:t>/</w:t>
            </w:r>
            <w:r w:rsidRPr="006574DF">
              <w:t>1 ml</w:t>
            </w:r>
          </w:p>
        </w:tc>
        <w:tc>
          <w:tcPr>
            <w:tcW w:w="2576" w:type="dxa"/>
            <w:shd w:val="clear" w:color="auto" w:fill="auto"/>
            <w:noWrap/>
            <w:hideMark/>
          </w:tcPr>
          <w:p w:rsidR="00775300" w:rsidRPr="006574DF" w:rsidRDefault="00775300" w:rsidP="003F0AD9">
            <w:pPr>
              <w:spacing w:before="60" w:after="60"/>
              <w:ind w:left="113" w:right="113"/>
            </w:pPr>
            <w:r w:rsidRPr="006574DF">
              <w:t>300 g</w:t>
            </w:r>
            <w:r w:rsidR="0077438B">
              <w:t>/</w:t>
            </w:r>
            <w:r w:rsidRPr="006574DF">
              <w:t>300 ml</w:t>
            </w:r>
          </w:p>
        </w:tc>
        <w:tc>
          <w:tcPr>
            <w:tcW w:w="964" w:type="dxa"/>
            <w:shd w:val="clear" w:color="auto" w:fill="auto"/>
            <w:noWrap/>
            <w:hideMark/>
          </w:tcPr>
          <w:p w:rsidR="00775300" w:rsidRPr="006574DF" w:rsidRDefault="00775300" w:rsidP="003F0AD9">
            <w:pPr>
              <w:spacing w:before="60" w:after="60"/>
              <w:ind w:left="113" w:right="113"/>
            </w:pPr>
            <w:r w:rsidRPr="006574DF">
              <w:t>E5</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w:t>
            </w:r>
          </w:p>
        </w:tc>
        <w:tc>
          <w:tcPr>
            <w:tcW w:w="3115" w:type="dxa"/>
            <w:shd w:val="clear" w:color="auto" w:fill="auto"/>
            <w:noWrap/>
            <w:hideMark/>
          </w:tcPr>
          <w:p w:rsidR="00775300" w:rsidRPr="006574DF" w:rsidRDefault="00775300" w:rsidP="003F0AD9">
            <w:pPr>
              <w:spacing w:before="60" w:after="60"/>
              <w:ind w:left="113" w:right="113"/>
            </w:pPr>
            <w:r w:rsidRPr="006574DF">
              <w:t>1 g</w:t>
            </w:r>
            <w:r w:rsidR="0077438B">
              <w:t>/</w:t>
            </w:r>
            <w:r w:rsidRPr="006574DF">
              <w:t>1 ml</w:t>
            </w:r>
          </w:p>
        </w:tc>
        <w:tc>
          <w:tcPr>
            <w:tcW w:w="2576" w:type="dxa"/>
            <w:shd w:val="clear" w:color="auto" w:fill="auto"/>
            <w:noWrap/>
            <w:hideMark/>
          </w:tcPr>
          <w:p w:rsidR="00775300" w:rsidRPr="006574DF" w:rsidRDefault="00775300" w:rsidP="003F0AD9">
            <w:pPr>
              <w:spacing w:before="60" w:after="60"/>
              <w:ind w:left="113" w:right="113"/>
            </w:pPr>
            <w:r w:rsidRPr="006574DF">
              <w:t>500 g</w:t>
            </w:r>
            <w:r w:rsidR="0077438B">
              <w:t>/</w:t>
            </w:r>
            <w:r w:rsidRPr="006574DF">
              <w:t>500 ml</w:t>
            </w:r>
          </w:p>
        </w:tc>
        <w:tc>
          <w:tcPr>
            <w:tcW w:w="964" w:type="dxa"/>
            <w:shd w:val="clear" w:color="auto" w:fill="auto"/>
            <w:noWrap/>
            <w:hideMark/>
          </w:tcPr>
          <w:p w:rsidR="00775300" w:rsidRPr="006574DF" w:rsidRDefault="00775300" w:rsidP="003F0AD9">
            <w:pPr>
              <w:spacing w:before="60" w:after="60"/>
              <w:ind w:left="113" w:right="113"/>
            </w:pPr>
            <w:r w:rsidRPr="006574DF">
              <w:t>E4</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1</w:t>
            </w:r>
            <w:r w:rsidR="00680C3F">
              <w:t> </w:t>
            </w:r>
            <w:r w:rsidRPr="006574DF">
              <w:t>000 g</w:t>
            </w:r>
            <w:r w:rsidR="0077438B">
              <w:t>/</w:t>
            </w:r>
            <w:r w:rsidRPr="006574DF">
              <w:t>1</w:t>
            </w:r>
            <w:r w:rsidR="00680C3F">
              <w:t> </w:t>
            </w:r>
            <w:r w:rsidRPr="006574DF">
              <w:t>000 ml</w:t>
            </w:r>
          </w:p>
        </w:tc>
        <w:tc>
          <w:tcPr>
            <w:tcW w:w="964" w:type="dxa"/>
            <w:shd w:val="clear" w:color="auto" w:fill="auto"/>
            <w:noWrap/>
            <w:hideMark/>
          </w:tcPr>
          <w:p w:rsidR="00775300" w:rsidRPr="006574DF" w:rsidRDefault="00775300" w:rsidP="003F0AD9">
            <w:pPr>
              <w:spacing w:before="60" w:after="60"/>
              <w:ind w:left="113" w:right="113"/>
            </w:pPr>
            <w:r w:rsidRPr="006574DF">
              <w:t>E1</w:t>
            </w:r>
          </w:p>
        </w:tc>
      </w:tr>
      <w:tr w:rsidR="003F0AD9" w:rsidRPr="006574DF" w:rsidTr="003F0AD9">
        <w:tc>
          <w:tcPr>
            <w:tcW w:w="1565" w:type="dxa"/>
            <w:shd w:val="clear" w:color="auto" w:fill="auto"/>
            <w:hideMark/>
          </w:tcPr>
          <w:p w:rsidR="00775300" w:rsidRPr="006574DF" w:rsidRDefault="00775300" w:rsidP="003F0AD9">
            <w:pPr>
              <w:spacing w:before="60" w:after="60"/>
              <w:ind w:left="113" w:right="113"/>
            </w:pPr>
            <w:r w:rsidRPr="006574DF">
              <w:t>6.2</w:t>
            </w:r>
          </w:p>
        </w:tc>
        <w:tc>
          <w:tcPr>
            <w:tcW w:w="1417" w:type="dxa"/>
            <w:shd w:val="clear" w:color="auto" w:fill="auto"/>
            <w:noWrap/>
            <w:hideMark/>
          </w:tcPr>
          <w:p w:rsidR="00775300" w:rsidRPr="006574DF" w:rsidRDefault="00775300" w:rsidP="003F0AD9">
            <w:pPr>
              <w:spacing w:before="60" w:after="60"/>
              <w:ind w:left="113" w:right="113"/>
            </w:pPr>
            <w:r w:rsidRPr="006574DF">
              <w:t> </w:t>
            </w:r>
          </w:p>
        </w:tc>
        <w:tc>
          <w:tcPr>
            <w:tcW w:w="5691" w:type="dxa"/>
            <w:gridSpan w:val="2"/>
            <w:shd w:val="clear" w:color="auto" w:fill="auto"/>
            <w:noWrap/>
            <w:hideMark/>
          </w:tcPr>
          <w:p w:rsidR="00775300" w:rsidRPr="003F0AD9" w:rsidRDefault="00775300" w:rsidP="003F0AD9">
            <w:pPr>
              <w:spacing w:before="60" w:after="60"/>
              <w:ind w:left="113" w:right="113"/>
              <w:jc w:val="center"/>
            </w:pPr>
            <w:r w:rsidRPr="003F0AD9">
              <w:t>Non autorisé</w:t>
            </w:r>
          </w:p>
        </w:tc>
        <w:tc>
          <w:tcPr>
            <w:tcW w:w="964" w:type="dxa"/>
            <w:shd w:val="clear" w:color="auto" w:fill="auto"/>
            <w:noWrap/>
            <w:hideMark/>
          </w:tcPr>
          <w:p w:rsidR="00775300" w:rsidRPr="006574DF" w:rsidRDefault="00775300" w:rsidP="003F0AD9">
            <w:pPr>
              <w:spacing w:before="60" w:after="60"/>
              <w:ind w:left="113" w:right="113"/>
            </w:pPr>
            <w:r w:rsidRPr="006574DF">
              <w:t>E0</w:t>
            </w:r>
          </w:p>
        </w:tc>
      </w:tr>
      <w:tr w:rsidR="003F0AD9" w:rsidRPr="006574DF" w:rsidTr="003F0AD9">
        <w:tc>
          <w:tcPr>
            <w:tcW w:w="1565" w:type="dxa"/>
            <w:shd w:val="clear" w:color="auto" w:fill="auto"/>
            <w:hideMark/>
          </w:tcPr>
          <w:p w:rsidR="00775300" w:rsidRPr="006574DF" w:rsidRDefault="00775300" w:rsidP="003F0AD9">
            <w:pPr>
              <w:spacing w:before="60" w:after="60"/>
              <w:ind w:left="113" w:right="113"/>
            </w:pPr>
            <w:r w:rsidRPr="006574DF">
              <w:t>7</w:t>
            </w:r>
          </w:p>
        </w:tc>
        <w:tc>
          <w:tcPr>
            <w:tcW w:w="1417" w:type="dxa"/>
            <w:shd w:val="clear" w:color="auto" w:fill="auto"/>
            <w:noWrap/>
            <w:hideMark/>
          </w:tcPr>
          <w:p w:rsidR="00775300" w:rsidRPr="006574DF" w:rsidRDefault="00775300" w:rsidP="003F0AD9">
            <w:pPr>
              <w:spacing w:before="60" w:after="60"/>
              <w:ind w:left="113" w:right="113"/>
            </w:pPr>
            <w:r w:rsidRPr="006574DF">
              <w:t> </w:t>
            </w:r>
          </w:p>
        </w:tc>
        <w:tc>
          <w:tcPr>
            <w:tcW w:w="5691" w:type="dxa"/>
            <w:gridSpan w:val="2"/>
            <w:shd w:val="clear" w:color="auto" w:fill="auto"/>
            <w:noWrap/>
            <w:hideMark/>
          </w:tcPr>
          <w:p w:rsidR="00775300" w:rsidRPr="003F0AD9" w:rsidRDefault="00775300" w:rsidP="003F0AD9">
            <w:pPr>
              <w:spacing w:before="60" w:after="60"/>
              <w:ind w:left="113" w:right="113"/>
              <w:jc w:val="center"/>
            </w:pPr>
            <w:r w:rsidRPr="003F0AD9">
              <w:t>Non autorisé</w:t>
            </w:r>
          </w:p>
        </w:tc>
        <w:tc>
          <w:tcPr>
            <w:tcW w:w="964" w:type="dxa"/>
            <w:shd w:val="clear" w:color="auto" w:fill="auto"/>
            <w:noWrap/>
            <w:hideMark/>
          </w:tcPr>
          <w:p w:rsidR="00775300" w:rsidRPr="006574DF" w:rsidRDefault="00775300" w:rsidP="003F0AD9">
            <w:pPr>
              <w:spacing w:before="60" w:after="60"/>
              <w:ind w:left="113" w:right="113"/>
            </w:pPr>
            <w:r w:rsidRPr="006574DF">
              <w:t>E0</w:t>
            </w:r>
          </w:p>
        </w:tc>
      </w:tr>
      <w:tr w:rsidR="003F0AD9" w:rsidRPr="006574DF" w:rsidTr="003F0AD9">
        <w:tc>
          <w:tcPr>
            <w:tcW w:w="1565" w:type="dxa"/>
            <w:shd w:val="clear" w:color="auto" w:fill="auto"/>
            <w:hideMark/>
          </w:tcPr>
          <w:p w:rsidR="00775300" w:rsidRPr="006574DF" w:rsidRDefault="00775300" w:rsidP="003F0AD9">
            <w:pPr>
              <w:spacing w:before="60" w:after="60"/>
              <w:ind w:left="113" w:right="113"/>
              <w:rPr>
                <w:vertAlign w:val="superscript"/>
              </w:rPr>
            </w:pPr>
            <w:r w:rsidRPr="006574DF">
              <w:t>8</w:t>
            </w:r>
            <w:r w:rsidRPr="003F0AD9">
              <w:rPr>
                <w:i/>
                <w:vertAlign w:val="superscript"/>
              </w:rPr>
              <w:t>h</w:t>
            </w:r>
            <w:r w:rsidRPr="006574DF">
              <w:rPr>
                <w:vertAlign w:val="superscript"/>
              </w:rPr>
              <w:t xml:space="preserve">, </w:t>
            </w:r>
            <w:r w:rsidRPr="003F0AD9">
              <w:rPr>
                <w:i/>
                <w:vertAlign w:val="superscript"/>
              </w:rPr>
              <w:t>i</w:t>
            </w:r>
          </w:p>
        </w:tc>
        <w:tc>
          <w:tcPr>
            <w:tcW w:w="1417" w:type="dxa"/>
            <w:shd w:val="clear" w:color="auto" w:fill="auto"/>
            <w:noWrap/>
            <w:hideMark/>
          </w:tcPr>
          <w:p w:rsidR="00775300" w:rsidRPr="006574DF" w:rsidRDefault="00775300" w:rsidP="003F0AD9">
            <w:pPr>
              <w:spacing w:before="60" w:after="60"/>
              <w:ind w:left="113" w:right="113"/>
            </w:pPr>
            <w:r w:rsidRPr="006574DF">
              <w:t>I</w:t>
            </w:r>
          </w:p>
        </w:tc>
        <w:tc>
          <w:tcPr>
            <w:tcW w:w="5691" w:type="dxa"/>
            <w:gridSpan w:val="2"/>
            <w:shd w:val="clear" w:color="auto" w:fill="auto"/>
            <w:noWrap/>
            <w:hideMark/>
          </w:tcPr>
          <w:p w:rsidR="00775300" w:rsidRPr="006574DF" w:rsidRDefault="00775300" w:rsidP="003F0AD9">
            <w:pPr>
              <w:spacing w:before="60" w:after="60"/>
              <w:ind w:left="113" w:right="113"/>
              <w:jc w:val="center"/>
            </w:pPr>
            <w:r w:rsidRPr="006574DF">
              <w:t>Non autorisé</w:t>
            </w:r>
          </w:p>
        </w:tc>
        <w:tc>
          <w:tcPr>
            <w:tcW w:w="964" w:type="dxa"/>
            <w:shd w:val="clear" w:color="auto" w:fill="auto"/>
            <w:noWrap/>
            <w:hideMark/>
          </w:tcPr>
          <w:p w:rsidR="00775300" w:rsidRPr="006574DF" w:rsidRDefault="00775300" w:rsidP="003F0AD9">
            <w:pPr>
              <w:spacing w:before="60" w:after="60"/>
              <w:ind w:left="113" w:right="113"/>
            </w:pPr>
            <w:r w:rsidRPr="006574DF">
              <w:t>E0</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2C79F1">
            <w:pPr>
              <w:spacing w:before="60" w:after="60"/>
              <w:ind w:left="113" w:right="113"/>
            </w:pPr>
            <w:r w:rsidRPr="006574DF">
              <w:t>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500 g</w:t>
            </w:r>
            <w:r w:rsidR="0077438B">
              <w:t>/</w:t>
            </w:r>
            <w:r w:rsidRPr="006574DF">
              <w:t>500 ml</w:t>
            </w:r>
          </w:p>
        </w:tc>
        <w:tc>
          <w:tcPr>
            <w:tcW w:w="964" w:type="dxa"/>
            <w:shd w:val="clear" w:color="auto" w:fill="auto"/>
            <w:noWrap/>
            <w:hideMark/>
          </w:tcPr>
          <w:p w:rsidR="00775300" w:rsidRPr="006574DF" w:rsidRDefault="00775300" w:rsidP="003F0AD9">
            <w:pPr>
              <w:spacing w:before="60" w:after="60"/>
              <w:ind w:left="113" w:right="113"/>
            </w:pPr>
            <w:r w:rsidRPr="006574DF">
              <w:t>E2</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1</w:t>
            </w:r>
            <w:r w:rsidR="00E56738">
              <w:t> </w:t>
            </w:r>
            <w:r w:rsidRPr="006574DF">
              <w:t>000 g</w:t>
            </w:r>
            <w:r w:rsidR="0077438B">
              <w:t>/</w:t>
            </w:r>
            <w:r w:rsidRPr="006574DF">
              <w:t>1</w:t>
            </w:r>
            <w:r w:rsidR="00E56738">
              <w:t> </w:t>
            </w:r>
            <w:r w:rsidRPr="006574DF">
              <w:t>000 ml</w:t>
            </w:r>
          </w:p>
        </w:tc>
        <w:tc>
          <w:tcPr>
            <w:tcW w:w="964" w:type="dxa"/>
            <w:shd w:val="clear" w:color="auto" w:fill="auto"/>
            <w:noWrap/>
            <w:hideMark/>
          </w:tcPr>
          <w:p w:rsidR="00775300" w:rsidRPr="006574DF" w:rsidRDefault="00775300" w:rsidP="003F0AD9">
            <w:pPr>
              <w:spacing w:before="60" w:after="60"/>
              <w:ind w:left="113" w:right="113"/>
            </w:pPr>
            <w:r w:rsidRPr="006574DF">
              <w:t>E1</w:t>
            </w:r>
          </w:p>
        </w:tc>
      </w:tr>
      <w:tr w:rsidR="009F5036" w:rsidRPr="006574DF" w:rsidTr="003F0AD9">
        <w:tc>
          <w:tcPr>
            <w:tcW w:w="1565" w:type="dxa"/>
            <w:shd w:val="clear" w:color="auto" w:fill="auto"/>
            <w:hideMark/>
          </w:tcPr>
          <w:p w:rsidR="00775300" w:rsidRPr="006574DF" w:rsidRDefault="00775300" w:rsidP="003F0AD9">
            <w:pPr>
              <w:spacing w:before="60" w:after="60"/>
              <w:ind w:left="113" w:right="113"/>
              <w:rPr>
                <w:vertAlign w:val="superscript"/>
              </w:rPr>
            </w:pPr>
            <w:r w:rsidRPr="006574DF">
              <w:t>9</w:t>
            </w:r>
            <w:r w:rsidRPr="003F0AD9">
              <w:rPr>
                <w:i/>
                <w:vertAlign w:val="superscript"/>
              </w:rPr>
              <w:t>j</w:t>
            </w:r>
          </w:p>
        </w:tc>
        <w:tc>
          <w:tcPr>
            <w:tcW w:w="1417" w:type="dxa"/>
            <w:shd w:val="clear" w:color="auto" w:fill="auto"/>
            <w:noWrap/>
            <w:hideMark/>
          </w:tcPr>
          <w:p w:rsidR="00775300" w:rsidRPr="006574DF" w:rsidRDefault="00775300" w:rsidP="003F0AD9">
            <w:pPr>
              <w:spacing w:before="60" w:after="60"/>
              <w:ind w:left="113" w:right="113"/>
            </w:pPr>
            <w:r w:rsidRPr="006574DF">
              <w:t>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500 g</w:t>
            </w:r>
            <w:r w:rsidR="0077438B">
              <w:t>/</w:t>
            </w:r>
            <w:r w:rsidRPr="006574DF">
              <w:t>500 ml</w:t>
            </w:r>
          </w:p>
        </w:tc>
        <w:tc>
          <w:tcPr>
            <w:tcW w:w="964" w:type="dxa"/>
            <w:shd w:val="clear" w:color="auto" w:fill="auto"/>
            <w:noWrap/>
            <w:hideMark/>
          </w:tcPr>
          <w:p w:rsidR="00775300" w:rsidRPr="006574DF" w:rsidRDefault="00775300" w:rsidP="003F0AD9">
            <w:pPr>
              <w:spacing w:before="60" w:after="60"/>
              <w:ind w:left="113" w:right="113"/>
            </w:pPr>
            <w:r w:rsidRPr="006574DF">
              <w:t>E2</w:t>
            </w:r>
          </w:p>
        </w:tc>
      </w:tr>
      <w:tr w:rsidR="006574DF" w:rsidRPr="006574DF" w:rsidTr="003F0AD9">
        <w:tc>
          <w:tcPr>
            <w:tcW w:w="1565" w:type="dxa"/>
            <w:shd w:val="clear" w:color="auto" w:fill="auto"/>
            <w:hideMark/>
          </w:tcPr>
          <w:p w:rsidR="00775300" w:rsidRPr="006574DF" w:rsidRDefault="00775300" w:rsidP="003F0AD9">
            <w:pPr>
              <w:spacing w:before="60" w:after="60"/>
              <w:ind w:left="113" w:right="113"/>
            </w:pPr>
            <w:r w:rsidRPr="006574DF">
              <w:t> </w:t>
            </w:r>
          </w:p>
        </w:tc>
        <w:tc>
          <w:tcPr>
            <w:tcW w:w="1417" w:type="dxa"/>
            <w:shd w:val="clear" w:color="auto" w:fill="auto"/>
            <w:noWrap/>
            <w:hideMark/>
          </w:tcPr>
          <w:p w:rsidR="00775300" w:rsidRPr="006574DF" w:rsidRDefault="00775300" w:rsidP="003F0AD9">
            <w:pPr>
              <w:spacing w:before="60" w:after="60"/>
              <w:ind w:left="113" w:right="113"/>
            </w:pPr>
            <w:r w:rsidRPr="006574DF">
              <w:t>III</w:t>
            </w:r>
          </w:p>
        </w:tc>
        <w:tc>
          <w:tcPr>
            <w:tcW w:w="3115" w:type="dxa"/>
            <w:shd w:val="clear" w:color="auto" w:fill="auto"/>
            <w:noWrap/>
            <w:hideMark/>
          </w:tcPr>
          <w:p w:rsidR="00775300" w:rsidRPr="006574DF" w:rsidRDefault="00775300" w:rsidP="003F0AD9">
            <w:pPr>
              <w:spacing w:before="60" w:after="60"/>
              <w:ind w:left="113" w:right="113"/>
            </w:pPr>
            <w:r w:rsidRPr="006574DF">
              <w:t>30 g</w:t>
            </w:r>
            <w:r w:rsidR="0077438B">
              <w:t>/</w:t>
            </w:r>
            <w:r w:rsidRPr="006574DF">
              <w:t>30 ml</w:t>
            </w:r>
          </w:p>
        </w:tc>
        <w:tc>
          <w:tcPr>
            <w:tcW w:w="2576" w:type="dxa"/>
            <w:shd w:val="clear" w:color="auto" w:fill="auto"/>
            <w:noWrap/>
            <w:hideMark/>
          </w:tcPr>
          <w:p w:rsidR="00775300" w:rsidRPr="006574DF" w:rsidRDefault="00775300" w:rsidP="003F0AD9">
            <w:pPr>
              <w:spacing w:before="60" w:after="60"/>
              <w:ind w:left="113" w:right="113"/>
            </w:pPr>
            <w:r w:rsidRPr="006574DF">
              <w:t>1</w:t>
            </w:r>
            <w:r w:rsidR="00325FEF">
              <w:t> </w:t>
            </w:r>
            <w:r w:rsidRPr="006574DF">
              <w:t>000 g</w:t>
            </w:r>
            <w:r w:rsidR="0077438B">
              <w:t>/</w:t>
            </w:r>
            <w:r w:rsidRPr="006574DF">
              <w:t>1</w:t>
            </w:r>
            <w:r w:rsidR="00325FEF">
              <w:t> </w:t>
            </w:r>
            <w:r w:rsidRPr="006574DF">
              <w:t>000 ml</w:t>
            </w:r>
          </w:p>
        </w:tc>
        <w:tc>
          <w:tcPr>
            <w:tcW w:w="964" w:type="dxa"/>
            <w:shd w:val="clear" w:color="auto" w:fill="auto"/>
            <w:noWrap/>
            <w:hideMark/>
          </w:tcPr>
          <w:p w:rsidR="00775300" w:rsidRPr="006574DF" w:rsidRDefault="00775300" w:rsidP="003F0AD9">
            <w:pPr>
              <w:spacing w:before="60" w:after="60"/>
              <w:ind w:left="113" w:right="113"/>
            </w:pPr>
            <w:r w:rsidRPr="006574DF">
              <w:t>E1</w:t>
            </w:r>
          </w:p>
        </w:tc>
      </w:tr>
    </w:tbl>
    <w:p w:rsidR="00775300" w:rsidRPr="002F266C" w:rsidRDefault="00775300" w:rsidP="003F0AD9">
      <w:pPr>
        <w:spacing w:before="120"/>
        <w:ind w:firstLine="170"/>
        <w:rPr>
          <w:i/>
          <w:sz w:val="18"/>
          <w:szCs w:val="18"/>
          <w:lang w:val="en-US"/>
        </w:rPr>
      </w:pPr>
      <w:r w:rsidRPr="002F266C">
        <w:rPr>
          <w:i/>
          <w:sz w:val="18"/>
          <w:szCs w:val="18"/>
          <w:vertAlign w:val="superscript"/>
        </w:rPr>
        <w:t>a</w:t>
      </w:r>
      <w:r w:rsidR="003F0AD9" w:rsidRPr="002F266C">
        <w:rPr>
          <w:i/>
          <w:sz w:val="18"/>
          <w:szCs w:val="18"/>
        </w:rPr>
        <w:t xml:space="preserve">  </w:t>
      </w:r>
      <w:r w:rsidRPr="002F266C">
        <w:rPr>
          <w:i/>
          <w:sz w:val="18"/>
          <w:szCs w:val="18"/>
        </w:rPr>
        <w:t xml:space="preserve">Dans le cas des gaz, le volume indiqué pour l’emballage intérieur représente la contenance en eau du récipient intérieur </w:t>
      </w:r>
      <w:r w:rsidR="002C79F1">
        <w:rPr>
          <w:i/>
          <w:sz w:val="18"/>
          <w:szCs w:val="18"/>
        </w:rPr>
        <w:br/>
      </w:r>
      <w:r w:rsidRPr="002F266C">
        <w:rPr>
          <w:i/>
          <w:sz w:val="18"/>
          <w:szCs w:val="18"/>
        </w:rPr>
        <w:t>alors que le volume indiqué pour l’emballage extérieur représente la contenance globale en eau de tous les emballages intérieurs contenus dans un seul et même emballage extérieur</w:t>
      </w:r>
      <w:r w:rsidR="003F0AD9" w:rsidRPr="002F266C">
        <w:rPr>
          <w:i/>
          <w:sz w:val="18"/>
          <w:szCs w:val="18"/>
        </w:rPr>
        <w:t> </w:t>
      </w:r>
      <w:r w:rsidRPr="002F266C">
        <w:rPr>
          <w:i/>
          <w:sz w:val="18"/>
          <w:szCs w:val="18"/>
        </w:rPr>
        <w:t xml:space="preserve">; </w:t>
      </w:r>
    </w:p>
    <w:p w:rsidR="00775300" w:rsidRPr="002F266C" w:rsidRDefault="00775300" w:rsidP="003F0AD9">
      <w:pPr>
        <w:ind w:firstLine="170"/>
        <w:rPr>
          <w:i/>
          <w:sz w:val="18"/>
          <w:szCs w:val="18"/>
          <w:lang w:val="en-US"/>
        </w:rPr>
      </w:pPr>
      <w:r w:rsidRPr="002F266C">
        <w:rPr>
          <w:i/>
          <w:sz w:val="18"/>
          <w:szCs w:val="18"/>
          <w:vertAlign w:val="superscript"/>
        </w:rPr>
        <w:t>b</w:t>
      </w:r>
      <w:r w:rsidR="003F0AD9" w:rsidRPr="002F266C">
        <w:rPr>
          <w:i/>
          <w:sz w:val="18"/>
          <w:szCs w:val="18"/>
        </w:rPr>
        <w:t xml:space="preserve">  </w:t>
      </w:r>
      <w:r w:rsidRPr="002F266C">
        <w:rPr>
          <w:i/>
          <w:sz w:val="18"/>
          <w:szCs w:val="18"/>
        </w:rPr>
        <w:t xml:space="preserve">Les explosifs désensibilisés et le </w:t>
      </w:r>
      <w:r w:rsidR="00AA4860">
        <w:rPr>
          <w:i/>
          <w:sz w:val="18"/>
          <w:szCs w:val="18"/>
        </w:rPr>
        <w:t xml:space="preserve">numéro </w:t>
      </w:r>
      <w:r w:rsidRPr="002F266C">
        <w:rPr>
          <w:i/>
          <w:sz w:val="18"/>
          <w:szCs w:val="18"/>
        </w:rPr>
        <w:t>ONU 3256 ne doivent pas être transportés en quantités exemptées</w:t>
      </w:r>
      <w:r w:rsidR="003F0AD9" w:rsidRPr="002F266C">
        <w:rPr>
          <w:i/>
          <w:sz w:val="18"/>
          <w:szCs w:val="18"/>
        </w:rPr>
        <w:t> </w:t>
      </w:r>
      <w:r w:rsidRPr="002F266C">
        <w:rPr>
          <w:i/>
          <w:sz w:val="18"/>
          <w:szCs w:val="18"/>
        </w:rPr>
        <w:t xml:space="preserve">; </w:t>
      </w:r>
    </w:p>
    <w:p w:rsidR="00775300" w:rsidRPr="002F266C" w:rsidRDefault="00775300" w:rsidP="003F0AD9">
      <w:pPr>
        <w:ind w:firstLine="170"/>
        <w:rPr>
          <w:i/>
          <w:sz w:val="18"/>
          <w:szCs w:val="18"/>
          <w:lang w:val="en-US"/>
        </w:rPr>
      </w:pPr>
      <w:r w:rsidRPr="002F266C">
        <w:rPr>
          <w:i/>
          <w:sz w:val="18"/>
          <w:szCs w:val="18"/>
          <w:vertAlign w:val="superscript"/>
        </w:rPr>
        <w:t>c</w:t>
      </w:r>
      <w:r w:rsidR="002F266C" w:rsidRPr="002F266C">
        <w:rPr>
          <w:i/>
          <w:sz w:val="18"/>
          <w:szCs w:val="18"/>
        </w:rPr>
        <w:t xml:space="preserve">  </w:t>
      </w:r>
      <w:r w:rsidRPr="002F266C">
        <w:rPr>
          <w:i/>
          <w:sz w:val="18"/>
          <w:szCs w:val="18"/>
        </w:rPr>
        <w:t>Les chlorosilanes (n</w:t>
      </w:r>
      <w:r w:rsidRPr="00AA4860">
        <w:rPr>
          <w:i/>
          <w:sz w:val="18"/>
          <w:szCs w:val="18"/>
          <w:vertAlign w:val="superscript"/>
        </w:rPr>
        <w:t>os</w:t>
      </w:r>
      <w:r w:rsidR="00AA4860">
        <w:rPr>
          <w:i/>
          <w:sz w:val="18"/>
          <w:szCs w:val="18"/>
        </w:rPr>
        <w:t> </w:t>
      </w:r>
      <w:r w:rsidRPr="002F266C">
        <w:rPr>
          <w:i/>
          <w:sz w:val="18"/>
          <w:szCs w:val="18"/>
        </w:rPr>
        <w:t>ONU 1162, 1196, 1250, 1298, 1305, 2985) ne doivent pas être transportés en quantités exemptées</w:t>
      </w:r>
      <w:r w:rsidR="002F266C" w:rsidRPr="002F266C">
        <w:rPr>
          <w:i/>
          <w:sz w:val="18"/>
          <w:szCs w:val="18"/>
        </w:rPr>
        <w:t> ;</w:t>
      </w:r>
    </w:p>
    <w:p w:rsidR="00775300" w:rsidRPr="002F266C" w:rsidRDefault="00775300" w:rsidP="003F0AD9">
      <w:pPr>
        <w:ind w:firstLine="170"/>
        <w:rPr>
          <w:i/>
          <w:sz w:val="18"/>
          <w:szCs w:val="18"/>
        </w:rPr>
      </w:pPr>
      <w:r w:rsidRPr="002F266C">
        <w:rPr>
          <w:i/>
          <w:sz w:val="18"/>
          <w:szCs w:val="18"/>
          <w:vertAlign w:val="superscript"/>
        </w:rPr>
        <w:t>d</w:t>
      </w:r>
      <w:r w:rsidR="002F266C" w:rsidRPr="002F266C">
        <w:rPr>
          <w:i/>
          <w:sz w:val="18"/>
          <w:szCs w:val="18"/>
        </w:rPr>
        <w:t xml:space="preserve">  </w:t>
      </w:r>
      <w:r w:rsidRPr="002F266C">
        <w:rPr>
          <w:i/>
          <w:sz w:val="18"/>
          <w:szCs w:val="18"/>
        </w:rPr>
        <w:t>Les matières autoréactives, les matières polymérisables, les explosifs désensibilisés, les n</w:t>
      </w:r>
      <w:r w:rsidR="00AA4860" w:rsidRPr="00AA4860">
        <w:rPr>
          <w:i/>
          <w:sz w:val="18"/>
          <w:szCs w:val="18"/>
        </w:rPr>
        <w:t xml:space="preserve">uméros </w:t>
      </w:r>
      <w:r w:rsidRPr="002F266C">
        <w:rPr>
          <w:i/>
          <w:sz w:val="18"/>
          <w:szCs w:val="18"/>
        </w:rPr>
        <w:t>ONU 2304, 2448, 3176 (matières en fusion), 3360 et 3527</w:t>
      </w:r>
      <w:r w:rsidR="00077C48">
        <w:rPr>
          <w:i/>
          <w:sz w:val="18"/>
          <w:szCs w:val="18"/>
        </w:rPr>
        <w:t xml:space="preserve"> ne doivent pas être transporté</w:t>
      </w:r>
      <w:r w:rsidRPr="002F266C">
        <w:rPr>
          <w:i/>
          <w:sz w:val="18"/>
          <w:szCs w:val="18"/>
        </w:rPr>
        <w:t>s en quantités exemptées</w:t>
      </w:r>
      <w:r w:rsidR="002F266C" w:rsidRPr="002F266C">
        <w:rPr>
          <w:i/>
          <w:sz w:val="18"/>
          <w:szCs w:val="18"/>
        </w:rPr>
        <w:t> </w:t>
      </w:r>
      <w:r w:rsidRPr="002F266C">
        <w:rPr>
          <w:i/>
          <w:sz w:val="18"/>
          <w:szCs w:val="18"/>
        </w:rPr>
        <w:t xml:space="preserve">; </w:t>
      </w:r>
    </w:p>
    <w:p w:rsidR="00775300" w:rsidRPr="002F266C" w:rsidRDefault="00775300" w:rsidP="003F0AD9">
      <w:pPr>
        <w:ind w:firstLine="170"/>
        <w:rPr>
          <w:i/>
          <w:sz w:val="18"/>
          <w:szCs w:val="18"/>
          <w:lang w:val="en-US"/>
        </w:rPr>
      </w:pPr>
      <w:r w:rsidRPr="002F266C">
        <w:rPr>
          <w:i/>
          <w:sz w:val="18"/>
          <w:szCs w:val="18"/>
          <w:vertAlign w:val="superscript"/>
        </w:rPr>
        <w:t>e</w:t>
      </w:r>
      <w:r w:rsidR="002F266C" w:rsidRPr="002F266C">
        <w:rPr>
          <w:i/>
          <w:sz w:val="18"/>
          <w:szCs w:val="18"/>
        </w:rPr>
        <w:t xml:space="preserve">  </w:t>
      </w:r>
      <w:r w:rsidRPr="002F266C">
        <w:rPr>
          <w:i/>
          <w:sz w:val="18"/>
          <w:szCs w:val="18"/>
        </w:rPr>
        <w:t>Les marchandises dangereuses de la division 5.2 doivent être transportées SEULEMENT en quantités exemptées sous la forme du numéro ONU 3316, kit chimique ou trousse de premiers soins</w:t>
      </w:r>
      <w:r w:rsidR="002F266C" w:rsidRPr="002F266C">
        <w:rPr>
          <w:i/>
          <w:sz w:val="18"/>
          <w:szCs w:val="18"/>
        </w:rPr>
        <w:t> </w:t>
      </w:r>
      <w:r w:rsidRPr="002F266C">
        <w:rPr>
          <w:i/>
          <w:sz w:val="18"/>
          <w:szCs w:val="18"/>
        </w:rPr>
        <w:t xml:space="preserve">; </w:t>
      </w:r>
    </w:p>
    <w:p w:rsidR="00775300" w:rsidRPr="002F266C" w:rsidRDefault="00775300" w:rsidP="003F0AD9">
      <w:pPr>
        <w:ind w:firstLine="170"/>
        <w:rPr>
          <w:i/>
          <w:sz w:val="18"/>
          <w:szCs w:val="18"/>
        </w:rPr>
      </w:pPr>
      <w:r w:rsidRPr="002F266C">
        <w:rPr>
          <w:i/>
          <w:sz w:val="18"/>
          <w:szCs w:val="18"/>
          <w:vertAlign w:val="superscript"/>
        </w:rPr>
        <w:t>f</w:t>
      </w:r>
      <w:r w:rsidR="002F266C" w:rsidRPr="002F266C">
        <w:rPr>
          <w:i/>
          <w:sz w:val="18"/>
          <w:szCs w:val="18"/>
        </w:rPr>
        <w:t xml:space="preserve">  </w:t>
      </w:r>
      <w:r w:rsidRPr="002F266C">
        <w:rPr>
          <w:i/>
          <w:sz w:val="18"/>
          <w:szCs w:val="18"/>
        </w:rPr>
        <w:t>Les numéros ONU 1600, 2312 et 3250 (matières en fusion) ne doivent pas être transportés en quantités exemptées</w:t>
      </w:r>
      <w:r w:rsidR="002F266C" w:rsidRPr="002F266C">
        <w:rPr>
          <w:i/>
          <w:sz w:val="18"/>
          <w:szCs w:val="18"/>
        </w:rPr>
        <w:t> </w:t>
      </w:r>
      <w:r w:rsidRPr="002F266C">
        <w:rPr>
          <w:i/>
          <w:sz w:val="18"/>
          <w:szCs w:val="18"/>
        </w:rPr>
        <w:t xml:space="preserve">; </w:t>
      </w:r>
    </w:p>
    <w:p w:rsidR="00775300" w:rsidRPr="002F266C" w:rsidRDefault="00775300" w:rsidP="003F0AD9">
      <w:pPr>
        <w:ind w:firstLine="170"/>
        <w:rPr>
          <w:i/>
          <w:sz w:val="18"/>
          <w:szCs w:val="18"/>
        </w:rPr>
      </w:pPr>
      <w:r w:rsidRPr="002F266C">
        <w:rPr>
          <w:i/>
          <w:sz w:val="18"/>
          <w:szCs w:val="18"/>
          <w:vertAlign w:val="superscript"/>
        </w:rPr>
        <w:t>g</w:t>
      </w:r>
      <w:r w:rsidR="002F266C" w:rsidRPr="002F266C">
        <w:rPr>
          <w:i/>
          <w:sz w:val="18"/>
          <w:szCs w:val="18"/>
        </w:rPr>
        <w:t xml:space="preserve">  </w:t>
      </w:r>
      <w:r w:rsidRPr="002F266C">
        <w:rPr>
          <w:i/>
          <w:sz w:val="18"/>
          <w:szCs w:val="18"/>
        </w:rPr>
        <w:t>Les chlorosilanes (N</w:t>
      </w:r>
      <w:r w:rsidRPr="00AA4860">
        <w:rPr>
          <w:i/>
          <w:sz w:val="18"/>
          <w:szCs w:val="18"/>
          <w:vertAlign w:val="superscript"/>
        </w:rPr>
        <w:t>os</w:t>
      </w:r>
      <w:r w:rsidR="00AA4860">
        <w:rPr>
          <w:i/>
          <w:sz w:val="18"/>
          <w:szCs w:val="18"/>
        </w:rPr>
        <w:t> </w:t>
      </w:r>
      <w:r w:rsidRPr="002F266C">
        <w:rPr>
          <w:i/>
          <w:sz w:val="18"/>
          <w:szCs w:val="18"/>
        </w:rPr>
        <w:t>ONU 3361, 3362) ne doivent pas être transportés en quantités exemptées</w:t>
      </w:r>
      <w:r w:rsidR="002F266C" w:rsidRPr="002F266C">
        <w:rPr>
          <w:i/>
          <w:sz w:val="18"/>
          <w:szCs w:val="18"/>
        </w:rPr>
        <w:t> </w:t>
      </w:r>
      <w:r w:rsidRPr="002F266C">
        <w:rPr>
          <w:i/>
          <w:sz w:val="18"/>
          <w:szCs w:val="18"/>
          <w:lang w:val="en-US"/>
        </w:rPr>
        <w:t>;</w:t>
      </w:r>
      <w:r w:rsidRPr="002F266C">
        <w:rPr>
          <w:i/>
          <w:sz w:val="18"/>
          <w:szCs w:val="18"/>
        </w:rPr>
        <w:t xml:space="preserve"> </w:t>
      </w:r>
    </w:p>
    <w:p w:rsidR="00775300" w:rsidRPr="002F266C" w:rsidRDefault="00775300" w:rsidP="003F0AD9">
      <w:pPr>
        <w:ind w:firstLine="170"/>
        <w:rPr>
          <w:i/>
          <w:sz w:val="18"/>
          <w:szCs w:val="18"/>
        </w:rPr>
      </w:pPr>
      <w:r w:rsidRPr="002F266C">
        <w:rPr>
          <w:i/>
          <w:sz w:val="18"/>
          <w:szCs w:val="18"/>
          <w:vertAlign w:val="superscript"/>
        </w:rPr>
        <w:t>h</w:t>
      </w:r>
      <w:r w:rsidR="002F266C" w:rsidRPr="002F266C">
        <w:rPr>
          <w:i/>
          <w:sz w:val="18"/>
          <w:szCs w:val="18"/>
        </w:rPr>
        <w:t xml:space="preserve">  </w:t>
      </w:r>
      <w:r w:rsidRPr="002F266C">
        <w:rPr>
          <w:i/>
          <w:sz w:val="18"/>
          <w:szCs w:val="18"/>
        </w:rPr>
        <w:t>Les numéros ONU 2215 (fondu), 2576, 2803 et 2809 ne doivent pas être transportés en quantités exemptées</w:t>
      </w:r>
      <w:r w:rsidR="002F266C" w:rsidRPr="002F266C">
        <w:rPr>
          <w:i/>
          <w:sz w:val="18"/>
          <w:szCs w:val="18"/>
        </w:rPr>
        <w:t> </w:t>
      </w:r>
      <w:r w:rsidRPr="002F266C">
        <w:rPr>
          <w:i/>
          <w:sz w:val="18"/>
          <w:szCs w:val="18"/>
        </w:rPr>
        <w:t xml:space="preserve">; </w:t>
      </w:r>
    </w:p>
    <w:p w:rsidR="00775300" w:rsidRPr="002F266C" w:rsidRDefault="00775300" w:rsidP="003F0AD9">
      <w:pPr>
        <w:ind w:firstLine="170"/>
        <w:rPr>
          <w:i/>
          <w:sz w:val="18"/>
          <w:szCs w:val="18"/>
        </w:rPr>
      </w:pPr>
      <w:r w:rsidRPr="002F266C">
        <w:rPr>
          <w:i/>
          <w:sz w:val="18"/>
          <w:szCs w:val="18"/>
          <w:vertAlign w:val="superscript"/>
        </w:rPr>
        <w:t>i</w:t>
      </w:r>
      <w:r w:rsidR="002F266C" w:rsidRPr="002F266C">
        <w:rPr>
          <w:i/>
          <w:sz w:val="18"/>
          <w:szCs w:val="18"/>
        </w:rPr>
        <w:t xml:space="preserve">  </w:t>
      </w:r>
      <w:r w:rsidRPr="002F266C">
        <w:rPr>
          <w:i/>
          <w:sz w:val="18"/>
          <w:szCs w:val="18"/>
        </w:rPr>
        <w:t>Les chlorosilanes (N</w:t>
      </w:r>
      <w:r w:rsidRPr="00AA4860">
        <w:rPr>
          <w:i/>
          <w:sz w:val="18"/>
          <w:szCs w:val="18"/>
          <w:vertAlign w:val="superscript"/>
        </w:rPr>
        <w:t>os</w:t>
      </w:r>
      <w:r w:rsidR="00AA4860">
        <w:rPr>
          <w:i/>
          <w:sz w:val="18"/>
          <w:szCs w:val="18"/>
        </w:rPr>
        <w:t> </w:t>
      </w:r>
      <w:r w:rsidRPr="002F266C">
        <w:rPr>
          <w:i/>
          <w:sz w:val="18"/>
          <w:szCs w:val="18"/>
        </w:rPr>
        <w:t>ONU 1724, 1728, 1747, 1753, 1762, 1763, 1766, 1767, 1769, 1771, 1781, 1784, 1799, 1800, 1801, 1804, 1816, 1818, 2434, 2435, 2437, 2986, 2987ne doivent pas être transportés en quantités exemptées</w:t>
      </w:r>
      <w:r w:rsidR="002F266C" w:rsidRPr="002F266C">
        <w:rPr>
          <w:i/>
          <w:sz w:val="18"/>
          <w:szCs w:val="18"/>
        </w:rPr>
        <w:t> ;</w:t>
      </w:r>
    </w:p>
    <w:p w:rsidR="00775300" w:rsidRPr="002F266C" w:rsidRDefault="00775300" w:rsidP="003F0AD9">
      <w:pPr>
        <w:ind w:firstLine="170"/>
        <w:rPr>
          <w:i/>
          <w:sz w:val="18"/>
          <w:szCs w:val="18"/>
          <w:lang w:val="en-US"/>
        </w:rPr>
      </w:pPr>
      <w:r w:rsidRPr="002F266C">
        <w:rPr>
          <w:i/>
          <w:sz w:val="18"/>
          <w:szCs w:val="18"/>
          <w:vertAlign w:val="superscript"/>
        </w:rPr>
        <w:t>j</w:t>
      </w:r>
      <w:r w:rsidR="002F266C" w:rsidRPr="002F266C">
        <w:rPr>
          <w:i/>
          <w:sz w:val="18"/>
          <w:szCs w:val="18"/>
        </w:rPr>
        <w:t xml:space="preserve">  </w:t>
      </w:r>
      <w:r w:rsidRPr="002F266C">
        <w:rPr>
          <w:i/>
          <w:sz w:val="18"/>
          <w:szCs w:val="18"/>
        </w:rPr>
        <w:t xml:space="preserve">Le Code E1 s’applique aux </w:t>
      </w:r>
      <w:r w:rsidR="00AA4860">
        <w:rPr>
          <w:i/>
          <w:sz w:val="18"/>
          <w:szCs w:val="18"/>
        </w:rPr>
        <w:t xml:space="preserve">numéros </w:t>
      </w:r>
      <w:r w:rsidRPr="002F266C">
        <w:rPr>
          <w:i/>
          <w:sz w:val="18"/>
          <w:szCs w:val="18"/>
        </w:rPr>
        <w:t xml:space="preserve">ONU 3334 et 3335. Les </w:t>
      </w:r>
      <w:r w:rsidR="00AA4860">
        <w:rPr>
          <w:i/>
          <w:sz w:val="18"/>
          <w:szCs w:val="18"/>
        </w:rPr>
        <w:t xml:space="preserve">numéros </w:t>
      </w:r>
      <w:r w:rsidRPr="002F266C">
        <w:rPr>
          <w:i/>
          <w:sz w:val="18"/>
          <w:szCs w:val="18"/>
        </w:rPr>
        <w:t>ONU 1845, 2807, 3245, 3257 et 3258 ne doivent pas être transportés en quantités exemptées</w:t>
      </w:r>
      <w:r w:rsidR="002F266C" w:rsidRPr="002F266C">
        <w:rPr>
          <w:i/>
          <w:sz w:val="18"/>
          <w:szCs w:val="18"/>
        </w:rPr>
        <w:t> </w:t>
      </w:r>
      <w:r w:rsidRPr="002F266C">
        <w:rPr>
          <w:i/>
          <w:sz w:val="18"/>
          <w:szCs w:val="18"/>
        </w:rPr>
        <w:t xml:space="preserve">; </w:t>
      </w:r>
    </w:p>
    <w:p w:rsidR="00775300" w:rsidRPr="002F266C" w:rsidRDefault="00775300" w:rsidP="002F266C">
      <w:pPr>
        <w:spacing w:after="240"/>
        <w:ind w:firstLine="170"/>
        <w:rPr>
          <w:i/>
          <w:sz w:val="18"/>
          <w:szCs w:val="18"/>
        </w:rPr>
      </w:pPr>
      <w:r w:rsidRPr="002F266C">
        <w:rPr>
          <w:i/>
          <w:sz w:val="18"/>
          <w:szCs w:val="18"/>
          <w:vertAlign w:val="superscript"/>
        </w:rPr>
        <w:t>k</w:t>
      </w:r>
      <w:r w:rsidR="002F266C" w:rsidRPr="002F266C">
        <w:rPr>
          <w:i/>
          <w:sz w:val="18"/>
          <w:szCs w:val="18"/>
        </w:rPr>
        <w:t xml:space="preserve">  </w:t>
      </w:r>
      <w:r w:rsidRPr="002F266C">
        <w:rPr>
          <w:i/>
          <w:sz w:val="18"/>
          <w:szCs w:val="18"/>
        </w:rPr>
        <w:t xml:space="preserve">Il s’agit de matières auxquelles s’applique la Disposition spéciale 354 dans la colonne (6) Liste des marchandises dangereuses, pour les matières </w:t>
      </w:r>
      <w:r w:rsidR="002F266C" w:rsidRPr="002F266C">
        <w:rPr>
          <w:i/>
          <w:sz w:val="18"/>
          <w:szCs w:val="18"/>
        </w:rPr>
        <w:t>« </w:t>
      </w:r>
      <w:r w:rsidRPr="002F266C">
        <w:rPr>
          <w:i/>
          <w:sz w:val="18"/>
          <w:szCs w:val="18"/>
        </w:rPr>
        <w:t>TOXIQUES PAR INHALATION</w:t>
      </w:r>
      <w:r w:rsidR="002F266C" w:rsidRPr="002F266C">
        <w:rPr>
          <w:i/>
          <w:sz w:val="18"/>
          <w:szCs w:val="18"/>
        </w:rPr>
        <w:t> »</w:t>
      </w:r>
      <w:r w:rsidRPr="002F266C">
        <w:rPr>
          <w:i/>
          <w:sz w:val="18"/>
          <w:szCs w:val="18"/>
        </w:rPr>
        <w:t>, N.S.A.</w:t>
      </w:r>
    </w:p>
    <w:p w:rsidR="00775300" w:rsidRDefault="00775300" w:rsidP="002F266C">
      <w:pPr>
        <w:pStyle w:val="SingleTxtG"/>
        <w:ind w:firstLine="567"/>
      </w:pPr>
      <w:r w:rsidRPr="003F1424">
        <w:t>La signification des codes dans le tableau ci-dessus est expliquée à la section</w:t>
      </w:r>
      <w:r w:rsidR="002F266C">
        <w:t> </w:t>
      </w:r>
      <w:r w:rsidRPr="003F1424">
        <w:t>3.5.1 du</w:t>
      </w:r>
      <w:r w:rsidR="002F266C">
        <w:t> </w:t>
      </w:r>
      <w:r w:rsidRPr="003F1424">
        <w:t>Règlement type</w:t>
      </w:r>
      <w:r w:rsidRPr="00863F15">
        <w:t>.</w:t>
      </w:r>
    </w:p>
    <w:p w:rsidR="002F266C" w:rsidRPr="002F266C" w:rsidRDefault="002F266C" w:rsidP="002F266C">
      <w:pPr>
        <w:pStyle w:val="SingleTxtG"/>
        <w:spacing w:before="240" w:after="0"/>
        <w:jc w:val="center"/>
        <w:rPr>
          <w:u w:val="single"/>
        </w:rPr>
      </w:pPr>
      <w:r>
        <w:rPr>
          <w:u w:val="single"/>
        </w:rPr>
        <w:tab/>
      </w:r>
      <w:r>
        <w:rPr>
          <w:u w:val="single"/>
        </w:rPr>
        <w:tab/>
      </w:r>
      <w:r>
        <w:rPr>
          <w:u w:val="single"/>
        </w:rPr>
        <w:tab/>
      </w:r>
    </w:p>
    <w:sectPr w:rsidR="002F266C" w:rsidRPr="002F266C" w:rsidSect="00B143E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03D" w:rsidRDefault="00E7703D" w:rsidP="00F95C08">
      <w:pPr>
        <w:spacing w:line="240" w:lineRule="auto"/>
      </w:pPr>
    </w:p>
  </w:endnote>
  <w:endnote w:type="continuationSeparator" w:id="0">
    <w:p w:rsidR="00E7703D" w:rsidRPr="00AC3823" w:rsidRDefault="00E7703D" w:rsidP="00AC3823">
      <w:pPr>
        <w:pStyle w:val="Footer"/>
      </w:pPr>
    </w:p>
  </w:endnote>
  <w:endnote w:type="continuationNotice" w:id="1">
    <w:p w:rsidR="00E7703D" w:rsidRDefault="00E770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EF" w:rsidRPr="00B143EF" w:rsidRDefault="00B143EF" w:rsidP="00B143EF">
    <w:pPr>
      <w:pStyle w:val="Footer"/>
      <w:tabs>
        <w:tab w:val="right" w:pos="9638"/>
      </w:tabs>
    </w:pPr>
    <w:r w:rsidRPr="00B143EF">
      <w:rPr>
        <w:b/>
        <w:sz w:val="18"/>
      </w:rPr>
      <w:fldChar w:fldCharType="begin"/>
    </w:r>
    <w:r w:rsidRPr="00B143EF">
      <w:rPr>
        <w:b/>
        <w:sz w:val="18"/>
      </w:rPr>
      <w:instrText xml:space="preserve"> PAGE  \* MERGEFORMAT </w:instrText>
    </w:r>
    <w:r w:rsidRPr="00B143EF">
      <w:rPr>
        <w:b/>
        <w:sz w:val="18"/>
      </w:rPr>
      <w:fldChar w:fldCharType="separate"/>
    </w:r>
    <w:r w:rsidR="000F7B2D">
      <w:rPr>
        <w:b/>
        <w:noProof/>
        <w:sz w:val="18"/>
      </w:rPr>
      <w:t>4</w:t>
    </w:r>
    <w:r w:rsidRPr="00B143EF">
      <w:rPr>
        <w:b/>
        <w:sz w:val="18"/>
      </w:rPr>
      <w:fldChar w:fldCharType="end"/>
    </w:r>
    <w:r>
      <w:rPr>
        <w:b/>
        <w:sz w:val="18"/>
      </w:rPr>
      <w:tab/>
    </w:r>
    <w:r>
      <w:t>GE.16-15648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EF" w:rsidRPr="00B143EF" w:rsidRDefault="00B143EF" w:rsidP="00B143EF">
    <w:pPr>
      <w:pStyle w:val="Footer"/>
      <w:tabs>
        <w:tab w:val="right" w:pos="9638"/>
      </w:tabs>
      <w:rPr>
        <w:b/>
        <w:sz w:val="18"/>
      </w:rPr>
    </w:pPr>
    <w:r>
      <w:t>GE.16-15648</w:t>
    </w:r>
    <w:r>
      <w:tab/>
    </w:r>
    <w:r w:rsidRPr="00B143EF">
      <w:rPr>
        <w:b/>
        <w:sz w:val="18"/>
      </w:rPr>
      <w:fldChar w:fldCharType="begin"/>
    </w:r>
    <w:r w:rsidRPr="00B143EF">
      <w:rPr>
        <w:b/>
        <w:sz w:val="18"/>
      </w:rPr>
      <w:instrText xml:space="preserve"> PAGE  \* MERGEFORMAT </w:instrText>
    </w:r>
    <w:r w:rsidRPr="00B143EF">
      <w:rPr>
        <w:b/>
        <w:sz w:val="18"/>
      </w:rPr>
      <w:fldChar w:fldCharType="separate"/>
    </w:r>
    <w:r w:rsidR="000F7B2D">
      <w:rPr>
        <w:b/>
        <w:noProof/>
        <w:sz w:val="18"/>
      </w:rPr>
      <w:t>3</w:t>
    </w:r>
    <w:r w:rsidRPr="00B143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B143EF" w:rsidRDefault="00B143EF" w:rsidP="00B143EF">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5B03B7B0" wp14:editId="38AABB5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16-15648  (F)    111116    141116</w:t>
    </w:r>
    <w:r>
      <w:rPr>
        <w:sz w:val="20"/>
      </w:rPr>
      <w:br/>
    </w:r>
    <w:r w:rsidRPr="00B143EF">
      <w:rPr>
        <w:rFonts w:ascii="C39T30Lfz" w:hAnsi="C39T30Lfz"/>
        <w:sz w:val="56"/>
      </w:rPr>
      <w:t></w:t>
    </w:r>
    <w:r w:rsidRPr="00B143EF">
      <w:rPr>
        <w:rFonts w:ascii="C39T30Lfz" w:hAnsi="C39T30Lfz"/>
        <w:sz w:val="56"/>
      </w:rPr>
      <w:t></w:t>
    </w:r>
    <w:r w:rsidRPr="00B143EF">
      <w:rPr>
        <w:rFonts w:ascii="C39T30Lfz" w:hAnsi="C39T30Lfz"/>
        <w:sz w:val="56"/>
      </w:rPr>
      <w:t></w:t>
    </w:r>
    <w:r w:rsidRPr="00B143EF">
      <w:rPr>
        <w:rFonts w:ascii="C39T30Lfz" w:hAnsi="C39T30Lfz"/>
        <w:sz w:val="56"/>
      </w:rPr>
      <w:t></w:t>
    </w:r>
    <w:r w:rsidRPr="00B143EF">
      <w:rPr>
        <w:rFonts w:ascii="C39T30Lfz" w:hAnsi="C39T30Lfz"/>
        <w:sz w:val="56"/>
      </w:rPr>
      <w:t></w:t>
    </w:r>
    <w:r w:rsidRPr="00B143EF">
      <w:rPr>
        <w:rFonts w:ascii="C39T30Lfz" w:hAnsi="C39T30Lfz"/>
        <w:sz w:val="56"/>
      </w:rPr>
      <w:t></w:t>
    </w:r>
    <w:r w:rsidRPr="00B143EF">
      <w:rPr>
        <w:rFonts w:ascii="C39T30Lfz" w:hAnsi="C39T30Lfz"/>
        <w:sz w:val="56"/>
      </w:rPr>
      <w:t></w:t>
    </w:r>
    <w:r w:rsidRPr="00B143EF">
      <w:rPr>
        <w:rFonts w:ascii="C39T30Lfz" w:hAnsi="C39T30Lfz"/>
        <w:sz w:val="56"/>
      </w:rPr>
      <w:t></w:t>
    </w:r>
    <w:r w:rsidRPr="00B143EF">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7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7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03D" w:rsidRPr="00AC3823" w:rsidRDefault="00E7703D" w:rsidP="00AC3823">
      <w:pPr>
        <w:pStyle w:val="Footer"/>
        <w:tabs>
          <w:tab w:val="right" w:pos="2155"/>
        </w:tabs>
        <w:spacing w:after="80" w:line="240" w:lineRule="atLeast"/>
        <w:ind w:left="680"/>
        <w:rPr>
          <w:u w:val="single"/>
        </w:rPr>
      </w:pPr>
      <w:r>
        <w:rPr>
          <w:u w:val="single"/>
        </w:rPr>
        <w:tab/>
      </w:r>
    </w:p>
  </w:footnote>
  <w:footnote w:type="continuationSeparator" w:id="0">
    <w:p w:rsidR="00E7703D" w:rsidRPr="00AC3823" w:rsidRDefault="00E7703D" w:rsidP="00AC3823">
      <w:pPr>
        <w:pStyle w:val="Footer"/>
        <w:tabs>
          <w:tab w:val="right" w:pos="2155"/>
        </w:tabs>
        <w:spacing w:after="80" w:line="240" w:lineRule="atLeast"/>
        <w:ind w:left="680"/>
        <w:rPr>
          <w:u w:val="single"/>
        </w:rPr>
      </w:pPr>
      <w:r>
        <w:rPr>
          <w:u w:val="single"/>
        </w:rPr>
        <w:tab/>
      </w:r>
    </w:p>
  </w:footnote>
  <w:footnote w:type="continuationNotice" w:id="1">
    <w:p w:rsidR="00E7703D" w:rsidRPr="00AC3823" w:rsidRDefault="00E7703D">
      <w:pPr>
        <w:spacing w:line="240" w:lineRule="auto"/>
        <w:rPr>
          <w:sz w:val="2"/>
          <w:szCs w:val="2"/>
        </w:rPr>
      </w:pPr>
    </w:p>
  </w:footnote>
  <w:footnote w:id="2">
    <w:p w:rsidR="005F7119" w:rsidRDefault="005F7119">
      <w:pPr>
        <w:pStyle w:val="FootnoteText"/>
      </w:pPr>
      <w:r>
        <w:tab/>
      </w:r>
      <w:r>
        <w:rPr>
          <w:rStyle w:val="FootnoteReference"/>
        </w:rPr>
        <w:footnoteRef/>
      </w:r>
      <w:r>
        <w:tab/>
      </w:r>
      <w:r w:rsidRPr="00974088">
        <w:t>Conformément au programme de travail du Sous-Comité pour la période 2015-2016 tel qu</w:t>
      </w:r>
      <w:r w:rsidR="007E7298">
        <w:t>’</w:t>
      </w:r>
      <w:r w:rsidRPr="00974088">
        <w:t>approuvé par le Comité à sa septième session (voir ST/SG/AC.10/C.3/92, par.</w:t>
      </w:r>
      <w:r>
        <w:t> </w:t>
      </w:r>
      <w:r w:rsidRPr="00974088">
        <w:t>95, et ST/SG/AC.10/42, par.</w:t>
      </w:r>
      <w:r w:rsidRPr="00DB63BF">
        <w:t> 15).</w:t>
      </w:r>
    </w:p>
  </w:footnote>
  <w:footnote w:id="3">
    <w:p w:rsidR="007E7298" w:rsidRDefault="007E7298">
      <w:pPr>
        <w:pStyle w:val="FootnoteText"/>
      </w:pPr>
      <w:r>
        <w:tab/>
      </w:r>
      <w:r>
        <w:rPr>
          <w:rStyle w:val="FootnoteReference"/>
        </w:rPr>
        <w:footnoteRef/>
      </w:r>
      <w:r>
        <w:tab/>
        <w:t>Avant l’adoption du système de Code-E par le Sous-Comité, les Instructions techniques de l’OACI contenaient un chapitre spécifique pour les quantités exemptées, qui énumérait les matières autorisées pour le transport en tant que quantités exemptées et les limites de quantités appropriées par emballage intérieur et extérieur, basées sur leur classe de danger et leur groupe d’emballage. Voir partie 1,2.4 des Instructions de l’OACI 2005-2006 (comme reproduit dans le document informel INF.6).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EF" w:rsidRPr="00B143EF" w:rsidRDefault="00B143EF">
    <w:pPr>
      <w:pStyle w:val="Header"/>
    </w:pPr>
    <w:r>
      <w:t>ST/SG/AC.10/C.3/2016/78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EF" w:rsidRPr="00B143EF" w:rsidRDefault="00B143EF" w:rsidP="00B143EF">
    <w:pPr>
      <w:pStyle w:val="Header"/>
      <w:jc w:val="right"/>
    </w:pPr>
    <w:r>
      <w:t>ST/SG/AC.10/C.3/2016/78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3D"/>
    <w:rsid w:val="00017F94"/>
    <w:rsid w:val="00023842"/>
    <w:rsid w:val="000305D3"/>
    <w:rsid w:val="000334F9"/>
    <w:rsid w:val="00042B33"/>
    <w:rsid w:val="0007796D"/>
    <w:rsid w:val="00077C48"/>
    <w:rsid w:val="000B7790"/>
    <w:rsid w:val="000F7B2D"/>
    <w:rsid w:val="00111F2F"/>
    <w:rsid w:val="00132EA9"/>
    <w:rsid w:val="0014365E"/>
    <w:rsid w:val="00176178"/>
    <w:rsid w:val="001F525A"/>
    <w:rsid w:val="00223272"/>
    <w:rsid w:val="00240E0B"/>
    <w:rsid w:val="0024779E"/>
    <w:rsid w:val="00262D1A"/>
    <w:rsid w:val="00283190"/>
    <w:rsid w:val="002832AC"/>
    <w:rsid w:val="002C79F1"/>
    <w:rsid w:val="002D7C93"/>
    <w:rsid w:val="002F266C"/>
    <w:rsid w:val="00311347"/>
    <w:rsid w:val="00325FEF"/>
    <w:rsid w:val="003E2A2C"/>
    <w:rsid w:val="003F0AD9"/>
    <w:rsid w:val="00441C3B"/>
    <w:rsid w:val="00446FE5"/>
    <w:rsid w:val="00452396"/>
    <w:rsid w:val="00454797"/>
    <w:rsid w:val="004D32DD"/>
    <w:rsid w:val="004E468C"/>
    <w:rsid w:val="005505B7"/>
    <w:rsid w:val="00573BE5"/>
    <w:rsid w:val="00586ED3"/>
    <w:rsid w:val="00591A57"/>
    <w:rsid w:val="00596AA9"/>
    <w:rsid w:val="005A15C5"/>
    <w:rsid w:val="005F7119"/>
    <w:rsid w:val="006574DF"/>
    <w:rsid w:val="00680C3F"/>
    <w:rsid w:val="0068456F"/>
    <w:rsid w:val="0071601D"/>
    <w:rsid w:val="00730FAF"/>
    <w:rsid w:val="0077438B"/>
    <w:rsid w:val="00775300"/>
    <w:rsid w:val="007A62E6"/>
    <w:rsid w:val="007E7298"/>
    <w:rsid w:val="0080684C"/>
    <w:rsid w:val="00871C75"/>
    <w:rsid w:val="0087349F"/>
    <w:rsid w:val="008776DC"/>
    <w:rsid w:val="00887E61"/>
    <w:rsid w:val="008F215B"/>
    <w:rsid w:val="00927F4A"/>
    <w:rsid w:val="009705C8"/>
    <w:rsid w:val="009C1CF4"/>
    <w:rsid w:val="009F5036"/>
    <w:rsid w:val="00A30353"/>
    <w:rsid w:val="00A51CEE"/>
    <w:rsid w:val="00A863D6"/>
    <w:rsid w:val="00AA4860"/>
    <w:rsid w:val="00AC3823"/>
    <w:rsid w:val="00AE323C"/>
    <w:rsid w:val="00B00181"/>
    <w:rsid w:val="00B00B0D"/>
    <w:rsid w:val="00B143EF"/>
    <w:rsid w:val="00B22059"/>
    <w:rsid w:val="00B75C9B"/>
    <w:rsid w:val="00B765F7"/>
    <w:rsid w:val="00BA0CA9"/>
    <w:rsid w:val="00BD46BD"/>
    <w:rsid w:val="00BE0C0F"/>
    <w:rsid w:val="00C02897"/>
    <w:rsid w:val="00CB771D"/>
    <w:rsid w:val="00D3439C"/>
    <w:rsid w:val="00D83A14"/>
    <w:rsid w:val="00DB1831"/>
    <w:rsid w:val="00DD3BFD"/>
    <w:rsid w:val="00DF6678"/>
    <w:rsid w:val="00E56738"/>
    <w:rsid w:val="00E7703D"/>
    <w:rsid w:val="00ED0728"/>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alt-edited">
    <w:name w:val="alt-edited"/>
    <w:basedOn w:val="DefaultParagraphFont"/>
    <w:rsid w:val="00775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alt-edited">
    <w:name w:val="alt-edited"/>
    <w:basedOn w:val="DefaultParagraphFont"/>
    <w:rsid w:val="0077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ST.dotm</Template>
  <TotalTime>0</TotalTime>
  <Pages>4</Pages>
  <Words>1096</Words>
  <Characters>6248</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ST/SG/AC.10/C.3/2016/78</vt:lpstr>
      <vt:lpstr>ST/SG/AC.10/C.3/2016/78</vt:lpstr>
    </vt:vector>
  </TitlesOfParts>
  <Company>DCM</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ST/SG/AC.10/C.3/2016/78</dc:title>
  <dc:creator>C. Chautagnat</dc:creator>
  <cp:lastModifiedBy>Laurence Berthet</cp:lastModifiedBy>
  <cp:revision>2</cp:revision>
  <cp:lastPrinted>2017-01-05T14:01:00Z</cp:lastPrinted>
  <dcterms:created xsi:type="dcterms:W3CDTF">2017-01-05T14:01:00Z</dcterms:created>
  <dcterms:modified xsi:type="dcterms:W3CDTF">2017-01-05T14:01:00Z</dcterms:modified>
</cp:coreProperties>
</file>