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97460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9C312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74608" w:rsidRPr="00DB58B5" w:rsidRDefault="00974608" w:rsidP="00974608">
            <w:pPr>
              <w:jc w:val="right"/>
            </w:pPr>
            <w:r w:rsidRPr="00974608">
              <w:rPr>
                <w:sz w:val="40"/>
              </w:rPr>
              <w:t>ST</w:t>
            </w:r>
            <w:r>
              <w:t>/SG/AC.10/C.3/2016/62−</w:t>
            </w:r>
            <w:r w:rsidRPr="00974608">
              <w:rPr>
                <w:sz w:val="40"/>
              </w:rPr>
              <w:t>ST</w:t>
            </w:r>
            <w:r>
              <w:t>/SG/AC.10/C.4/2016/13</w:t>
            </w:r>
          </w:p>
        </w:tc>
      </w:tr>
      <w:tr w:rsidR="00132EA9" w:rsidRPr="00DB58B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9C31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76D5A0" wp14:editId="1FEE2C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974608" w:rsidP="009C3129">
            <w:pPr>
              <w:spacing w:before="240"/>
            </w:pPr>
            <w:r>
              <w:t>Distr. générale</w:t>
            </w:r>
          </w:p>
          <w:p w:rsidR="00974608" w:rsidRDefault="00974608" w:rsidP="00974608">
            <w:pPr>
              <w:spacing w:line="240" w:lineRule="exact"/>
            </w:pPr>
            <w:r>
              <w:t>6 septembre 2016</w:t>
            </w:r>
          </w:p>
          <w:p w:rsidR="00974608" w:rsidRDefault="00974608" w:rsidP="00974608">
            <w:pPr>
              <w:spacing w:line="240" w:lineRule="exact"/>
            </w:pPr>
            <w:r>
              <w:t>Français</w:t>
            </w:r>
          </w:p>
          <w:p w:rsidR="00974608" w:rsidRPr="00DB58B5" w:rsidRDefault="00974608" w:rsidP="00974608">
            <w:pPr>
              <w:spacing w:line="240" w:lineRule="exact"/>
            </w:pPr>
            <w:r>
              <w:t>Original : anglais</w:t>
            </w:r>
          </w:p>
        </w:tc>
      </w:tr>
    </w:tbl>
    <w:p w:rsidR="00974608" w:rsidRPr="00CA0680" w:rsidRDefault="00974608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743EE7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743EE7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974608" w:rsidTr="009C3129">
        <w:tc>
          <w:tcPr>
            <w:tcW w:w="4820" w:type="dxa"/>
          </w:tcPr>
          <w:p w:rsidR="00974608" w:rsidRDefault="00974608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</w:t>
            </w:r>
            <w:r w:rsidR="00743EE7">
              <w:rPr>
                <w:b/>
              </w:rPr>
              <w:t>’</w:t>
            </w:r>
            <w:r w:rsidRPr="00CA0680">
              <w:rPr>
                <w:b/>
              </w:rPr>
              <w:t>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:rsidR="00974608" w:rsidRDefault="00974608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</w:t>
            </w:r>
            <w:r w:rsidR="00743EE7">
              <w:rPr>
                <w:b/>
              </w:rPr>
              <w:t>’</w:t>
            </w:r>
            <w:r>
              <w:rPr>
                <w:b/>
              </w:rPr>
              <w:t>experts du Système général harmonisé de classification et d</w:t>
            </w:r>
            <w:r w:rsidR="00743EE7">
              <w:rPr>
                <w:b/>
              </w:rPr>
              <w:t>’</w:t>
            </w:r>
            <w:r>
              <w:rPr>
                <w:b/>
              </w:rPr>
              <w:t>étiquetage des produits chimiques</w:t>
            </w:r>
          </w:p>
        </w:tc>
      </w:tr>
      <w:tr w:rsidR="00974608" w:rsidTr="009C3129">
        <w:tc>
          <w:tcPr>
            <w:tcW w:w="4820" w:type="dxa"/>
          </w:tcPr>
          <w:p w:rsidR="00974608" w:rsidRPr="00CA0680" w:rsidRDefault="00974608" w:rsidP="009C312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Cinquantième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:rsidR="00974608" w:rsidRDefault="00974608" w:rsidP="009C3129">
            <w:pPr>
              <w:spacing w:before="120"/>
              <w:rPr>
                <w:b/>
              </w:rPr>
            </w:pPr>
            <w:r>
              <w:rPr>
                <w:b/>
              </w:rPr>
              <w:t>Trente-deuxième session</w:t>
            </w:r>
          </w:p>
        </w:tc>
      </w:tr>
      <w:tr w:rsidR="00974608" w:rsidTr="009C3129">
        <w:tc>
          <w:tcPr>
            <w:tcW w:w="4820" w:type="dxa"/>
          </w:tcPr>
          <w:p w:rsidR="00974608" w:rsidRDefault="00974608" w:rsidP="006075CD">
            <w:pPr>
              <w:spacing w:before="120"/>
            </w:pPr>
            <w:r>
              <w:t xml:space="preserve">Genève, </w:t>
            </w:r>
            <w:r w:rsidRPr="009E12E8">
              <w:rPr>
                <w:szCs w:val="24"/>
                <w:lang w:val="en-US"/>
              </w:rPr>
              <w:t xml:space="preserve">28 </w:t>
            </w:r>
            <w:r>
              <w:rPr>
                <w:szCs w:val="24"/>
                <w:lang w:val="en-US"/>
              </w:rPr>
              <w:t>n</w:t>
            </w:r>
            <w:r w:rsidRPr="009E12E8">
              <w:rPr>
                <w:szCs w:val="24"/>
                <w:lang w:val="en-US"/>
              </w:rPr>
              <w:t>ovembr</w:t>
            </w:r>
            <w:r>
              <w:rPr>
                <w:szCs w:val="24"/>
                <w:lang w:val="en-US"/>
              </w:rPr>
              <w:t>e</w:t>
            </w:r>
            <w:r w:rsidRPr="009E12E8">
              <w:rPr>
                <w:szCs w:val="24"/>
                <w:lang w:val="en-US"/>
              </w:rPr>
              <w:t xml:space="preserve">-6 </w:t>
            </w:r>
            <w:r>
              <w:rPr>
                <w:szCs w:val="24"/>
                <w:lang w:val="en-US"/>
              </w:rPr>
              <w:t>dé</w:t>
            </w:r>
            <w:r w:rsidRPr="009E12E8">
              <w:rPr>
                <w:szCs w:val="24"/>
                <w:lang w:val="en-US"/>
              </w:rPr>
              <w:t>cembr</w:t>
            </w:r>
            <w:r>
              <w:rPr>
                <w:szCs w:val="24"/>
                <w:lang w:val="en-US"/>
              </w:rPr>
              <w:t>e</w:t>
            </w:r>
            <w:r w:rsidRPr="009E12E8">
              <w:rPr>
                <w:szCs w:val="24"/>
                <w:lang w:val="en-US"/>
              </w:rPr>
              <w:t xml:space="preserve"> 2016</w:t>
            </w:r>
          </w:p>
          <w:p w:rsidR="00974608" w:rsidRDefault="00974608" w:rsidP="009C3129">
            <w:r>
              <w:t>Point 7 i) de l</w:t>
            </w:r>
            <w:r w:rsidR="00743EE7">
              <w:t>’</w:t>
            </w:r>
            <w:r>
              <w:t>ordre du jour provisoire</w:t>
            </w:r>
          </w:p>
          <w:p w:rsidR="00974608" w:rsidRPr="003B79D9" w:rsidRDefault="00974608" w:rsidP="00974608">
            <w:pPr>
              <w:rPr>
                <w:b/>
              </w:rPr>
            </w:pPr>
            <w:r w:rsidRPr="00315C8D">
              <w:rPr>
                <w:b/>
                <w:szCs w:val="24"/>
              </w:rPr>
              <w:t xml:space="preserve">Questions relatives au Système général harmonisé de </w:t>
            </w:r>
            <w:r>
              <w:rPr>
                <w:b/>
                <w:szCs w:val="24"/>
              </w:rPr>
              <w:br/>
            </w:r>
            <w:r w:rsidRPr="00315C8D">
              <w:rPr>
                <w:b/>
                <w:szCs w:val="24"/>
              </w:rPr>
              <w:t>classification et d</w:t>
            </w:r>
            <w:r w:rsidR="00743EE7">
              <w:rPr>
                <w:b/>
                <w:szCs w:val="24"/>
              </w:rPr>
              <w:t>’</w:t>
            </w:r>
            <w:r w:rsidRPr="00315C8D">
              <w:rPr>
                <w:b/>
                <w:szCs w:val="24"/>
              </w:rPr>
              <w:t>étiquetage des produits chimiques (SGH)</w:t>
            </w:r>
            <w:r>
              <w:rPr>
                <w:b/>
                <w:szCs w:val="24"/>
              </w:rPr>
              <w:t> </w:t>
            </w:r>
            <w:r w:rsidRPr="00315C8D">
              <w:rPr>
                <w:b/>
                <w:szCs w:val="24"/>
              </w:rPr>
              <w:t>:</w:t>
            </w:r>
            <w:r w:rsidRPr="009E12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Divers</w:t>
            </w:r>
          </w:p>
        </w:tc>
        <w:tc>
          <w:tcPr>
            <w:tcW w:w="4820" w:type="dxa"/>
          </w:tcPr>
          <w:p w:rsidR="00974608" w:rsidRDefault="00974608" w:rsidP="006075CD">
            <w:pPr>
              <w:spacing w:before="120"/>
            </w:pPr>
            <w:r>
              <w:t xml:space="preserve">Genève, </w:t>
            </w:r>
            <w:r w:rsidRPr="009E12E8">
              <w:rPr>
                <w:szCs w:val="24"/>
              </w:rPr>
              <w:t xml:space="preserve">7-9 </w:t>
            </w:r>
            <w:r>
              <w:rPr>
                <w:szCs w:val="24"/>
              </w:rPr>
              <w:t>décembre</w:t>
            </w:r>
            <w:r w:rsidRPr="009E12E8">
              <w:rPr>
                <w:szCs w:val="24"/>
              </w:rPr>
              <w:t xml:space="preserve"> 2016</w:t>
            </w:r>
          </w:p>
          <w:p w:rsidR="00974608" w:rsidRDefault="00974608" w:rsidP="009C3129">
            <w:r>
              <w:t>Point 2 b) de l</w:t>
            </w:r>
            <w:r w:rsidR="00743EE7">
              <w:t>’</w:t>
            </w:r>
            <w:r>
              <w:t>ordre du jour provisoire</w:t>
            </w:r>
          </w:p>
          <w:p w:rsidR="00974608" w:rsidRPr="003B79D9" w:rsidRDefault="00974608" w:rsidP="009C3129">
            <w:pPr>
              <w:rPr>
                <w:b/>
              </w:rPr>
            </w:pPr>
            <w:r w:rsidRPr="00705E3B">
              <w:rPr>
                <w:b/>
                <w:szCs w:val="24"/>
              </w:rPr>
              <w:t>Critères de classification et communication des dangers y relatifs</w:t>
            </w:r>
            <w:r>
              <w:rPr>
                <w:b/>
                <w:szCs w:val="24"/>
              </w:rPr>
              <w:t> </w:t>
            </w:r>
            <w:r w:rsidRPr="00705E3B">
              <w:rPr>
                <w:b/>
                <w:szCs w:val="24"/>
              </w:rPr>
              <w:t>:</w:t>
            </w:r>
            <w:r w:rsidRPr="009E12E8">
              <w:rPr>
                <w:b/>
                <w:szCs w:val="24"/>
              </w:rPr>
              <w:t xml:space="preserve"> </w:t>
            </w:r>
            <w:r w:rsidRPr="00705E3B">
              <w:rPr>
                <w:b/>
                <w:szCs w:val="24"/>
              </w:rPr>
              <w:t>Travaux du Sous-Comité TMD sur des questions intéressant le Sous-Comité SGH</w:t>
            </w:r>
          </w:p>
        </w:tc>
      </w:tr>
    </w:tbl>
    <w:p w:rsidR="00974608" w:rsidRPr="00974608" w:rsidRDefault="00974608" w:rsidP="006075CD">
      <w:pPr>
        <w:pStyle w:val="HChG"/>
      </w:pPr>
      <w:r w:rsidRPr="00974608">
        <w:tab/>
      </w:r>
      <w:r w:rsidRPr="00974608">
        <w:tab/>
        <w:t xml:space="preserve">Corrections à apporter à la classification </w:t>
      </w:r>
      <w:r w:rsidR="006075CD">
        <w:br/>
      </w:r>
      <w:r w:rsidRPr="00974608">
        <w:t>des liquides inflammables</w:t>
      </w:r>
    </w:p>
    <w:p w:rsidR="00974608" w:rsidRPr="00974608" w:rsidRDefault="00974608" w:rsidP="006075CD">
      <w:pPr>
        <w:pStyle w:val="H1G"/>
      </w:pPr>
      <w:r w:rsidRPr="00974608">
        <w:tab/>
      </w:r>
      <w:r w:rsidRPr="00974608">
        <w:tab/>
        <w:t>Communication de l</w:t>
      </w:r>
      <w:r w:rsidR="00743EE7">
        <w:t>’</w:t>
      </w:r>
      <w:r w:rsidRPr="00974608">
        <w:t>expert de l</w:t>
      </w:r>
      <w:r w:rsidR="00743EE7">
        <w:t>’</w:t>
      </w:r>
      <w:r w:rsidRPr="00974608">
        <w:t>Allemagne</w:t>
      </w:r>
      <w:r w:rsidR="006075CD" w:rsidRPr="006075CD">
        <w:rPr>
          <w:rStyle w:val="FootnoteReference"/>
          <w:b w:val="0"/>
        </w:rPr>
        <w:footnoteReference w:id="2"/>
      </w:r>
    </w:p>
    <w:p w:rsidR="00974608" w:rsidRPr="00974608" w:rsidRDefault="00974608" w:rsidP="006075CD">
      <w:pPr>
        <w:pStyle w:val="SingleTxtG"/>
        <w:numPr>
          <w:ilvl w:val="0"/>
          <w:numId w:val="15"/>
        </w:numPr>
        <w:ind w:left="1134" w:firstLine="0"/>
      </w:pPr>
      <w:r w:rsidRPr="00974608">
        <w:t>Dans le cadre des travaux menés en vue de la révision du Manuel d</w:t>
      </w:r>
      <w:r w:rsidR="00743EE7">
        <w:t>’</w:t>
      </w:r>
      <w:r w:rsidRPr="00974608">
        <w:t xml:space="preserve">épreuves et de critères de manière à ce que les dispositions du SGH y soient prises en compte, comme proposé dans les documents informels INF.3 (SGH, trente et unième session) et INF.4 (TMD, quarante-neuvième session) et dans les additifs à ces documents, soumis à la dernière session des deux </w:t>
      </w:r>
      <w:r w:rsidR="00743EE7">
        <w:t>S</w:t>
      </w:r>
      <w:r w:rsidRPr="00974608">
        <w:t>ous-</w:t>
      </w:r>
      <w:r w:rsidR="00743EE7">
        <w:t>C</w:t>
      </w:r>
      <w:r w:rsidRPr="00974608">
        <w:t>omités, l</w:t>
      </w:r>
      <w:r w:rsidR="00743EE7">
        <w:t>’</w:t>
      </w:r>
      <w:r w:rsidRPr="00974608">
        <w:t>expert</w:t>
      </w:r>
      <w:r w:rsidR="00816D5D">
        <w:t xml:space="preserve"> </w:t>
      </w:r>
      <w:r w:rsidRPr="00974608">
        <w:t>de l</w:t>
      </w:r>
      <w:r w:rsidR="00743EE7">
        <w:t>’</w:t>
      </w:r>
      <w:r w:rsidRPr="00974608">
        <w:t>Allemagne a détecté des incohérences dans le SGH</w:t>
      </w:r>
      <w:r w:rsidR="00816D5D">
        <w:t> </w:t>
      </w:r>
      <w:r w:rsidRPr="00974608">
        <w:t>; il conviendrait donc de corriger celles-ci à la source, c</w:t>
      </w:r>
      <w:r w:rsidR="00743EE7">
        <w:t>’</w:t>
      </w:r>
      <w:r w:rsidRPr="00974608">
        <w:t xml:space="preserve">est-à-dire dans le Système </w:t>
      </w:r>
      <w:r w:rsidR="00743EE7">
        <w:t>g</w:t>
      </w:r>
      <w:r w:rsidRPr="00974608">
        <w:t xml:space="preserve">énéral </w:t>
      </w:r>
      <w:r w:rsidR="00743EE7">
        <w:t>h</w:t>
      </w:r>
      <w:r w:rsidRPr="00974608">
        <w:t xml:space="preserve">armonisé (tel que recommandé par le Président du Groupe de travail des explosifs). </w:t>
      </w:r>
    </w:p>
    <w:p w:rsidR="00974608" w:rsidRPr="00974608" w:rsidRDefault="00974608" w:rsidP="006075CD">
      <w:pPr>
        <w:pStyle w:val="SingleTxtG"/>
        <w:numPr>
          <w:ilvl w:val="0"/>
          <w:numId w:val="15"/>
        </w:numPr>
        <w:ind w:left="1134" w:firstLine="0"/>
      </w:pPr>
      <w:r w:rsidRPr="00974608">
        <w:t>Dans le paragraphe 2.6.4.2.2 du SGH, il est fait référence aux critères de classification applicables à la détermination du point d</w:t>
      </w:r>
      <w:r w:rsidR="00743EE7">
        <w:t>’</w:t>
      </w:r>
      <w:r w:rsidRPr="00974608">
        <w:t>éclair pour les liquides inflammables (23 °C et 60 °C). Le troisième critère de classification (93 °C) n</w:t>
      </w:r>
      <w:r w:rsidR="00743EE7">
        <w:t>’</w:t>
      </w:r>
      <w:r w:rsidRPr="00974608">
        <w:t>est pas mentionné (apparemment parce que le texte y relatif a été</w:t>
      </w:r>
      <w:r w:rsidR="00816D5D">
        <w:t xml:space="preserve"> </w:t>
      </w:r>
      <w:r w:rsidRPr="00974608">
        <w:t>extrait du Manuel d</w:t>
      </w:r>
      <w:r w:rsidR="00743EE7">
        <w:t>’</w:t>
      </w:r>
      <w:r w:rsidRPr="00974608">
        <w:t>épreuves et de critères sans avoir été adapté afin de prendre en compte la catégorie 4). Cependant, le même principe (c</w:t>
      </w:r>
      <w:r w:rsidR="00743EE7">
        <w:t>’</w:t>
      </w:r>
      <w:r w:rsidRPr="00974608">
        <w:t>est-à-dire l</w:t>
      </w:r>
      <w:r w:rsidR="00743EE7">
        <w:t>’</w:t>
      </w:r>
      <w:r w:rsidRPr="00974608">
        <w:t>application d</w:t>
      </w:r>
      <w:r w:rsidR="00743EE7">
        <w:t>’</w:t>
      </w:r>
      <w:r w:rsidRPr="00974608">
        <w:t>une marge de sécurité de 5</w:t>
      </w:r>
      <w:r w:rsidR="006075CD">
        <w:t> </w:t>
      </w:r>
      <w:r w:rsidRPr="00974608">
        <w:t>°C) devrait s</w:t>
      </w:r>
      <w:r w:rsidR="00743EE7">
        <w:t>’</w:t>
      </w:r>
      <w:r w:rsidRPr="00974608">
        <w:t>appliquer lorsque l</w:t>
      </w:r>
      <w:r w:rsidR="00743EE7">
        <w:t>’</w:t>
      </w:r>
      <w:r w:rsidRPr="00974608">
        <w:t xml:space="preserve">on utilise la méthode de calcul afin de déterminer, en fonction des </w:t>
      </w:r>
      <w:r w:rsidRPr="00974608">
        <w:lastRenderedPageBreak/>
        <w:t>calculs, si un liquide relève de la catégorie 4 ou n</w:t>
      </w:r>
      <w:r w:rsidR="00743EE7">
        <w:t>’</w:t>
      </w:r>
      <w:r w:rsidRPr="00974608">
        <w:t xml:space="preserve">entre pas dans la catégorie des liquides inflammables. </w:t>
      </w:r>
    </w:p>
    <w:p w:rsidR="00974608" w:rsidRPr="00974608" w:rsidRDefault="00974608" w:rsidP="006075CD">
      <w:pPr>
        <w:pStyle w:val="SingleTxtG"/>
        <w:numPr>
          <w:ilvl w:val="0"/>
          <w:numId w:val="15"/>
        </w:numPr>
        <w:ind w:left="1134" w:firstLine="0"/>
      </w:pPr>
      <w:r w:rsidRPr="00974608">
        <w:t>On relève une incohérence similaire, à savoir que les liquides inflammables de la catégorie 4 ne sont pas appréhendés de manière appropriée dans le SGH</w:t>
      </w:r>
      <w:r w:rsidR="00743EE7">
        <w:t>,</w:t>
      </w:r>
      <w:r w:rsidRPr="00974608">
        <w:t xml:space="preserve"> dans le Nota 2 de la section 2.6.2 du SGH. D</w:t>
      </w:r>
      <w:r w:rsidR="00743EE7">
        <w:t>’</w:t>
      </w:r>
      <w:r w:rsidRPr="00974608">
        <w:t>après ce Nota, les liquides inflammables ayant un point d</w:t>
      </w:r>
      <w:r w:rsidR="00743EE7">
        <w:t>’</w:t>
      </w:r>
      <w:r w:rsidRPr="00974608">
        <w:t>éclair supérieur à 35 °C et ne dépassant pas 60 °C peuvent être exemptés en fonction des résultats obtenus lors de l</w:t>
      </w:r>
      <w:r w:rsidR="00743EE7">
        <w:t>’</w:t>
      </w:r>
      <w:r w:rsidRPr="00974608">
        <w:t>épreuve de combustion entretenue L.2. Toutefois, avant d</w:t>
      </w:r>
      <w:r w:rsidR="00743EE7">
        <w:t>’</w:t>
      </w:r>
      <w:r w:rsidRPr="00974608">
        <w:t xml:space="preserve">être exemptés, ces liquides devraient être </w:t>
      </w:r>
      <w:r w:rsidR="00816D5D">
        <w:t>« </w:t>
      </w:r>
      <w:r w:rsidRPr="00974608">
        <w:t>déplacés dans la catégorie supérieure</w:t>
      </w:r>
      <w:r w:rsidR="00816D5D">
        <w:t> »</w:t>
      </w:r>
      <w:r w:rsidRPr="00974608">
        <w:t xml:space="preserve"> aux fins du SGH. Cela signifierait bien sûr qu</w:t>
      </w:r>
      <w:r w:rsidR="00743EE7">
        <w:t>’</w:t>
      </w:r>
      <w:r w:rsidRPr="00974608">
        <w:t>ils sont exemptés pour les secteurs qui n</w:t>
      </w:r>
      <w:r w:rsidR="00743EE7">
        <w:t>’</w:t>
      </w:r>
      <w:r w:rsidRPr="00974608">
        <w:t xml:space="preserve">ont pas appliqué la catégorie 4 (par exemple le secteur des transports). </w:t>
      </w:r>
    </w:p>
    <w:p w:rsidR="00974608" w:rsidRPr="00974608" w:rsidRDefault="00974608" w:rsidP="006075CD">
      <w:pPr>
        <w:pStyle w:val="SingleTxtG"/>
        <w:numPr>
          <w:ilvl w:val="0"/>
          <w:numId w:val="15"/>
        </w:numPr>
        <w:ind w:left="1134" w:firstLine="0"/>
      </w:pPr>
      <w:r w:rsidRPr="00974608">
        <w:t>De plus, le Nota 2 de la section 2.6.2 du SGH ne s</w:t>
      </w:r>
      <w:r w:rsidR="00743EE7">
        <w:t>’</w:t>
      </w:r>
      <w:r w:rsidRPr="00974608">
        <w:t>applique qu</w:t>
      </w:r>
      <w:r w:rsidR="00743EE7">
        <w:t>’</w:t>
      </w:r>
      <w:r w:rsidRPr="00974608">
        <w:t>aux liquides inflammables de la catégorie 3 (ayant un point d</w:t>
      </w:r>
      <w:r w:rsidR="00743EE7">
        <w:t>’</w:t>
      </w:r>
      <w:r w:rsidRPr="00974608">
        <w:t>éclair supérieur à 35 °C). Il n</w:t>
      </w:r>
      <w:r w:rsidR="00743EE7">
        <w:t>’</w:t>
      </w:r>
      <w:r w:rsidRPr="00974608">
        <w:t>est pas possible de réserver le même traitement aux liquides inflammables de la catégorie 4, alors que ces dispositions seraient particulièrement utiles pour les liquides inflammables ayant un point d</w:t>
      </w:r>
      <w:r w:rsidR="00743EE7">
        <w:t>’</w:t>
      </w:r>
      <w:r w:rsidRPr="00974608">
        <w:t>éclair encore plus élevé, c</w:t>
      </w:r>
      <w:r w:rsidR="00743EE7">
        <w:t>’</w:t>
      </w:r>
      <w:r w:rsidRPr="00974608">
        <w:t>est-à-dire supérieur à 60 °C</w:t>
      </w:r>
      <w:r w:rsidR="00743EE7">
        <w:t>,</w:t>
      </w:r>
      <w:r w:rsidRPr="00974608">
        <w:t xml:space="preserve"> </w:t>
      </w:r>
      <w:r w:rsidR="00743EE7">
        <w:t>c</w:t>
      </w:r>
      <w:r w:rsidRPr="00974608">
        <w:t>e qui entraîne une autre incohérence s</w:t>
      </w:r>
      <w:r w:rsidR="00743EE7">
        <w:t>’</w:t>
      </w:r>
      <w:r w:rsidRPr="00974608">
        <w:t>agissant de l</w:t>
      </w:r>
      <w:r w:rsidR="00743EE7">
        <w:t>’</w:t>
      </w:r>
      <w:r w:rsidRPr="00974608">
        <w:t>application de la note de bas de page 2 correspondante dans le diagramme présenté sous le point 2.6.4.1, à laquelle renvoie une flèche pointée vers la catégorie 4 bien que le texte de la note de bas de page ne s</w:t>
      </w:r>
      <w:r w:rsidR="00743EE7">
        <w:t>’</w:t>
      </w:r>
      <w:r w:rsidRPr="00974608">
        <w:t xml:space="preserve">applique pas aux liquides inflammables de la catégorie </w:t>
      </w:r>
      <w:r w:rsidR="00743EE7">
        <w:t>4.</w:t>
      </w:r>
    </w:p>
    <w:p w:rsidR="00974608" w:rsidRPr="00974608" w:rsidRDefault="00974608" w:rsidP="006075CD">
      <w:pPr>
        <w:pStyle w:val="SingleTxtG"/>
        <w:numPr>
          <w:ilvl w:val="0"/>
          <w:numId w:val="15"/>
        </w:numPr>
        <w:ind w:left="1134" w:firstLine="0"/>
      </w:pPr>
      <w:r w:rsidRPr="00974608">
        <w:t>Les températures d</w:t>
      </w:r>
      <w:r w:rsidR="00743EE7">
        <w:t>’</w:t>
      </w:r>
      <w:r w:rsidRPr="00974608">
        <w:t>épreuve de l</w:t>
      </w:r>
      <w:r w:rsidR="00743EE7">
        <w:t>’</w:t>
      </w:r>
      <w:r w:rsidRPr="00974608">
        <w:t>épreuve L.2 données actuellement dans le Manuel d</w:t>
      </w:r>
      <w:r w:rsidR="00743EE7">
        <w:t>’</w:t>
      </w:r>
      <w:r w:rsidRPr="00974608">
        <w:t>épreuves et de critères sont de 60,5 °C et 75 °C (voir le 32.5.2.3.2). Elles ont été fixées de manière à s</w:t>
      </w:r>
      <w:r w:rsidR="00743EE7">
        <w:t>’</w:t>
      </w:r>
      <w:r w:rsidRPr="00974608">
        <w:t>appliquer aux liquides ayant un point d</w:t>
      </w:r>
      <w:r w:rsidR="00743EE7">
        <w:t>’</w:t>
      </w:r>
      <w:r w:rsidRPr="00974608">
        <w:t>éclair ne dépassant pas 60 °C. Pour</w:t>
      </w:r>
      <w:r w:rsidR="00816D5D">
        <w:t xml:space="preserve"> </w:t>
      </w:r>
      <w:r w:rsidRPr="00974608">
        <w:t>que l</w:t>
      </w:r>
      <w:r w:rsidR="00743EE7">
        <w:t>’</w:t>
      </w:r>
      <w:r w:rsidRPr="00974608">
        <w:t>on puisse envisager une application de l</w:t>
      </w:r>
      <w:r w:rsidR="00743EE7">
        <w:t>’</w:t>
      </w:r>
      <w:r w:rsidRPr="00974608">
        <w:t>épreuve considérée aux liquides inflammables de la catégorie 4, des températures d</w:t>
      </w:r>
      <w:r w:rsidR="00743EE7">
        <w:t>’</w:t>
      </w:r>
      <w:r w:rsidRPr="00974608">
        <w:t>essai plus élevées doivent être prévues. Il est donc proposé d</w:t>
      </w:r>
      <w:r w:rsidR="00743EE7">
        <w:t>’</w:t>
      </w:r>
      <w:r w:rsidRPr="00974608">
        <w:t>ajouter les températures de 93 °C (le critère de limitation applicable) et de 108 °C, qui seront appliquées pour soumettre les liquides inflammables de la catégorie 4 à l</w:t>
      </w:r>
      <w:r w:rsidR="00743EE7">
        <w:t>’</w:t>
      </w:r>
      <w:r w:rsidRPr="00974608">
        <w:t xml:space="preserve">épreuve L.2. </w:t>
      </w:r>
    </w:p>
    <w:p w:rsidR="00974608" w:rsidRDefault="00974608" w:rsidP="006075CD">
      <w:pPr>
        <w:pStyle w:val="SingleTxtG"/>
        <w:numPr>
          <w:ilvl w:val="0"/>
          <w:numId w:val="15"/>
        </w:numPr>
        <w:ind w:left="1134" w:firstLine="0"/>
      </w:pPr>
      <w:r w:rsidRPr="00974608">
        <w:t xml:space="preserve">Les annexes au présent document contiennent des propositions visant à remédier aux problèmes soulevés. Les </w:t>
      </w:r>
      <w:r w:rsidR="00743EE7">
        <w:t>S</w:t>
      </w:r>
      <w:r w:rsidRPr="00974608">
        <w:t>ous-</w:t>
      </w:r>
      <w:r w:rsidR="00743EE7">
        <w:t>C</w:t>
      </w:r>
      <w:r w:rsidRPr="00974608">
        <w:t>omités sont invités à examiner ces</w:t>
      </w:r>
      <w:r w:rsidR="00816D5D">
        <w:t xml:space="preserve"> </w:t>
      </w:r>
      <w:r w:rsidRPr="00974608">
        <w:t>propositions.</w:t>
      </w:r>
    </w:p>
    <w:p w:rsidR="006075CD" w:rsidRPr="006075CD" w:rsidRDefault="00974608" w:rsidP="006075CD">
      <w:pPr>
        <w:pStyle w:val="HChG"/>
      </w:pPr>
      <w:r>
        <w:br w:type="page"/>
      </w:r>
      <w:r w:rsidR="006075CD" w:rsidRPr="006075CD">
        <w:lastRenderedPageBreak/>
        <w:t>Annexe I</w:t>
      </w:r>
    </w:p>
    <w:p w:rsidR="006075CD" w:rsidRPr="006075CD" w:rsidRDefault="006075CD" w:rsidP="006075CD">
      <w:pPr>
        <w:pStyle w:val="HChG"/>
      </w:pPr>
      <w:r w:rsidRPr="006075CD">
        <w:tab/>
      </w:r>
      <w:r w:rsidRPr="006075CD">
        <w:tab/>
        <w:t>Amendements proposés au SGH</w:t>
      </w:r>
    </w:p>
    <w:p w:rsidR="006075CD" w:rsidRPr="006075CD" w:rsidRDefault="006075CD" w:rsidP="006075CD">
      <w:pPr>
        <w:pStyle w:val="SingleTxtG"/>
      </w:pPr>
      <w:r w:rsidRPr="006075CD">
        <w:t>Les amendements apparaissent comme suit</w:t>
      </w:r>
      <w:r w:rsidR="00816D5D">
        <w:t> </w:t>
      </w:r>
      <w:r w:rsidRPr="006075CD">
        <w:t xml:space="preserve">: </w:t>
      </w:r>
      <w:r w:rsidRPr="006075CD">
        <w:rPr>
          <w:u w:val="single"/>
        </w:rPr>
        <w:t>Les ajouts sont soulignés</w:t>
      </w:r>
      <w:r w:rsidRPr="006075CD">
        <w:t xml:space="preserve">, les passages supprimés </w:t>
      </w:r>
      <w:r w:rsidRPr="006075CD">
        <w:rPr>
          <w:strike/>
        </w:rPr>
        <w:t>sont biffés</w:t>
      </w:r>
      <w:r w:rsidRPr="006075CD">
        <w:t>.</w:t>
      </w:r>
    </w:p>
    <w:p w:rsidR="006075CD" w:rsidRPr="006075CD" w:rsidRDefault="006075CD" w:rsidP="006075CD">
      <w:pPr>
        <w:pStyle w:val="H1G"/>
      </w:pPr>
      <w:r w:rsidRPr="006075CD">
        <w:tab/>
      </w:r>
      <w:r w:rsidRPr="006075CD">
        <w:tab/>
        <w:t>Modifier la première phrase du paragraphe 2.6.4.2.2 comme suit</w:t>
      </w:r>
      <w:r>
        <w:br/>
      </w:r>
      <w:r w:rsidRPr="006075CD">
        <w:t>(les explications font l</w:t>
      </w:r>
      <w:r w:rsidR="00743EE7">
        <w:t>’</w:t>
      </w:r>
      <w:r w:rsidRPr="006075CD">
        <w:t xml:space="preserve">objet du paragraphe 2 ci-avant </w:t>
      </w:r>
      <w:r>
        <w:br/>
      </w:r>
      <w:r w:rsidRPr="006075CD">
        <w:t>dans le présent document)</w:t>
      </w:r>
      <w:r>
        <w:t> </w:t>
      </w:r>
      <w:r w:rsidRPr="006075CD">
        <w:t>:</w:t>
      </w:r>
    </w:p>
    <w:p w:rsidR="006075CD" w:rsidRPr="006075CD" w:rsidRDefault="006075CD" w:rsidP="006075CD">
      <w:pPr>
        <w:pStyle w:val="SingleTxtG"/>
      </w:pPr>
      <w:r>
        <w:t>« </w:t>
      </w:r>
      <w:r w:rsidRPr="006075CD">
        <w:t>2.6.4.2.2</w:t>
      </w:r>
      <w:r w:rsidRPr="006075CD">
        <w:tab/>
        <w:t>Dans le cas des mélanges</w:t>
      </w:r>
      <w:r w:rsidRPr="006075CD">
        <w:rPr>
          <w:vertAlign w:val="superscript"/>
        </w:rPr>
        <w:t>3</w:t>
      </w:r>
      <w:r w:rsidRPr="006075CD">
        <w:t xml:space="preserve"> contenant des liquides inflammables connus en concentration définie, même s</w:t>
      </w:r>
      <w:r w:rsidR="00743EE7">
        <w:t>’</w:t>
      </w:r>
      <w:r w:rsidRPr="006075CD">
        <w:t>ils peuvent contenir des composants non volatils tels que polymères ou additifs, il n</w:t>
      </w:r>
      <w:r w:rsidR="00743EE7">
        <w:t>’</w:t>
      </w:r>
      <w:r w:rsidRPr="006075CD">
        <w:t>est pas nécessaire de déterminer le point d</w:t>
      </w:r>
      <w:r w:rsidR="00743EE7">
        <w:t>’</w:t>
      </w:r>
      <w:r w:rsidRPr="006075CD">
        <w:t>éclair par des épreuves si le point d</w:t>
      </w:r>
      <w:r w:rsidR="00743EE7">
        <w:t>’</w:t>
      </w:r>
      <w:r w:rsidRPr="006075CD">
        <w:t>éclair du mélange calculé selon la méthode mentionnée au 2.6.4.2.3 ci-dessous est supérieur d</w:t>
      </w:r>
      <w:r w:rsidR="00743EE7">
        <w:t>’</w:t>
      </w:r>
      <w:r w:rsidRPr="006075CD">
        <w:t>au moins 5</w:t>
      </w:r>
      <w:r>
        <w:t> </w:t>
      </w:r>
      <w:r w:rsidRPr="006075CD">
        <w:t>°C</w:t>
      </w:r>
      <w:r w:rsidRPr="00743EE7">
        <w:rPr>
          <w:vertAlign w:val="superscript"/>
        </w:rPr>
        <w:t>4</w:t>
      </w:r>
      <w:r w:rsidRPr="006075CD">
        <w:t xml:space="preserve"> aux critères de classification applicables </w:t>
      </w:r>
      <w:r w:rsidRPr="00A8276F">
        <w:rPr>
          <w:strike/>
        </w:rPr>
        <w:t>(23 °C et 60 °C, respectivement)</w:t>
      </w:r>
      <w:r w:rsidRPr="006075CD">
        <w:t xml:space="preserve"> et à condition</w:t>
      </w:r>
      <w:r>
        <w:t> </w:t>
      </w:r>
      <w:r w:rsidRPr="006075CD">
        <w:t>:</w:t>
      </w:r>
      <w:r>
        <w:t> »</w:t>
      </w:r>
      <w:r w:rsidRPr="006075CD">
        <w:t>.</w:t>
      </w:r>
    </w:p>
    <w:p w:rsidR="006075CD" w:rsidRPr="006075CD" w:rsidRDefault="006075CD" w:rsidP="006075CD">
      <w:pPr>
        <w:pStyle w:val="H1G"/>
      </w:pPr>
      <w:r w:rsidRPr="006075CD">
        <w:tab/>
      </w:r>
      <w:r w:rsidRPr="006075CD">
        <w:tab/>
        <w:t>Modifier le Nota 2 de la section 2.6.2 comme suit (les explications font l</w:t>
      </w:r>
      <w:r w:rsidR="00743EE7">
        <w:t>’</w:t>
      </w:r>
      <w:r w:rsidRPr="006075CD">
        <w:t>objet des paragraphes 3 et 4</w:t>
      </w:r>
      <w:r w:rsidR="00816D5D">
        <w:t xml:space="preserve"> </w:t>
      </w:r>
      <w:r w:rsidRPr="006075CD">
        <w:t>ci-avant dans le présent document)</w:t>
      </w:r>
      <w:r>
        <w:t> </w:t>
      </w:r>
      <w:r w:rsidRPr="006075CD">
        <w:t>:</w:t>
      </w:r>
    </w:p>
    <w:p w:rsidR="006075CD" w:rsidRPr="006075CD" w:rsidRDefault="006075CD" w:rsidP="006075CD">
      <w:pPr>
        <w:pStyle w:val="SingleTxtG"/>
      </w:pPr>
      <w:r>
        <w:t>« </w:t>
      </w:r>
      <w:r w:rsidRPr="006075CD">
        <w:rPr>
          <w:b/>
        </w:rPr>
        <w:t>N</w:t>
      </w:r>
      <w:r w:rsidR="00743EE7" w:rsidRPr="006075CD">
        <w:rPr>
          <w:b/>
        </w:rPr>
        <w:t>ota</w:t>
      </w:r>
      <w:r w:rsidRPr="006075CD">
        <w:rPr>
          <w:b/>
        </w:rPr>
        <w:t xml:space="preserve"> 2</w:t>
      </w:r>
      <w:r w:rsidR="00A8276F">
        <w:rPr>
          <w:b/>
        </w:rPr>
        <w:t> </w:t>
      </w:r>
      <w:r w:rsidRPr="006075CD">
        <w:rPr>
          <w:b/>
        </w:rPr>
        <w:t>:</w:t>
      </w:r>
      <w:r w:rsidRPr="006075CD">
        <w:tab/>
        <w:t>Les liquides ayant un point d</w:t>
      </w:r>
      <w:r w:rsidR="00743EE7">
        <w:t>’</w:t>
      </w:r>
      <w:r w:rsidRPr="006075CD">
        <w:t xml:space="preserve">éclair supérieur à 35 °C </w:t>
      </w:r>
      <w:r w:rsidRPr="00A8276F">
        <w:rPr>
          <w:strike/>
        </w:rPr>
        <w:t>et ne dépassant pas</w:t>
      </w:r>
      <w:r w:rsidRPr="006075CD">
        <w:t xml:space="preserve"> </w:t>
      </w:r>
      <w:r w:rsidRPr="006075CD">
        <w:rPr>
          <w:u w:val="single"/>
        </w:rPr>
        <w:t>et inférieur ou égal à</w:t>
      </w:r>
      <w:r w:rsidRPr="006075CD">
        <w:t xml:space="preserve"> 60</w:t>
      </w:r>
      <w:r w:rsidR="00A8276F">
        <w:t> </w:t>
      </w:r>
      <w:r w:rsidRPr="006075CD">
        <w:t xml:space="preserve">°C peuvent être considérés comme </w:t>
      </w:r>
      <w:r w:rsidRPr="006075CD">
        <w:rPr>
          <w:u w:val="single"/>
        </w:rPr>
        <w:t xml:space="preserve">liquides inflammables de la </w:t>
      </w:r>
      <w:r w:rsidRPr="00A8276F">
        <w:rPr>
          <w:u w:val="single"/>
        </w:rPr>
        <w:t>catégorie 4</w:t>
      </w:r>
      <w:r w:rsidRPr="006075CD">
        <w:t xml:space="preserve"> </w:t>
      </w:r>
      <w:r w:rsidRPr="00A8276F">
        <w:rPr>
          <w:strike/>
        </w:rPr>
        <w:t>liquides non inflammables</w:t>
      </w:r>
      <w:r w:rsidRPr="006075CD">
        <w:t xml:space="preserve"> dans le cadre de certains règlements </w:t>
      </w:r>
      <w:r w:rsidRPr="00A8276F">
        <w:rPr>
          <w:strike/>
        </w:rPr>
        <w:t>(de transport, par exemple)</w:t>
      </w:r>
      <w:r w:rsidRPr="006075CD">
        <w:t xml:space="preserve"> si des résultats négatifs ont été obtenus lors de l</w:t>
      </w:r>
      <w:r w:rsidR="00743EE7">
        <w:t>’</w:t>
      </w:r>
      <w:r w:rsidRPr="006075CD">
        <w:t>épreuve de combustion entretenue L.2 décrite dans la troisième partie, section 32 des Recommandations relatives au transport des marchandises dangereuses, Manuel d</w:t>
      </w:r>
      <w:r w:rsidR="00743EE7">
        <w:t>’</w:t>
      </w:r>
      <w:r w:rsidRPr="006075CD">
        <w:t xml:space="preserve">épreuves et de critères. </w:t>
      </w:r>
      <w:r w:rsidRPr="006075CD">
        <w:rPr>
          <w:u w:val="single"/>
        </w:rPr>
        <w:t>Si les liquides inflammables de la catégorie 4 ne sont pas visés par un règlement (de transport, par exemple), ils peuvent alors être considérés comme liquides non inflammables. Les liquides ayant un point d</w:t>
      </w:r>
      <w:r w:rsidR="00743EE7">
        <w:rPr>
          <w:u w:val="single"/>
        </w:rPr>
        <w:t>’</w:t>
      </w:r>
      <w:r w:rsidRPr="006075CD">
        <w:rPr>
          <w:u w:val="single"/>
        </w:rPr>
        <w:t>éclair supérieur à 60 °C et inférieur ou égal à 93 °C peuvent être considérés comme liquides non inflammables dans le cadre de certains règlements si des résultats négatifs ont été obtenus lors de l</w:t>
      </w:r>
      <w:r w:rsidR="00743EE7">
        <w:rPr>
          <w:u w:val="single"/>
        </w:rPr>
        <w:t>’</w:t>
      </w:r>
      <w:r w:rsidRPr="006075CD">
        <w:rPr>
          <w:u w:val="single"/>
        </w:rPr>
        <w:t>épreuve de combustion entretenue L.2, décrite dans la section 32 de la troisième partie des Recommandations de l</w:t>
      </w:r>
      <w:r w:rsidR="00743EE7">
        <w:rPr>
          <w:u w:val="single"/>
        </w:rPr>
        <w:t>’</w:t>
      </w:r>
      <w:r w:rsidRPr="006075CD">
        <w:rPr>
          <w:u w:val="single"/>
        </w:rPr>
        <w:t>ONU relatives au transport des marchandises dangereuses, Manuel d</w:t>
      </w:r>
      <w:r w:rsidR="00743EE7">
        <w:rPr>
          <w:u w:val="single"/>
        </w:rPr>
        <w:t>’</w:t>
      </w:r>
      <w:r w:rsidRPr="006075CD">
        <w:rPr>
          <w:u w:val="single"/>
        </w:rPr>
        <w:t>épreuves et de critères.</w:t>
      </w:r>
      <w:r w:rsidR="00A8276F">
        <w:t> »</w:t>
      </w:r>
      <w:r w:rsidRPr="006075CD">
        <w:t>.</w:t>
      </w:r>
    </w:p>
    <w:p w:rsidR="006075CD" w:rsidRPr="006075CD" w:rsidRDefault="006075CD" w:rsidP="00A8276F">
      <w:pPr>
        <w:pStyle w:val="H1G"/>
      </w:pPr>
      <w:r w:rsidRPr="006075CD">
        <w:tab/>
      </w:r>
      <w:r w:rsidRPr="006075CD">
        <w:tab/>
      </w:r>
      <w:r w:rsidRPr="00743EE7">
        <w:rPr>
          <w:spacing w:val="-4"/>
        </w:rPr>
        <w:t>Dans le paragraphe 2.6.4.1, remplacer le texte de la note de bas de page</w:t>
      </w:r>
      <w:r w:rsidR="00A8276F" w:rsidRPr="00743EE7">
        <w:rPr>
          <w:spacing w:val="-4"/>
        </w:rPr>
        <w:t> </w:t>
      </w:r>
      <w:r w:rsidRPr="00743EE7">
        <w:rPr>
          <w:spacing w:val="-4"/>
        </w:rPr>
        <w:t>2</w:t>
      </w:r>
      <w:r w:rsidRPr="006075CD">
        <w:t xml:space="preserve"> (appelée dans la flèche pointée vers la catégorie 4) par le texte suivant (les explications font l</w:t>
      </w:r>
      <w:r w:rsidR="00743EE7">
        <w:t>’</w:t>
      </w:r>
      <w:r w:rsidRPr="006075CD">
        <w:t>objet des paragraphes 3 et 4</w:t>
      </w:r>
      <w:r w:rsidR="00816D5D">
        <w:t xml:space="preserve"> </w:t>
      </w:r>
      <w:r w:rsidRPr="006075CD">
        <w:t xml:space="preserve">ci-avant </w:t>
      </w:r>
      <w:r w:rsidR="00743EE7">
        <w:br/>
      </w:r>
      <w:r w:rsidRPr="006075CD">
        <w:t>dans le présent document)</w:t>
      </w:r>
      <w:r w:rsidR="00A8276F">
        <w:t> </w:t>
      </w:r>
      <w:r w:rsidRPr="006075CD">
        <w:t>:</w:t>
      </w:r>
    </w:p>
    <w:p w:rsidR="006075CD" w:rsidRPr="006075CD" w:rsidRDefault="00A8276F" w:rsidP="006075CD">
      <w:pPr>
        <w:pStyle w:val="SingleTxtG"/>
        <w:rPr>
          <w:i/>
          <w:u w:val="single"/>
        </w:rPr>
      </w:pPr>
      <w:r>
        <w:rPr>
          <w:i/>
          <w:u w:val="single"/>
        </w:rPr>
        <w:t>« </w:t>
      </w:r>
      <w:r w:rsidR="006075CD" w:rsidRPr="006075CD">
        <w:rPr>
          <w:i/>
          <w:u w:val="single"/>
          <w:vertAlign w:val="superscript"/>
        </w:rPr>
        <w:t>2</w:t>
      </w:r>
      <w:r w:rsidR="006075CD" w:rsidRPr="006075CD">
        <w:rPr>
          <w:i/>
          <w:u w:val="single"/>
        </w:rPr>
        <w:tab/>
        <w:t>Les liquides ayant un point d</w:t>
      </w:r>
      <w:r w:rsidR="00743EE7">
        <w:rPr>
          <w:i/>
          <w:u w:val="single"/>
        </w:rPr>
        <w:t>’</w:t>
      </w:r>
      <w:r w:rsidR="006075CD" w:rsidRPr="006075CD">
        <w:rPr>
          <w:i/>
          <w:u w:val="single"/>
        </w:rPr>
        <w:t>éclair supérieur à 60 °C et inférieur ou égal à 93 °C peuvent être considérés comme liquides non inflammables dans le cadre de certains règlements si des résultats négatifs ont été obtenus lors de l</w:t>
      </w:r>
      <w:r w:rsidR="00743EE7">
        <w:rPr>
          <w:i/>
          <w:u w:val="single"/>
        </w:rPr>
        <w:t>’</w:t>
      </w:r>
      <w:r w:rsidR="006075CD" w:rsidRPr="006075CD">
        <w:rPr>
          <w:i/>
          <w:u w:val="single"/>
        </w:rPr>
        <w:t>épreuve de combustion entretenue L.2 décrite dans la troisième partie, section 32 des Recommandations relatives au transport des marchandises dangereuses, Manuel d</w:t>
      </w:r>
      <w:r w:rsidR="00743EE7">
        <w:rPr>
          <w:i/>
          <w:u w:val="single"/>
        </w:rPr>
        <w:t>’</w:t>
      </w:r>
      <w:r w:rsidR="006075CD" w:rsidRPr="006075CD">
        <w:rPr>
          <w:i/>
          <w:u w:val="single"/>
        </w:rPr>
        <w:t>épreuves et de critères.</w:t>
      </w:r>
      <w:r>
        <w:rPr>
          <w:i/>
          <w:u w:val="single"/>
        </w:rPr>
        <w:t> »</w:t>
      </w:r>
      <w:r w:rsidR="006075CD" w:rsidRPr="006075CD">
        <w:rPr>
          <w:i/>
          <w:u w:val="single"/>
        </w:rPr>
        <w:t>.</w:t>
      </w:r>
    </w:p>
    <w:p w:rsidR="006075CD" w:rsidRPr="006075CD" w:rsidRDefault="006075CD" w:rsidP="00A8276F">
      <w:pPr>
        <w:pStyle w:val="H1G"/>
      </w:pPr>
      <w:r w:rsidRPr="006075CD">
        <w:lastRenderedPageBreak/>
        <w:tab/>
      </w:r>
      <w:r w:rsidRPr="006075CD">
        <w:tab/>
        <w:t xml:space="preserve">Remplacer le chiffre </w:t>
      </w:r>
      <w:r w:rsidR="00A8276F">
        <w:t>« </w:t>
      </w:r>
      <w:r w:rsidRPr="006075CD">
        <w:t>2</w:t>
      </w:r>
      <w:r w:rsidR="00A8276F">
        <w:t> »</w:t>
      </w:r>
      <w:r w:rsidRPr="006075CD">
        <w:t xml:space="preserve"> figurant dans la flèche pointée vers </w:t>
      </w:r>
      <w:r w:rsidR="00A8276F">
        <w:br/>
      </w:r>
      <w:r w:rsidRPr="006075CD">
        <w:t xml:space="preserve">la catégorie 3 par un </w:t>
      </w:r>
      <w:r w:rsidR="00A8276F">
        <w:t>« </w:t>
      </w:r>
      <w:r w:rsidRPr="006075CD">
        <w:t>3</w:t>
      </w:r>
      <w:r w:rsidR="00A8276F">
        <w:t> »</w:t>
      </w:r>
      <w:r w:rsidRPr="006075CD">
        <w:t xml:space="preserve"> et ajouter une nouvelle note de bas </w:t>
      </w:r>
      <w:r w:rsidR="00A8276F">
        <w:br/>
      </w:r>
      <w:r w:rsidRPr="006075CD">
        <w:t>de page libellée comme suit (les explications font l</w:t>
      </w:r>
      <w:r w:rsidR="00743EE7">
        <w:t>’</w:t>
      </w:r>
      <w:r w:rsidRPr="006075CD">
        <w:t>objet des paragraphes 3 et 4 ci-avant dans le présent document)</w:t>
      </w:r>
      <w:r w:rsidR="00A8276F">
        <w:t> </w:t>
      </w:r>
      <w:r w:rsidRPr="006075CD">
        <w:t>:</w:t>
      </w:r>
    </w:p>
    <w:p w:rsidR="00974608" w:rsidRDefault="00A8276F" w:rsidP="006075CD">
      <w:pPr>
        <w:pStyle w:val="SingleTxtG"/>
        <w:rPr>
          <w:szCs w:val="24"/>
          <w:u w:val="single"/>
        </w:rPr>
      </w:pPr>
      <w:r>
        <w:rPr>
          <w:i/>
          <w:u w:val="single"/>
        </w:rPr>
        <w:t>« </w:t>
      </w:r>
      <w:r w:rsidR="006075CD" w:rsidRPr="006075CD">
        <w:rPr>
          <w:i/>
          <w:u w:val="single"/>
          <w:vertAlign w:val="superscript"/>
        </w:rPr>
        <w:t>3</w:t>
      </w:r>
      <w:r w:rsidR="006075CD" w:rsidRPr="006075CD">
        <w:rPr>
          <w:i/>
          <w:u w:val="single"/>
        </w:rPr>
        <w:tab/>
        <w:t>Les liquides ayant un point d</w:t>
      </w:r>
      <w:r w:rsidR="00743EE7">
        <w:rPr>
          <w:i/>
          <w:u w:val="single"/>
        </w:rPr>
        <w:t>’</w:t>
      </w:r>
      <w:r w:rsidR="006075CD" w:rsidRPr="006075CD">
        <w:rPr>
          <w:i/>
          <w:u w:val="single"/>
        </w:rPr>
        <w:t>éclair supérieur à 35 °C et inférieur ou égal à 60 °C peuvent être considérés comme liquides inflammables de la catégorie 4 dans le cadre de certains règlements si des résultats négatifs ont été obtenus lors de l</w:t>
      </w:r>
      <w:r w:rsidR="00743EE7">
        <w:rPr>
          <w:i/>
          <w:u w:val="single"/>
        </w:rPr>
        <w:t>’</w:t>
      </w:r>
      <w:r w:rsidR="006075CD" w:rsidRPr="006075CD">
        <w:rPr>
          <w:i/>
          <w:u w:val="single"/>
        </w:rPr>
        <w:t>épreuve de combustion entretenue L.2 décrite dans la troisième partie de la section 32 des Recommandations relatives au transport des marchandises dangereuses, Manuel d</w:t>
      </w:r>
      <w:r w:rsidR="00743EE7">
        <w:rPr>
          <w:i/>
          <w:u w:val="single"/>
        </w:rPr>
        <w:t>’</w:t>
      </w:r>
      <w:r w:rsidR="006075CD" w:rsidRPr="006075CD">
        <w:rPr>
          <w:i/>
          <w:u w:val="single"/>
        </w:rPr>
        <w:t>épreuves et de critères. Si les liquides inflammables de la catégorie 4 ne sont pas visés par un règlement (de transport, par exemple,) ils peuvent alors être considérés comme liquides non inflammables</w:t>
      </w:r>
      <w:r>
        <w:rPr>
          <w:i/>
          <w:u w:val="single"/>
        </w:rPr>
        <w:t> »</w:t>
      </w:r>
      <w:r w:rsidR="006075CD" w:rsidRPr="006075CD">
        <w:rPr>
          <w:i/>
          <w:u w:val="single"/>
        </w:rPr>
        <w:t>.</w:t>
      </w:r>
    </w:p>
    <w:p w:rsidR="00A8276F" w:rsidRPr="00A8276F" w:rsidRDefault="00974608" w:rsidP="00A8276F">
      <w:pPr>
        <w:pStyle w:val="HChG"/>
      </w:pPr>
      <w:r>
        <w:br w:type="page"/>
      </w:r>
      <w:r w:rsidR="00A8276F" w:rsidRPr="00A8276F">
        <w:lastRenderedPageBreak/>
        <w:t>Annexe II</w:t>
      </w:r>
    </w:p>
    <w:p w:rsidR="00A8276F" w:rsidRPr="00A8276F" w:rsidRDefault="00A8276F" w:rsidP="00A8276F">
      <w:pPr>
        <w:pStyle w:val="HChG"/>
      </w:pPr>
      <w:r w:rsidRPr="00A8276F">
        <w:tab/>
      </w:r>
      <w:r w:rsidRPr="00A8276F">
        <w:tab/>
        <w:t>Proposition d</w:t>
      </w:r>
      <w:r w:rsidR="00743EE7">
        <w:t>’</w:t>
      </w:r>
      <w:r w:rsidRPr="00A8276F">
        <w:t xml:space="preserve">amendements à apporter en conséquence </w:t>
      </w:r>
      <w:r>
        <w:br/>
      </w:r>
      <w:r w:rsidRPr="00A8276F">
        <w:t>au Manuel d</w:t>
      </w:r>
      <w:r w:rsidR="00743EE7">
        <w:t>’</w:t>
      </w:r>
      <w:r w:rsidRPr="00A8276F">
        <w:t xml:space="preserve">épreuves et de critères </w:t>
      </w:r>
    </w:p>
    <w:p w:rsidR="00A8276F" w:rsidRPr="00A8276F" w:rsidRDefault="00A8276F" w:rsidP="00A8276F">
      <w:pPr>
        <w:pStyle w:val="SingleTxtG"/>
      </w:pPr>
      <w:r w:rsidRPr="00A8276F">
        <w:t>Les amendements apparaissent comme suit</w:t>
      </w:r>
      <w:r>
        <w:t> </w:t>
      </w:r>
      <w:r w:rsidRPr="00A8276F">
        <w:t xml:space="preserve">: </w:t>
      </w:r>
      <w:r w:rsidRPr="00A8276F">
        <w:rPr>
          <w:u w:val="single"/>
        </w:rPr>
        <w:t>Les ajouts sont soulignés</w:t>
      </w:r>
      <w:r w:rsidRPr="00A8276F">
        <w:t xml:space="preserve">, les passages supprimés </w:t>
      </w:r>
      <w:r w:rsidRPr="00A8276F">
        <w:rPr>
          <w:strike/>
        </w:rPr>
        <w:t>sont biffés</w:t>
      </w:r>
      <w:r w:rsidRPr="00A8276F">
        <w:t>.</w:t>
      </w:r>
    </w:p>
    <w:p w:rsidR="00A8276F" w:rsidRPr="00A8276F" w:rsidRDefault="00A8276F" w:rsidP="00A8276F">
      <w:pPr>
        <w:pStyle w:val="H1G"/>
      </w:pPr>
      <w:r w:rsidRPr="00A8276F">
        <w:tab/>
      </w:r>
      <w:r w:rsidRPr="00A8276F">
        <w:tab/>
      </w:r>
      <w:r w:rsidRPr="00A8276F">
        <w:rPr>
          <w:spacing w:val="2"/>
        </w:rPr>
        <w:t>Modifier la première phrase du paragraphe 4.1 de l</w:t>
      </w:r>
      <w:r w:rsidR="00743EE7">
        <w:rPr>
          <w:spacing w:val="2"/>
        </w:rPr>
        <w:t>’</w:t>
      </w:r>
      <w:r w:rsidRPr="00A8276F">
        <w:rPr>
          <w:spacing w:val="2"/>
        </w:rPr>
        <w:t xml:space="preserve">appendice 6 </w:t>
      </w:r>
      <w:r w:rsidRPr="00A8276F">
        <w:rPr>
          <w:spacing w:val="2"/>
        </w:rPr>
        <w:br/>
      </w:r>
      <w:r w:rsidRPr="00A8276F">
        <w:t>comme suit (les explications font l</w:t>
      </w:r>
      <w:r w:rsidR="00743EE7">
        <w:t>’</w:t>
      </w:r>
      <w:r w:rsidRPr="00A8276F">
        <w:t>objet du paragraphe 2 ci-avant</w:t>
      </w:r>
      <w:r>
        <w:br/>
      </w:r>
      <w:r w:rsidRPr="00A8276F">
        <w:t>dans le présent document)</w:t>
      </w:r>
      <w:r>
        <w:t> </w:t>
      </w:r>
      <w:r w:rsidRPr="00A8276F">
        <w:t>:</w:t>
      </w:r>
    </w:p>
    <w:p w:rsidR="00A8276F" w:rsidRPr="00A8276F" w:rsidRDefault="00A8276F" w:rsidP="00A8276F">
      <w:pPr>
        <w:pStyle w:val="SingleTxtG"/>
      </w:pPr>
      <w:r>
        <w:t>« </w:t>
      </w:r>
      <w:r w:rsidRPr="00A8276F">
        <w:t>4.1</w:t>
      </w:r>
      <w:r w:rsidRPr="00A8276F">
        <w:tab/>
        <w:t>Dans le cas des mélanges</w:t>
      </w:r>
      <w:r w:rsidRPr="00A8276F">
        <w:rPr>
          <w:vertAlign w:val="superscript"/>
        </w:rPr>
        <w:t>1</w:t>
      </w:r>
      <w:r w:rsidRPr="00A8276F">
        <w:t xml:space="preserve"> contenant des liquides inflammables connus en concentration définie, même s</w:t>
      </w:r>
      <w:r w:rsidR="00743EE7">
        <w:t>’</w:t>
      </w:r>
      <w:r w:rsidRPr="00A8276F">
        <w:t xml:space="preserve">ils peuvent contenir des composants non volatils tels que </w:t>
      </w:r>
      <w:r w:rsidRPr="00A8276F">
        <w:rPr>
          <w:spacing w:val="-2"/>
        </w:rPr>
        <w:t>polymères ou additifs, il n</w:t>
      </w:r>
      <w:r w:rsidR="00743EE7">
        <w:rPr>
          <w:spacing w:val="-2"/>
        </w:rPr>
        <w:t>’</w:t>
      </w:r>
      <w:r w:rsidRPr="00A8276F">
        <w:rPr>
          <w:spacing w:val="-2"/>
        </w:rPr>
        <w:t>est pas nécessaire de déterminer le point d</w:t>
      </w:r>
      <w:r w:rsidR="00743EE7">
        <w:rPr>
          <w:spacing w:val="-2"/>
        </w:rPr>
        <w:t>’</w:t>
      </w:r>
      <w:r w:rsidRPr="00A8276F">
        <w:t>éclair par des épreuves si le point d</w:t>
      </w:r>
      <w:r w:rsidR="00743EE7">
        <w:t>’</w:t>
      </w:r>
      <w:r w:rsidRPr="00A8276F">
        <w:t>éclair du mélange calculé selon la méthode mentionnée au paragraphe 4.2 est supérieur d</w:t>
      </w:r>
      <w:r w:rsidR="00743EE7">
        <w:t>’</w:t>
      </w:r>
      <w:r w:rsidRPr="00A8276F">
        <w:t>au moins 5</w:t>
      </w:r>
      <w:r>
        <w:t> </w:t>
      </w:r>
      <w:r w:rsidRPr="00A8276F">
        <w:t>°C</w:t>
      </w:r>
      <w:r w:rsidRPr="00A8276F">
        <w:rPr>
          <w:vertAlign w:val="superscript"/>
        </w:rPr>
        <w:t>2</w:t>
      </w:r>
      <w:r w:rsidRPr="00A8276F">
        <w:t xml:space="preserve"> aux critères de classification applicables </w:t>
      </w:r>
      <w:r w:rsidRPr="00816D5D">
        <w:rPr>
          <w:strike/>
        </w:rPr>
        <w:t>(23 °C et 60 °C, respectivement)</w:t>
      </w:r>
      <w:r w:rsidRPr="00A8276F">
        <w:t xml:space="preserve"> et à condition</w:t>
      </w:r>
      <w:r w:rsidR="00816D5D">
        <w:t> </w:t>
      </w:r>
      <w:r w:rsidRPr="00A8276F">
        <w:t>:</w:t>
      </w:r>
      <w:r>
        <w:t> »</w:t>
      </w:r>
      <w:r w:rsidRPr="00A8276F">
        <w:t>.</w:t>
      </w:r>
    </w:p>
    <w:p w:rsidR="00A8276F" w:rsidRPr="00A8276F" w:rsidRDefault="00A8276F" w:rsidP="00816D5D">
      <w:pPr>
        <w:pStyle w:val="H1G"/>
      </w:pPr>
      <w:r w:rsidRPr="00A8276F">
        <w:tab/>
      </w:r>
      <w:r w:rsidRPr="00A8276F">
        <w:tab/>
        <w:t>Dans le paragraphe 32.5.2 (les explications font l</w:t>
      </w:r>
      <w:r w:rsidR="00743EE7">
        <w:t>’</w:t>
      </w:r>
      <w:r w:rsidRPr="00A8276F">
        <w:t>objet du paragraphe 5 ci-avant dans le présent document)</w:t>
      </w:r>
      <w:r w:rsidR="00816D5D">
        <w:t> </w:t>
      </w:r>
      <w:r w:rsidRPr="00A8276F">
        <w:t>:</w:t>
      </w:r>
    </w:p>
    <w:p w:rsidR="00A8276F" w:rsidRPr="00A8276F" w:rsidRDefault="00A8276F" w:rsidP="00816D5D">
      <w:pPr>
        <w:pStyle w:val="H23G"/>
      </w:pPr>
      <w:r w:rsidRPr="00A8276F">
        <w:tab/>
        <w:t>a)</w:t>
      </w:r>
      <w:r w:rsidRPr="00A8276F">
        <w:tab/>
        <w:t>Modifier la deuxième phrase de la section 32.5.2.3.2 comme suit</w:t>
      </w:r>
      <w:r w:rsidR="00816D5D">
        <w:t> </w:t>
      </w:r>
      <w:r w:rsidRPr="00A8276F">
        <w:t>:</w:t>
      </w:r>
    </w:p>
    <w:p w:rsidR="00A8276F" w:rsidRPr="00A8276F" w:rsidRDefault="00816D5D" w:rsidP="00A8276F">
      <w:pPr>
        <w:pStyle w:val="SingleTxtG"/>
      </w:pPr>
      <w:r>
        <w:t>« </w:t>
      </w:r>
      <w:r w:rsidR="00A8276F" w:rsidRPr="00A8276F">
        <w:t>La température d</w:t>
      </w:r>
      <w:r w:rsidR="00743EE7">
        <w:t>’</w:t>
      </w:r>
      <w:r w:rsidR="00A8276F" w:rsidRPr="00A8276F">
        <w:t>épreuve est 60,5</w:t>
      </w:r>
      <w:r>
        <w:t> </w:t>
      </w:r>
      <w:r w:rsidR="00A8276F" w:rsidRPr="00A8276F">
        <w:t>°C ou 75</w:t>
      </w:r>
      <w:r>
        <w:t> </w:t>
      </w:r>
      <w:r w:rsidR="00A8276F" w:rsidRPr="00A8276F">
        <w:t xml:space="preserve">°C </w:t>
      </w:r>
      <w:r w:rsidR="00A8276F" w:rsidRPr="00A8276F">
        <w:rPr>
          <w:u w:val="single"/>
        </w:rPr>
        <w:t>(pour les liquides ayant un point d</w:t>
      </w:r>
      <w:r w:rsidR="00743EE7">
        <w:rPr>
          <w:u w:val="single"/>
        </w:rPr>
        <w:t>’</w:t>
      </w:r>
      <w:r w:rsidR="00A8276F" w:rsidRPr="00A8276F">
        <w:rPr>
          <w:u w:val="single"/>
        </w:rPr>
        <w:t>éclair supérieur à 35 °C et inférieur ou égal à 60 °C) ou 93 °C ou 108 °C (pour les liquides ayant un point d</w:t>
      </w:r>
      <w:r w:rsidR="00743EE7">
        <w:rPr>
          <w:u w:val="single"/>
        </w:rPr>
        <w:t>’</w:t>
      </w:r>
      <w:r w:rsidR="00A8276F" w:rsidRPr="00A8276F">
        <w:rPr>
          <w:u w:val="single"/>
        </w:rPr>
        <w:t xml:space="preserve">éclair supérieur à 60 °C et inférieur ou égal à 93 °C) </w:t>
      </w:r>
      <w:r w:rsidR="00A8276F" w:rsidRPr="00A8276F">
        <w:t>(voir 32.5.2.3.8).</w:t>
      </w:r>
      <w:r>
        <w:t> » </w:t>
      </w:r>
      <w:r w:rsidR="00A8276F" w:rsidRPr="00A8276F">
        <w:t>;</w:t>
      </w:r>
    </w:p>
    <w:p w:rsidR="00A8276F" w:rsidRPr="00A8276F" w:rsidRDefault="00A8276F" w:rsidP="00816D5D">
      <w:pPr>
        <w:pStyle w:val="H23G"/>
      </w:pPr>
      <w:r w:rsidRPr="00A8276F">
        <w:tab/>
        <w:t>b)</w:t>
      </w:r>
      <w:r w:rsidRPr="00A8276F">
        <w:tab/>
        <w:t>Modifier le paragraphe 32.5.2.3.8 comme suit</w:t>
      </w:r>
      <w:r w:rsidR="00816D5D">
        <w:t> </w:t>
      </w:r>
      <w:r w:rsidRPr="00A8276F">
        <w:t>:</w:t>
      </w:r>
    </w:p>
    <w:p w:rsidR="00446FE5" w:rsidRDefault="00816D5D" w:rsidP="00A8276F">
      <w:pPr>
        <w:pStyle w:val="SingleTxtG"/>
      </w:pPr>
      <w:r>
        <w:t>« </w:t>
      </w:r>
      <w:r w:rsidR="00A8276F" w:rsidRPr="00A8276F">
        <w:t>32.5.2.3.8</w:t>
      </w:r>
      <w:r w:rsidR="00A8276F" w:rsidRPr="00A8276F">
        <w:tab/>
        <w:t>Si une combustion entretenue, aux termes du paragraphe 32.5.2.4, n</w:t>
      </w:r>
      <w:r w:rsidR="00743EE7">
        <w:t>’</w:t>
      </w:r>
      <w:r w:rsidR="00A8276F" w:rsidRPr="00A8276F">
        <w:t xml:space="preserve">est pas observée </w:t>
      </w:r>
      <w:r w:rsidR="00A8276F" w:rsidRPr="00A8276F">
        <w:rPr>
          <w:u w:val="single"/>
        </w:rPr>
        <w:t>à la température d</w:t>
      </w:r>
      <w:r w:rsidR="00743EE7">
        <w:rPr>
          <w:u w:val="single"/>
        </w:rPr>
        <w:t>’</w:t>
      </w:r>
      <w:r w:rsidR="00A8276F" w:rsidRPr="00A8276F">
        <w:rPr>
          <w:u w:val="single"/>
        </w:rPr>
        <w:t>épreuve la plus faible applicable d</w:t>
      </w:r>
      <w:r w:rsidR="00743EE7">
        <w:rPr>
          <w:u w:val="single"/>
        </w:rPr>
        <w:t>’</w:t>
      </w:r>
      <w:r w:rsidR="00A8276F" w:rsidRPr="00A8276F">
        <w:rPr>
          <w:u w:val="single"/>
        </w:rPr>
        <w:t xml:space="preserve">après les dispositions de la section 32.5.2.3.2 </w:t>
      </w:r>
      <w:r w:rsidR="00A8276F" w:rsidRPr="00816D5D">
        <w:rPr>
          <w:strike/>
        </w:rPr>
        <w:t>à la température d</w:t>
      </w:r>
      <w:r w:rsidR="00743EE7">
        <w:rPr>
          <w:strike/>
        </w:rPr>
        <w:t>’</w:t>
      </w:r>
      <w:r w:rsidR="00A8276F" w:rsidRPr="00816D5D">
        <w:rPr>
          <w:strike/>
        </w:rPr>
        <w:t>épreuve de 60,5 °C</w:t>
      </w:r>
      <w:r w:rsidR="00A8276F" w:rsidRPr="00A8276F">
        <w:t>, répéter l</w:t>
      </w:r>
      <w:r w:rsidR="00743EE7">
        <w:t>’</w:t>
      </w:r>
      <w:r w:rsidR="00A8276F" w:rsidRPr="00A8276F">
        <w:t>ensemble des opérations avec de nouvelles portions d</w:t>
      </w:r>
      <w:r w:rsidR="00743EE7">
        <w:t>’</w:t>
      </w:r>
      <w:r w:rsidR="00A8276F" w:rsidRPr="00A8276F">
        <w:t xml:space="preserve">échantillon, mais à </w:t>
      </w:r>
      <w:r w:rsidR="00A8276F" w:rsidRPr="00A8276F">
        <w:rPr>
          <w:u w:val="single"/>
        </w:rPr>
        <w:t>la température d</w:t>
      </w:r>
      <w:r w:rsidR="00743EE7">
        <w:rPr>
          <w:u w:val="single"/>
        </w:rPr>
        <w:t>’</w:t>
      </w:r>
      <w:r w:rsidR="00A8276F" w:rsidRPr="00A8276F">
        <w:rPr>
          <w:u w:val="single"/>
        </w:rPr>
        <w:t>épreuve la plus élevée applicable conformément aux dispositions de la section 32.5.2.3.2</w:t>
      </w:r>
      <w:r w:rsidR="00A8276F" w:rsidRPr="00816D5D">
        <w:rPr>
          <w:strike/>
        </w:rPr>
        <w:t xml:space="preserve"> à une température d</w:t>
      </w:r>
      <w:r w:rsidR="00743EE7">
        <w:rPr>
          <w:strike/>
        </w:rPr>
        <w:t>’</w:t>
      </w:r>
      <w:r w:rsidR="00A8276F" w:rsidRPr="00816D5D">
        <w:rPr>
          <w:strike/>
        </w:rPr>
        <w:t>épreuve de 75 °C</w:t>
      </w:r>
      <w:r w:rsidR="00A8276F" w:rsidRPr="00A8276F">
        <w:t>.</w:t>
      </w:r>
      <w:r>
        <w:t> »</w:t>
      </w:r>
      <w:r w:rsidR="00A8276F" w:rsidRPr="00A8276F">
        <w:t>.</w:t>
      </w:r>
    </w:p>
    <w:p w:rsidR="00816D5D" w:rsidRPr="00816D5D" w:rsidRDefault="00816D5D" w:rsidP="00816D5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16D5D" w:rsidRPr="00816D5D" w:rsidSect="0097460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96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FF" w:rsidRDefault="000562FF" w:rsidP="00F95C08">
      <w:pPr>
        <w:spacing w:line="240" w:lineRule="auto"/>
      </w:pPr>
    </w:p>
  </w:endnote>
  <w:endnote w:type="continuationSeparator" w:id="0">
    <w:p w:rsidR="000562FF" w:rsidRPr="00AC3823" w:rsidRDefault="000562FF" w:rsidP="00AC3823">
      <w:pPr>
        <w:pStyle w:val="Footer"/>
      </w:pPr>
    </w:p>
  </w:endnote>
  <w:endnote w:type="continuationNotice" w:id="1">
    <w:p w:rsidR="000562FF" w:rsidRDefault="000562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08" w:rsidRPr="00974608" w:rsidRDefault="00974608" w:rsidP="00974608">
    <w:pPr>
      <w:pStyle w:val="Footer"/>
      <w:tabs>
        <w:tab w:val="right" w:pos="9638"/>
      </w:tabs>
    </w:pPr>
    <w:r w:rsidRPr="00974608">
      <w:rPr>
        <w:b/>
        <w:sz w:val="18"/>
      </w:rPr>
      <w:fldChar w:fldCharType="begin"/>
    </w:r>
    <w:r w:rsidRPr="00974608">
      <w:rPr>
        <w:b/>
        <w:sz w:val="18"/>
      </w:rPr>
      <w:instrText xml:space="preserve"> PAGE  \* MERGEFORMAT </w:instrText>
    </w:r>
    <w:r w:rsidRPr="00974608">
      <w:rPr>
        <w:b/>
        <w:sz w:val="18"/>
      </w:rPr>
      <w:fldChar w:fldCharType="separate"/>
    </w:r>
    <w:r w:rsidR="00A0096F">
      <w:rPr>
        <w:b/>
        <w:noProof/>
        <w:sz w:val="18"/>
      </w:rPr>
      <w:t>4</w:t>
    </w:r>
    <w:r w:rsidRPr="00974608">
      <w:rPr>
        <w:b/>
        <w:sz w:val="18"/>
      </w:rPr>
      <w:fldChar w:fldCharType="end"/>
    </w:r>
    <w:r>
      <w:rPr>
        <w:b/>
        <w:sz w:val="18"/>
      </w:rPr>
      <w:tab/>
    </w:r>
    <w:r>
      <w:t>GE.16-15378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08" w:rsidRPr="00974608" w:rsidRDefault="00974608" w:rsidP="00974608">
    <w:pPr>
      <w:pStyle w:val="Footer"/>
      <w:tabs>
        <w:tab w:val="right" w:pos="9638"/>
      </w:tabs>
      <w:rPr>
        <w:b/>
        <w:sz w:val="18"/>
      </w:rPr>
    </w:pPr>
    <w:r>
      <w:t>GE.16-15378</w:t>
    </w:r>
    <w:r>
      <w:tab/>
    </w:r>
    <w:r w:rsidRPr="00974608">
      <w:rPr>
        <w:b/>
        <w:sz w:val="18"/>
      </w:rPr>
      <w:fldChar w:fldCharType="begin"/>
    </w:r>
    <w:r w:rsidRPr="00974608">
      <w:rPr>
        <w:b/>
        <w:sz w:val="18"/>
      </w:rPr>
      <w:instrText xml:space="preserve"> PAGE  \* MERGEFORMAT </w:instrText>
    </w:r>
    <w:r w:rsidRPr="00974608">
      <w:rPr>
        <w:b/>
        <w:sz w:val="18"/>
      </w:rPr>
      <w:fldChar w:fldCharType="separate"/>
    </w:r>
    <w:r w:rsidR="00A0096F">
      <w:rPr>
        <w:b/>
        <w:noProof/>
        <w:sz w:val="18"/>
      </w:rPr>
      <w:t>5</w:t>
    </w:r>
    <w:r w:rsidRPr="009746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974608" w:rsidRDefault="00974608" w:rsidP="00974608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50CCE37" wp14:editId="574FC37C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16-15378  (F)</w:t>
    </w:r>
    <w:r w:rsidR="006075CD">
      <w:rPr>
        <w:sz w:val="20"/>
      </w:rPr>
      <w:t xml:space="preserve">    131016    141016</w:t>
    </w:r>
    <w:r>
      <w:rPr>
        <w:sz w:val="20"/>
      </w:rPr>
      <w:br/>
    </w:r>
    <w:r w:rsidRPr="00974608">
      <w:rPr>
        <w:rFonts w:ascii="C39T30Lfz" w:hAnsi="C39T30Lfz"/>
        <w:sz w:val="56"/>
      </w:rPr>
      <w:t></w:t>
    </w:r>
    <w:r w:rsidRPr="00974608">
      <w:rPr>
        <w:rFonts w:ascii="C39T30Lfz" w:hAnsi="C39T30Lfz"/>
        <w:sz w:val="56"/>
      </w:rPr>
      <w:t></w:t>
    </w:r>
    <w:r w:rsidRPr="00974608">
      <w:rPr>
        <w:rFonts w:ascii="C39T30Lfz" w:hAnsi="C39T30Lfz"/>
        <w:sz w:val="56"/>
      </w:rPr>
      <w:t></w:t>
    </w:r>
    <w:r w:rsidRPr="00974608">
      <w:rPr>
        <w:rFonts w:ascii="C39T30Lfz" w:hAnsi="C39T30Lfz"/>
        <w:sz w:val="56"/>
      </w:rPr>
      <w:t></w:t>
    </w:r>
    <w:r w:rsidRPr="00974608">
      <w:rPr>
        <w:rFonts w:ascii="C39T30Lfz" w:hAnsi="C39T30Lfz"/>
        <w:sz w:val="56"/>
      </w:rPr>
      <w:t></w:t>
    </w:r>
    <w:r w:rsidRPr="00974608">
      <w:rPr>
        <w:rFonts w:ascii="C39T30Lfz" w:hAnsi="C39T30Lfz"/>
        <w:sz w:val="56"/>
      </w:rPr>
      <w:t></w:t>
    </w:r>
    <w:r w:rsidRPr="00974608">
      <w:rPr>
        <w:rFonts w:ascii="C39T30Lfz" w:hAnsi="C39T30Lfz"/>
        <w:sz w:val="56"/>
      </w:rPr>
      <w:t></w:t>
    </w:r>
    <w:r w:rsidRPr="00974608">
      <w:rPr>
        <w:rFonts w:ascii="C39T30Lfz" w:hAnsi="C39T30Lfz"/>
        <w:sz w:val="56"/>
      </w:rPr>
      <w:t></w:t>
    </w:r>
    <w:r w:rsidRPr="0097460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2016/6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6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FF" w:rsidRPr="00AC3823" w:rsidRDefault="000562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62FF" w:rsidRPr="00AC3823" w:rsidRDefault="000562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562FF" w:rsidRPr="00AC3823" w:rsidRDefault="000562FF">
      <w:pPr>
        <w:spacing w:line="240" w:lineRule="auto"/>
        <w:rPr>
          <w:sz w:val="2"/>
          <w:szCs w:val="2"/>
        </w:rPr>
      </w:pPr>
    </w:p>
  </w:footnote>
  <w:footnote w:id="2">
    <w:p w:rsidR="006075CD" w:rsidRDefault="006075CD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A9688A">
        <w:rPr>
          <w:szCs w:val="18"/>
        </w:rPr>
        <w:t>Conformément au programme de travail du Sous-Comité pour la période 2015-2016 tel qu’approuvé par le Comité à sa septième session (voir ST/SG/AC.10/C.3/92, par.</w:t>
      </w:r>
      <w:r>
        <w:rPr>
          <w:szCs w:val="18"/>
        </w:rPr>
        <w:t> </w:t>
      </w:r>
      <w:r w:rsidRPr="00A9688A">
        <w:rPr>
          <w:szCs w:val="18"/>
        </w:rPr>
        <w:t>95, et ST/SG/AC.10/42, par.</w:t>
      </w:r>
      <w:r>
        <w:rPr>
          <w:szCs w:val="18"/>
        </w:rPr>
        <w:t> </w:t>
      </w:r>
      <w:r w:rsidRPr="003B7E58">
        <w:rPr>
          <w:szCs w:val="18"/>
        </w:rPr>
        <w:t>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08" w:rsidRPr="00974608" w:rsidRDefault="00974608">
    <w:pPr>
      <w:pStyle w:val="Header"/>
    </w:pPr>
    <w:r>
      <w:t>ST/SG/AC.10/C.3/2016/62</w:t>
    </w:r>
    <w:r>
      <w:br/>
      <w:t>ST/SG/AC.10/C.4/2016/13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08" w:rsidRPr="00974608" w:rsidRDefault="00974608" w:rsidP="00974608">
    <w:pPr>
      <w:pStyle w:val="Header"/>
      <w:jc w:val="right"/>
    </w:pPr>
    <w:r>
      <w:t>ST/SG/AC.10/C.3/2016/62</w:t>
    </w:r>
    <w:r>
      <w:br/>
      <w:t>ST/SG/AC.10/C.4/2016/13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06D04"/>
    <w:multiLevelType w:val="hybridMultilevel"/>
    <w:tmpl w:val="E5B617EE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>
    <w:nsid w:val="6D285E90"/>
    <w:multiLevelType w:val="hybridMultilevel"/>
    <w:tmpl w:val="A000CDD4"/>
    <w:lvl w:ilvl="0" w:tplc="0AA22C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FF"/>
    <w:rsid w:val="00017F94"/>
    <w:rsid w:val="00023842"/>
    <w:rsid w:val="000305D3"/>
    <w:rsid w:val="000334F9"/>
    <w:rsid w:val="000562FF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6ED3"/>
    <w:rsid w:val="00596AA9"/>
    <w:rsid w:val="006075CD"/>
    <w:rsid w:val="0068456F"/>
    <w:rsid w:val="0071601D"/>
    <w:rsid w:val="007222D1"/>
    <w:rsid w:val="0073100F"/>
    <w:rsid w:val="00743EE7"/>
    <w:rsid w:val="00771386"/>
    <w:rsid w:val="007A62E6"/>
    <w:rsid w:val="0080684C"/>
    <w:rsid w:val="00816D5D"/>
    <w:rsid w:val="00871C75"/>
    <w:rsid w:val="008776DC"/>
    <w:rsid w:val="009705C8"/>
    <w:rsid w:val="00974608"/>
    <w:rsid w:val="009C1CF4"/>
    <w:rsid w:val="009D3B0F"/>
    <w:rsid w:val="00A0096F"/>
    <w:rsid w:val="00A30353"/>
    <w:rsid w:val="00A8276F"/>
    <w:rsid w:val="00AC3823"/>
    <w:rsid w:val="00AE323C"/>
    <w:rsid w:val="00B00181"/>
    <w:rsid w:val="00B00B0D"/>
    <w:rsid w:val="00B765F7"/>
    <w:rsid w:val="00BA0CA9"/>
    <w:rsid w:val="00C02897"/>
    <w:rsid w:val="00C27835"/>
    <w:rsid w:val="00D3439C"/>
    <w:rsid w:val="00DB1831"/>
    <w:rsid w:val="00DD3BFD"/>
    <w:rsid w:val="00DF6678"/>
    <w:rsid w:val="00EF2E22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74608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74608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ST/SG/AC.10/C.3/2016/62</vt:lpstr>
      <vt:lpstr>ST/SG/AC.10/C.3/2016/62</vt:lpstr>
    </vt:vector>
  </TitlesOfParts>
  <Company>DCM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ST/SG/AC.10/C.3/2016/62</dc:title>
  <dc:subject>Final</dc:subject>
  <dc:creator>Crelier</dc:creator>
  <cp:lastModifiedBy>Laurence Berthet</cp:lastModifiedBy>
  <cp:revision>2</cp:revision>
  <cp:lastPrinted>2016-10-14T13:20:00Z</cp:lastPrinted>
  <dcterms:created xsi:type="dcterms:W3CDTF">2016-10-14T13:21:00Z</dcterms:created>
  <dcterms:modified xsi:type="dcterms:W3CDTF">2016-10-14T13:21:00Z</dcterms:modified>
</cp:coreProperties>
</file>