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804B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804B2" w:rsidP="00E804B2">
            <w:pPr>
              <w:jc w:val="right"/>
            </w:pPr>
            <w:r w:rsidRPr="00E804B2">
              <w:rPr>
                <w:sz w:val="40"/>
              </w:rPr>
              <w:t>ST</w:t>
            </w:r>
            <w:r>
              <w:t>/SG/AC.10/C.3/2016/5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804B2" w:rsidP="009C3129">
            <w:pPr>
              <w:spacing w:before="240"/>
            </w:pPr>
            <w:r>
              <w:t>Distr. générale</w:t>
            </w:r>
          </w:p>
          <w:p w:rsidR="00E804B2" w:rsidRDefault="00E804B2" w:rsidP="00E804B2">
            <w:pPr>
              <w:spacing w:line="240" w:lineRule="exact"/>
            </w:pPr>
            <w:r>
              <w:t>21 mars 2016</w:t>
            </w:r>
          </w:p>
          <w:p w:rsidR="00E804B2" w:rsidRDefault="00E804B2" w:rsidP="00E804B2">
            <w:pPr>
              <w:spacing w:line="240" w:lineRule="exact"/>
            </w:pPr>
            <w:r>
              <w:t>Français</w:t>
            </w:r>
          </w:p>
          <w:p w:rsidR="00E804B2" w:rsidRPr="00DB58B5" w:rsidRDefault="00E804B2" w:rsidP="00E804B2">
            <w:pPr>
              <w:spacing w:line="240" w:lineRule="exact"/>
            </w:pPr>
            <w:r>
              <w:t>Original : anglais</w:t>
            </w:r>
          </w:p>
        </w:tc>
      </w:tr>
    </w:tbl>
    <w:p w:rsidR="00E804B2" w:rsidRPr="00CA0680" w:rsidRDefault="00E804B2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4D05B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4D05B6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E804B2" w:rsidRDefault="00E804B2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4D05B6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E804B2" w:rsidRDefault="00E804B2" w:rsidP="000305D3">
      <w:pPr>
        <w:spacing w:before="120"/>
        <w:rPr>
          <w:b/>
        </w:rPr>
      </w:pPr>
      <w:r>
        <w:rPr>
          <w:b/>
        </w:rPr>
        <w:t xml:space="preserve">Quarante-neuvième </w:t>
      </w:r>
      <w:r w:rsidRPr="00CA0680">
        <w:rPr>
          <w:b/>
        </w:rPr>
        <w:t>session</w:t>
      </w:r>
    </w:p>
    <w:p w:rsidR="00E804B2" w:rsidRDefault="00E804B2" w:rsidP="000305D3">
      <w:r>
        <w:t>Genève, 27 juin-6 juillet 2016</w:t>
      </w:r>
    </w:p>
    <w:p w:rsidR="00E804B2" w:rsidRDefault="00E804B2" w:rsidP="000305D3">
      <w:r>
        <w:t>Point 3 de l</w:t>
      </w:r>
      <w:r w:rsidR="004D05B6">
        <w:t>’</w:t>
      </w:r>
      <w:r>
        <w:t>ordre du jour provisoire</w:t>
      </w:r>
    </w:p>
    <w:p w:rsidR="00E804B2" w:rsidRPr="00E804B2" w:rsidRDefault="00E804B2" w:rsidP="00E804B2">
      <w:pPr>
        <w:rPr>
          <w:b/>
          <w:lang w:val="fr-FR"/>
        </w:rPr>
      </w:pPr>
      <w:r w:rsidRPr="00E804B2">
        <w:rPr>
          <w:b/>
          <w:lang w:val="fr-FR"/>
        </w:rPr>
        <w:t>Inscription, classement et emballage</w:t>
      </w:r>
    </w:p>
    <w:p w:rsidR="00E804B2" w:rsidRPr="00E804B2" w:rsidRDefault="00E804B2" w:rsidP="004D05B6">
      <w:pPr>
        <w:pStyle w:val="HChG"/>
        <w:rPr>
          <w:lang w:val="fr-FR"/>
        </w:rPr>
      </w:pPr>
      <w:r w:rsidRPr="00E804B2">
        <w:rPr>
          <w:lang w:val="fr-FR"/>
        </w:rPr>
        <w:tab/>
      </w:r>
      <w:r w:rsidRPr="00E804B2">
        <w:rPr>
          <w:lang w:val="fr-FR"/>
        </w:rPr>
        <w:tab/>
        <w:t>Clarification relative à la méthode d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épreuve </w:t>
      </w:r>
      <w:r w:rsidR="004D05B6">
        <w:rPr>
          <w:lang w:val="fr-FR"/>
        </w:rPr>
        <w:br/>
      </w:r>
      <w:r w:rsidRPr="00E804B2">
        <w:rPr>
          <w:lang w:val="fr-FR"/>
        </w:rPr>
        <w:t xml:space="preserve">pour les matières solides facilement </w:t>
      </w:r>
      <w:r w:rsidR="004D05B6">
        <w:rPr>
          <w:lang w:val="fr-FR"/>
        </w:rPr>
        <w:br/>
      </w:r>
      <w:r w:rsidRPr="00E804B2">
        <w:rPr>
          <w:lang w:val="fr-FR"/>
        </w:rPr>
        <w:t>inflammables (Épreuve N.1)</w:t>
      </w:r>
    </w:p>
    <w:p w:rsidR="00E804B2" w:rsidRPr="00E804B2" w:rsidRDefault="00E804B2" w:rsidP="004D05B6">
      <w:pPr>
        <w:pStyle w:val="H1G"/>
        <w:rPr>
          <w:lang w:val="fr-FR"/>
        </w:rPr>
      </w:pPr>
      <w:r w:rsidRPr="00E804B2">
        <w:rPr>
          <w:lang w:val="fr-FR"/>
        </w:rPr>
        <w:tab/>
      </w:r>
      <w:r w:rsidRPr="00E804B2">
        <w:rPr>
          <w:lang w:val="fr-FR"/>
        </w:rPr>
        <w:tab/>
        <w:t>Communication de l</w:t>
      </w:r>
      <w:r w:rsidR="004D05B6">
        <w:rPr>
          <w:lang w:val="fr-FR"/>
        </w:rPr>
        <w:t>’</w:t>
      </w:r>
      <w:r w:rsidRPr="00E804B2">
        <w:rPr>
          <w:lang w:val="fr-FR"/>
        </w:rPr>
        <w:t>expert de l</w:t>
      </w:r>
      <w:r w:rsidR="004D05B6">
        <w:rPr>
          <w:lang w:val="fr-FR"/>
        </w:rPr>
        <w:t>’</w:t>
      </w:r>
      <w:r w:rsidRPr="00E804B2">
        <w:rPr>
          <w:lang w:val="fr-FR"/>
        </w:rPr>
        <w:t>Allemagne</w:t>
      </w:r>
      <w:r w:rsidRPr="004D05B6">
        <w:rPr>
          <w:rStyle w:val="FootnoteReference"/>
          <w:b w:val="0"/>
        </w:rPr>
        <w:footnoteReference w:id="2"/>
      </w:r>
    </w:p>
    <w:p w:rsidR="00E804B2" w:rsidRPr="00E804B2" w:rsidRDefault="00E804B2" w:rsidP="00E804B2">
      <w:pPr>
        <w:pStyle w:val="SingleTxtG"/>
        <w:rPr>
          <w:lang w:val="fr-FR"/>
        </w:rPr>
      </w:pPr>
      <w:r w:rsidRPr="00E804B2">
        <w:rPr>
          <w:lang w:val="fr-FR"/>
        </w:rPr>
        <w:t>1.</w:t>
      </w:r>
      <w:r w:rsidRPr="00E804B2">
        <w:rPr>
          <w:lang w:val="fr-FR"/>
        </w:rPr>
        <w:tab/>
        <w:t>À la quarante-huitième session du Sous-Comité, l</w:t>
      </w:r>
      <w:r w:rsidR="004D05B6">
        <w:rPr>
          <w:lang w:val="fr-FR"/>
        </w:rPr>
        <w:t>’</w:t>
      </w:r>
      <w:r w:rsidRPr="00E804B2">
        <w:rPr>
          <w:lang w:val="fr-FR"/>
        </w:rPr>
        <w:t>expert de l</w:t>
      </w:r>
      <w:r w:rsidR="004D05B6">
        <w:rPr>
          <w:lang w:val="fr-FR"/>
        </w:rPr>
        <w:t>’</w:t>
      </w:r>
      <w:r w:rsidRPr="00E804B2">
        <w:rPr>
          <w:lang w:val="fr-FR"/>
        </w:rPr>
        <w:t>Allemagne a rendu compte des discussions tenues par le Groupe de travail des matières énergétiques et comburantes (EOS) du Groupe d</w:t>
      </w:r>
      <w:r w:rsidR="004D05B6">
        <w:rPr>
          <w:lang w:val="fr-FR"/>
        </w:rPr>
        <w:t>’</w:t>
      </w:r>
      <w:r w:rsidRPr="00E804B2">
        <w:rPr>
          <w:lang w:val="fr-FR"/>
        </w:rPr>
        <w:t>experts international sur les risques d</w:t>
      </w:r>
      <w:r w:rsidR="004D05B6">
        <w:rPr>
          <w:lang w:val="fr-FR"/>
        </w:rPr>
        <w:t>’</w:t>
      </w:r>
      <w:r w:rsidRPr="00E804B2">
        <w:rPr>
          <w:lang w:val="fr-FR"/>
        </w:rPr>
        <w:t>explosion des matières instables (IGUS) sur la méthode d</w:t>
      </w:r>
      <w:r w:rsidR="004D05B6">
        <w:rPr>
          <w:lang w:val="fr-FR"/>
        </w:rPr>
        <w:t>’</w:t>
      </w:r>
      <w:r w:rsidRPr="00E804B2">
        <w:rPr>
          <w:lang w:val="fr-FR"/>
        </w:rPr>
        <w:t>épreuve pour les matières solides facilement inflammables (document informel INF.42). Plusieurs délégations étaient favorables à ce qu</w:t>
      </w:r>
      <w:r w:rsidR="004D05B6">
        <w:rPr>
          <w:lang w:val="fr-FR"/>
        </w:rPr>
        <w:t>’</w:t>
      </w:r>
      <w:r w:rsidRPr="00E804B2">
        <w:rPr>
          <w:lang w:val="fr-FR"/>
        </w:rPr>
        <w:t>on clarifie les dispositions relatives à l</w:t>
      </w:r>
      <w:r w:rsidR="004D05B6">
        <w:rPr>
          <w:lang w:val="fr-FR"/>
        </w:rPr>
        <w:t>’</w:t>
      </w:r>
      <w:r w:rsidRPr="00E804B2">
        <w:rPr>
          <w:lang w:val="fr-FR"/>
        </w:rPr>
        <w:t>épreuve N.1 (Recommandations de l</w:t>
      </w:r>
      <w:r w:rsidR="004D05B6">
        <w:rPr>
          <w:lang w:val="fr-FR"/>
        </w:rPr>
        <w:t>’</w:t>
      </w:r>
      <w:r w:rsidRPr="00E804B2">
        <w:rPr>
          <w:lang w:val="fr-FR"/>
        </w:rPr>
        <w:t>ONU relatives au transport des marchandises dangereuses, Manuel d</w:t>
      </w:r>
      <w:r w:rsidR="004D05B6">
        <w:rPr>
          <w:lang w:val="fr-FR"/>
        </w:rPr>
        <w:t>’</w:t>
      </w:r>
      <w:r w:rsidRPr="00E804B2">
        <w:rPr>
          <w:lang w:val="fr-FR"/>
        </w:rPr>
        <w:t>épreuves et de critères, 33.2.1.4) et ont signalé d</w:t>
      </w:r>
      <w:r w:rsidR="004D05B6">
        <w:rPr>
          <w:lang w:val="fr-FR"/>
        </w:rPr>
        <w:t>’</w:t>
      </w:r>
      <w:r w:rsidRPr="00E804B2">
        <w:rPr>
          <w:lang w:val="fr-FR"/>
        </w:rPr>
        <w:t>autres points qui méritaient d</w:t>
      </w:r>
      <w:r w:rsidR="004D05B6">
        <w:rPr>
          <w:lang w:val="fr-FR"/>
        </w:rPr>
        <w:t>’</w:t>
      </w:r>
      <w:r w:rsidRPr="00E804B2">
        <w:rPr>
          <w:lang w:val="fr-FR"/>
        </w:rPr>
        <w:t>être précisés. Les délégations intéressées ont été invitées à étudier ce document et à faire part de leurs commentaires. Aucun commentaire n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ayant été reçu avant la date limite fixée pour la soumission de propositions officielles à la quarante-neuvième session, on peut en conclure que les délégations ont besoin de plus de temps pour étudier la question en détail. </w:t>
      </w:r>
    </w:p>
    <w:p w:rsidR="00E804B2" w:rsidRPr="00E804B2" w:rsidRDefault="00E804B2" w:rsidP="00D52E98">
      <w:pPr>
        <w:pStyle w:val="SingleTxtG"/>
        <w:keepNext/>
        <w:keepLines/>
        <w:rPr>
          <w:lang w:val="fr-FR"/>
        </w:rPr>
      </w:pPr>
      <w:r w:rsidRPr="00E804B2">
        <w:rPr>
          <w:lang w:val="fr-FR"/>
        </w:rPr>
        <w:lastRenderedPageBreak/>
        <w:t>2.</w:t>
      </w:r>
      <w:r w:rsidRPr="00E804B2">
        <w:rPr>
          <w:lang w:val="fr-FR"/>
        </w:rPr>
        <w:tab/>
        <w:t>Néanmoins, dans un premier temps, une décision pourrait être prise concernant la longueur de l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échantillon. Dans la phrase </w:t>
      </w:r>
      <w:r w:rsidR="004D05B6">
        <w:rPr>
          <w:lang w:val="fr-FR"/>
        </w:rPr>
        <w:t>« </w:t>
      </w:r>
      <w:r w:rsidRPr="00E804B2">
        <w:rPr>
          <w:lang w:val="fr-FR"/>
        </w:rPr>
        <w:t>Les poudres de métaux ou d</w:t>
      </w:r>
      <w:r w:rsidR="004D05B6">
        <w:rPr>
          <w:lang w:val="fr-FR"/>
        </w:rPr>
        <w:t>’</w:t>
      </w:r>
      <w:r w:rsidRPr="00E804B2">
        <w:rPr>
          <w:lang w:val="fr-FR"/>
        </w:rPr>
        <w:t>alliages métalliques sont classées dans la division 4.1 s</w:t>
      </w:r>
      <w:r w:rsidR="004D05B6">
        <w:rPr>
          <w:lang w:val="fr-FR"/>
        </w:rPr>
        <w:t>’</w:t>
      </w:r>
      <w:r w:rsidRPr="00E804B2">
        <w:rPr>
          <w:lang w:val="fr-FR"/>
        </w:rPr>
        <w:t>il y a inflammation et si la réaction se propage sur toute la longueur de l</w:t>
      </w:r>
      <w:r w:rsidR="004D05B6">
        <w:rPr>
          <w:lang w:val="fr-FR"/>
        </w:rPr>
        <w:t>’</w:t>
      </w:r>
      <w:r w:rsidRPr="00E804B2">
        <w:rPr>
          <w:lang w:val="fr-FR"/>
        </w:rPr>
        <w:t>échantillon…</w:t>
      </w:r>
      <w:r w:rsidR="004D05B6">
        <w:rPr>
          <w:lang w:val="fr-FR"/>
        </w:rPr>
        <w:t> »</w:t>
      </w:r>
      <w:r w:rsidRPr="00E804B2">
        <w:rPr>
          <w:lang w:val="fr-FR"/>
        </w:rPr>
        <w:t xml:space="preserve"> (Manuel d</w:t>
      </w:r>
      <w:r w:rsidR="004D05B6">
        <w:rPr>
          <w:lang w:val="fr-FR"/>
        </w:rPr>
        <w:t>’</w:t>
      </w:r>
      <w:r w:rsidRPr="00E804B2">
        <w:rPr>
          <w:lang w:val="fr-FR"/>
        </w:rPr>
        <w:t>épreuves et de critères, 33.2.1.4.4.1), l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expression </w:t>
      </w:r>
      <w:r w:rsidR="004D05B6">
        <w:rPr>
          <w:lang w:val="fr-FR"/>
        </w:rPr>
        <w:t>« </w:t>
      </w:r>
      <w:r w:rsidRPr="00E804B2">
        <w:rPr>
          <w:lang w:val="fr-FR"/>
        </w:rPr>
        <w:t>sur toute la longueur</w:t>
      </w:r>
      <w:r w:rsidR="004D05B6">
        <w:rPr>
          <w:lang w:val="fr-FR"/>
        </w:rPr>
        <w:t> »</w:t>
      </w:r>
      <w:r w:rsidRPr="00E804B2">
        <w:rPr>
          <w:lang w:val="fr-FR"/>
        </w:rPr>
        <w:t xml:space="preserve"> n</w:t>
      </w:r>
      <w:r w:rsidR="004D05B6">
        <w:rPr>
          <w:lang w:val="fr-FR"/>
        </w:rPr>
        <w:t>’</w:t>
      </w:r>
      <w:r w:rsidRPr="00E804B2">
        <w:rPr>
          <w:lang w:val="fr-FR"/>
        </w:rPr>
        <w:t>est pas claire et donne lieu à des interprétations différentes des résultats d</w:t>
      </w:r>
      <w:r w:rsidR="004D05B6">
        <w:rPr>
          <w:lang w:val="fr-FR"/>
        </w:rPr>
        <w:t>’</w:t>
      </w:r>
      <w:r w:rsidRPr="00E804B2">
        <w:rPr>
          <w:lang w:val="fr-FR"/>
        </w:rPr>
        <w:t>épreuves. Il en e</w:t>
      </w:r>
      <w:r w:rsidR="00B70430">
        <w:rPr>
          <w:lang w:val="fr-FR"/>
        </w:rPr>
        <w:t>st de même pour les paragraphes </w:t>
      </w:r>
      <w:r w:rsidRPr="00E804B2">
        <w:rPr>
          <w:lang w:val="fr-FR"/>
        </w:rPr>
        <w:t>33.2.1.4.4.2 et 33.2.1.4.4.3.</w:t>
      </w:r>
    </w:p>
    <w:p w:rsidR="00E804B2" w:rsidRPr="00E804B2" w:rsidRDefault="00E804B2" w:rsidP="00E804B2">
      <w:pPr>
        <w:pStyle w:val="SingleTxtG"/>
        <w:rPr>
          <w:lang w:val="fr-FR"/>
        </w:rPr>
      </w:pPr>
      <w:r w:rsidRPr="00E804B2">
        <w:rPr>
          <w:lang w:val="fr-FR"/>
        </w:rPr>
        <w:t>3.</w:t>
      </w:r>
      <w:r w:rsidRPr="00E804B2">
        <w:rPr>
          <w:lang w:val="fr-FR"/>
        </w:rPr>
        <w:tab/>
        <w:t>À l</w:t>
      </w:r>
      <w:r w:rsidR="004D05B6">
        <w:rPr>
          <w:lang w:val="fr-FR"/>
        </w:rPr>
        <w:t>’</w:t>
      </w:r>
      <w:r w:rsidRPr="00E804B2">
        <w:rPr>
          <w:lang w:val="fr-FR"/>
        </w:rPr>
        <w:t>issue de ses discussions, le Groupe de travail EOS est arrivé à la conclusion qu</w:t>
      </w:r>
      <w:r w:rsidR="004D05B6">
        <w:rPr>
          <w:lang w:val="fr-FR"/>
        </w:rPr>
        <w:t>’</w:t>
      </w:r>
      <w:r w:rsidRPr="00E804B2">
        <w:rPr>
          <w:lang w:val="fr-FR"/>
        </w:rPr>
        <w:t>il s</w:t>
      </w:r>
      <w:r w:rsidR="004D05B6">
        <w:rPr>
          <w:lang w:val="fr-FR"/>
        </w:rPr>
        <w:t>’</w:t>
      </w:r>
      <w:r w:rsidRPr="00E804B2">
        <w:rPr>
          <w:lang w:val="fr-FR"/>
        </w:rPr>
        <w:t>agissait de la longueur totale du cordon (250 mm).</w:t>
      </w:r>
    </w:p>
    <w:p w:rsidR="00E804B2" w:rsidRPr="00E804B2" w:rsidRDefault="00E804B2" w:rsidP="004D05B6">
      <w:pPr>
        <w:pStyle w:val="H1G"/>
        <w:rPr>
          <w:lang w:val="fr-FR"/>
        </w:rPr>
      </w:pPr>
      <w:r w:rsidRPr="00E804B2">
        <w:rPr>
          <w:lang w:val="fr-FR"/>
        </w:rPr>
        <w:tab/>
      </w:r>
      <w:r w:rsidRPr="00E804B2">
        <w:rPr>
          <w:lang w:val="fr-FR"/>
        </w:rPr>
        <w:tab/>
        <w:t>Proposition</w:t>
      </w:r>
    </w:p>
    <w:p w:rsidR="00E804B2" w:rsidRPr="00E804B2" w:rsidRDefault="00E804B2" w:rsidP="00E804B2">
      <w:pPr>
        <w:pStyle w:val="SingleTxtG"/>
        <w:rPr>
          <w:lang w:val="fr-FR"/>
        </w:rPr>
      </w:pPr>
      <w:r w:rsidRPr="00E804B2">
        <w:rPr>
          <w:lang w:val="fr-FR"/>
        </w:rPr>
        <w:t>4.</w:t>
      </w:r>
      <w:r w:rsidRPr="00E804B2">
        <w:rPr>
          <w:lang w:val="fr-FR"/>
        </w:rPr>
        <w:tab/>
        <w:t>Le Sous-Comité est invité à examiner les propositions d</w:t>
      </w:r>
      <w:r w:rsidR="004D05B6">
        <w:rPr>
          <w:lang w:val="fr-FR"/>
        </w:rPr>
        <w:t>’</w:t>
      </w:r>
      <w:r w:rsidRPr="00E804B2">
        <w:rPr>
          <w:lang w:val="fr-FR"/>
        </w:rPr>
        <w:t>amendements suivantes</w:t>
      </w:r>
      <w:r w:rsidR="004D05B6">
        <w:rPr>
          <w:lang w:val="fr-FR"/>
        </w:rPr>
        <w:t> </w:t>
      </w:r>
      <w:r w:rsidRPr="00E804B2">
        <w:rPr>
          <w:lang w:val="fr-FR"/>
        </w:rPr>
        <w:t>:</w:t>
      </w:r>
    </w:p>
    <w:p w:rsidR="00E804B2" w:rsidRPr="00697B9E" w:rsidRDefault="00E804B2" w:rsidP="00E804B2">
      <w:pPr>
        <w:pStyle w:val="SingleTxtG"/>
        <w:rPr>
          <w:spacing w:val="-2"/>
          <w:lang w:val="fr-FR"/>
        </w:rPr>
      </w:pPr>
      <w:r w:rsidRPr="00E804B2">
        <w:rPr>
          <w:lang w:val="fr-FR"/>
        </w:rPr>
        <w:tab/>
      </w:r>
      <w:r w:rsidRPr="00697B9E">
        <w:rPr>
          <w:spacing w:val="-2"/>
          <w:lang w:val="fr-FR"/>
        </w:rPr>
        <w:t>a)</w:t>
      </w:r>
      <w:r w:rsidRPr="00697B9E">
        <w:rPr>
          <w:spacing w:val="-2"/>
          <w:lang w:val="fr-FR"/>
        </w:rPr>
        <w:tab/>
        <w:t>Modifier la dernière phrase du 33.2.1.4.4.1 de sorte qu</w:t>
      </w:r>
      <w:r w:rsidR="004D05B6" w:rsidRPr="00697B9E">
        <w:rPr>
          <w:spacing w:val="-2"/>
          <w:lang w:val="fr-FR"/>
        </w:rPr>
        <w:t>’</w:t>
      </w:r>
      <w:r w:rsidRPr="00697B9E">
        <w:rPr>
          <w:spacing w:val="-2"/>
          <w:lang w:val="fr-FR"/>
        </w:rPr>
        <w:t>elle se lise comme suit</w:t>
      </w:r>
      <w:r w:rsidR="00B70430" w:rsidRPr="00697B9E">
        <w:rPr>
          <w:spacing w:val="-2"/>
          <w:lang w:val="fr-FR"/>
        </w:rPr>
        <w:t> </w:t>
      </w:r>
      <w:r w:rsidRPr="00697B9E">
        <w:rPr>
          <w:spacing w:val="-2"/>
          <w:lang w:val="fr-FR"/>
        </w:rPr>
        <w:t>:</w:t>
      </w:r>
    </w:p>
    <w:p w:rsidR="00E804B2" w:rsidRPr="00E804B2" w:rsidRDefault="00E804B2" w:rsidP="00697B9E">
      <w:pPr>
        <w:pStyle w:val="SingleTxtG"/>
        <w:ind w:left="2268" w:hanging="1134"/>
        <w:rPr>
          <w:lang w:val="fr-FR"/>
        </w:rPr>
      </w:pPr>
      <w:r w:rsidRPr="00E804B2">
        <w:rPr>
          <w:lang w:val="fr-FR"/>
        </w:rPr>
        <w:tab/>
      </w:r>
      <w:r w:rsidR="00697B9E">
        <w:rPr>
          <w:lang w:val="fr-FR"/>
        </w:rPr>
        <w:tab/>
      </w:r>
      <w:r w:rsidR="00B70430">
        <w:rPr>
          <w:lang w:val="fr-FR"/>
        </w:rPr>
        <w:tab/>
      </w:r>
      <w:r w:rsidR="004D05B6">
        <w:rPr>
          <w:lang w:val="fr-FR"/>
        </w:rPr>
        <w:t>« </w:t>
      </w:r>
      <w:r w:rsidRPr="00E804B2">
        <w:rPr>
          <w:lang w:val="fr-FR"/>
        </w:rPr>
        <w:t>Les poudres de métaux ou d</w:t>
      </w:r>
      <w:r w:rsidR="004D05B6">
        <w:rPr>
          <w:lang w:val="fr-FR"/>
        </w:rPr>
        <w:t>’</w:t>
      </w:r>
      <w:r w:rsidRPr="00E804B2">
        <w:rPr>
          <w:lang w:val="fr-FR"/>
        </w:rPr>
        <w:t>alliages métalliques sont classées dans la division 4.1 s</w:t>
      </w:r>
      <w:r w:rsidR="004D05B6">
        <w:rPr>
          <w:lang w:val="fr-FR"/>
        </w:rPr>
        <w:t>’</w:t>
      </w:r>
      <w:r w:rsidRPr="00E804B2">
        <w:rPr>
          <w:lang w:val="fr-FR"/>
        </w:rPr>
        <w:t>il y a inflammation et si la réaction se propage sur toute la longueur de l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échantillon </w:t>
      </w:r>
      <w:r w:rsidR="004D05B6">
        <w:rPr>
          <w:lang w:val="fr-FR"/>
        </w:rPr>
        <w:t>(250 </w:t>
      </w:r>
      <w:r w:rsidRPr="00E804B2">
        <w:rPr>
          <w:lang w:val="fr-FR"/>
        </w:rPr>
        <w:t>mm) en 10 min ou moins.</w:t>
      </w:r>
      <w:r w:rsidR="004D05B6">
        <w:rPr>
          <w:lang w:val="fr-FR"/>
        </w:rPr>
        <w:t> »</w:t>
      </w:r>
      <w:r w:rsidRPr="00E804B2">
        <w:rPr>
          <w:lang w:val="fr-FR"/>
        </w:rPr>
        <w:t>.</w:t>
      </w:r>
    </w:p>
    <w:p w:rsidR="00E804B2" w:rsidRPr="00697B9E" w:rsidRDefault="004D05B6" w:rsidP="00E804B2">
      <w:pPr>
        <w:pStyle w:val="SingleTxtG"/>
        <w:rPr>
          <w:spacing w:val="-2"/>
          <w:lang w:val="fr-FR"/>
        </w:rPr>
      </w:pPr>
      <w:r>
        <w:rPr>
          <w:lang w:val="fr-FR"/>
        </w:rPr>
        <w:tab/>
      </w:r>
      <w:r w:rsidR="00E804B2" w:rsidRPr="00697B9E">
        <w:rPr>
          <w:spacing w:val="-2"/>
          <w:lang w:val="fr-FR"/>
        </w:rPr>
        <w:t>b)</w:t>
      </w:r>
      <w:r w:rsidR="00E804B2" w:rsidRPr="00697B9E">
        <w:rPr>
          <w:spacing w:val="-2"/>
          <w:lang w:val="fr-FR"/>
        </w:rPr>
        <w:tab/>
        <w:t>Modifier la dernière phrase du 33.2.1.4.4.2 de sorte qu</w:t>
      </w:r>
      <w:r w:rsidRPr="00697B9E">
        <w:rPr>
          <w:spacing w:val="-2"/>
          <w:lang w:val="fr-FR"/>
        </w:rPr>
        <w:t>’</w:t>
      </w:r>
      <w:r w:rsidR="00E804B2" w:rsidRPr="00697B9E">
        <w:rPr>
          <w:spacing w:val="-2"/>
          <w:lang w:val="fr-FR"/>
        </w:rPr>
        <w:t>elle se lise comme suit</w:t>
      </w:r>
      <w:r w:rsidR="00B70430" w:rsidRPr="00697B9E">
        <w:rPr>
          <w:spacing w:val="-2"/>
          <w:lang w:val="fr-FR"/>
        </w:rPr>
        <w:t> </w:t>
      </w:r>
      <w:r w:rsidR="00E804B2" w:rsidRPr="00697B9E">
        <w:rPr>
          <w:spacing w:val="-2"/>
          <w:lang w:val="fr-FR"/>
        </w:rPr>
        <w:t>:</w:t>
      </w:r>
    </w:p>
    <w:p w:rsidR="00E804B2" w:rsidRPr="00E804B2" w:rsidRDefault="00E804B2" w:rsidP="00697B9E">
      <w:pPr>
        <w:pStyle w:val="SingleTxtG"/>
        <w:ind w:left="2268" w:hanging="1134"/>
        <w:rPr>
          <w:lang w:val="fr-FR"/>
        </w:rPr>
      </w:pPr>
      <w:r w:rsidRPr="00E804B2">
        <w:rPr>
          <w:lang w:val="fr-FR"/>
        </w:rPr>
        <w:tab/>
      </w:r>
      <w:r w:rsidR="00697B9E">
        <w:rPr>
          <w:lang w:val="fr-FR"/>
        </w:rPr>
        <w:tab/>
      </w:r>
      <w:r w:rsidR="00B70430">
        <w:rPr>
          <w:lang w:val="fr-FR"/>
        </w:rPr>
        <w:tab/>
      </w:r>
      <w:r w:rsidR="004D05B6">
        <w:rPr>
          <w:lang w:val="fr-FR"/>
        </w:rPr>
        <w:t>« </w:t>
      </w:r>
      <w:r w:rsidRPr="00E804B2">
        <w:rPr>
          <w:lang w:val="fr-FR"/>
        </w:rPr>
        <w:t>Les poudres de métaux ou d</w:t>
      </w:r>
      <w:r w:rsidR="004D05B6">
        <w:rPr>
          <w:lang w:val="fr-FR"/>
        </w:rPr>
        <w:t>’</w:t>
      </w:r>
      <w:r w:rsidRPr="00E804B2">
        <w:rPr>
          <w:lang w:val="fr-FR"/>
        </w:rPr>
        <w:t>alliages de métaux doivent être affectées au groupe d</w:t>
      </w:r>
      <w:r w:rsidR="004D05B6">
        <w:rPr>
          <w:lang w:val="fr-FR"/>
        </w:rPr>
        <w:t>’</w:t>
      </w:r>
      <w:r w:rsidRPr="00E804B2">
        <w:rPr>
          <w:lang w:val="fr-FR"/>
        </w:rPr>
        <w:t>emballage II si la zone de réaction se propage sur toute la longueur de l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échantillon </w:t>
      </w:r>
      <w:r w:rsidR="00B70430">
        <w:rPr>
          <w:lang w:val="fr-FR"/>
        </w:rPr>
        <w:t>(250 </w:t>
      </w:r>
      <w:r w:rsidRPr="00E804B2">
        <w:rPr>
          <w:lang w:val="fr-FR"/>
        </w:rPr>
        <w:t>mm) en 5 min ou moins.</w:t>
      </w:r>
      <w:r w:rsidR="004D05B6">
        <w:rPr>
          <w:lang w:val="fr-FR"/>
        </w:rPr>
        <w:t> ».</w:t>
      </w:r>
    </w:p>
    <w:p w:rsidR="00E804B2" w:rsidRPr="00697B9E" w:rsidRDefault="004D05B6" w:rsidP="00E804B2">
      <w:pPr>
        <w:pStyle w:val="SingleTxtG"/>
        <w:rPr>
          <w:spacing w:val="-2"/>
          <w:lang w:val="fr-FR"/>
        </w:rPr>
      </w:pPr>
      <w:r>
        <w:rPr>
          <w:lang w:val="fr-FR"/>
        </w:rPr>
        <w:tab/>
      </w:r>
      <w:r w:rsidR="00E804B2" w:rsidRPr="00E804B2">
        <w:rPr>
          <w:lang w:val="fr-FR"/>
        </w:rPr>
        <w:t>c</w:t>
      </w:r>
      <w:r w:rsidR="00E804B2" w:rsidRPr="00697B9E">
        <w:rPr>
          <w:spacing w:val="-2"/>
          <w:lang w:val="fr-FR"/>
        </w:rPr>
        <w:t>)</w:t>
      </w:r>
      <w:r w:rsidR="00E804B2" w:rsidRPr="00697B9E">
        <w:rPr>
          <w:spacing w:val="-2"/>
          <w:lang w:val="fr-FR"/>
        </w:rPr>
        <w:tab/>
        <w:t>Modifier la dernière phrase du 33.2.1.4.4.3 de sorte qu</w:t>
      </w:r>
      <w:r w:rsidRPr="00697B9E">
        <w:rPr>
          <w:spacing w:val="-2"/>
          <w:lang w:val="fr-FR"/>
        </w:rPr>
        <w:t>’</w:t>
      </w:r>
      <w:r w:rsidR="00E804B2" w:rsidRPr="00697B9E">
        <w:rPr>
          <w:spacing w:val="-2"/>
          <w:lang w:val="fr-FR"/>
        </w:rPr>
        <w:t>elle se lise comme suit</w:t>
      </w:r>
      <w:r w:rsidRPr="00697B9E">
        <w:rPr>
          <w:spacing w:val="-2"/>
          <w:lang w:val="fr-FR"/>
        </w:rPr>
        <w:t> </w:t>
      </w:r>
      <w:r w:rsidR="00E804B2" w:rsidRPr="00697B9E">
        <w:rPr>
          <w:spacing w:val="-2"/>
          <w:lang w:val="fr-FR"/>
        </w:rPr>
        <w:t>:</w:t>
      </w:r>
    </w:p>
    <w:p w:rsidR="00E804B2" w:rsidRPr="00E804B2" w:rsidRDefault="00E804B2" w:rsidP="00697B9E">
      <w:pPr>
        <w:pStyle w:val="SingleTxtG"/>
        <w:ind w:left="2268" w:hanging="1134"/>
        <w:rPr>
          <w:lang w:val="fr-FR"/>
        </w:rPr>
      </w:pPr>
      <w:r w:rsidRPr="00E804B2">
        <w:rPr>
          <w:lang w:val="fr-FR"/>
        </w:rPr>
        <w:tab/>
      </w:r>
      <w:r w:rsidR="00697B9E">
        <w:rPr>
          <w:lang w:val="fr-FR"/>
        </w:rPr>
        <w:tab/>
      </w:r>
      <w:r w:rsidR="00B70430">
        <w:rPr>
          <w:lang w:val="fr-FR"/>
        </w:rPr>
        <w:tab/>
      </w:r>
      <w:r w:rsidR="004D05B6">
        <w:rPr>
          <w:lang w:val="fr-FR"/>
        </w:rPr>
        <w:t>« </w:t>
      </w:r>
      <w:r w:rsidRPr="00E804B2">
        <w:rPr>
          <w:lang w:val="fr-FR"/>
        </w:rPr>
        <w:t>Les poudres métalliques doivent être affectées au groupe d</w:t>
      </w:r>
      <w:r w:rsidR="004D05B6">
        <w:rPr>
          <w:lang w:val="fr-FR"/>
        </w:rPr>
        <w:t>’</w:t>
      </w:r>
      <w:r w:rsidRPr="00E804B2">
        <w:rPr>
          <w:lang w:val="fr-FR"/>
        </w:rPr>
        <w:t>emballage III si la réaction se propage sur toute la longueur de l</w:t>
      </w:r>
      <w:r w:rsidR="004D05B6">
        <w:rPr>
          <w:lang w:val="fr-FR"/>
        </w:rPr>
        <w:t>’</w:t>
      </w:r>
      <w:r w:rsidRPr="00E804B2">
        <w:rPr>
          <w:lang w:val="fr-FR"/>
        </w:rPr>
        <w:t xml:space="preserve">échantillon (250 mm) </w:t>
      </w:r>
      <w:r w:rsidR="00B70430">
        <w:rPr>
          <w:lang w:val="fr-FR"/>
        </w:rPr>
        <w:t>en plus de 5 </w:t>
      </w:r>
      <w:r w:rsidRPr="00E804B2">
        <w:rPr>
          <w:lang w:val="fr-FR"/>
        </w:rPr>
        <w:t>min mais moins de 10 min.</w:t>
      </w:r>
      <w:r w:rsidR="004D05B6">
        <w:rPr>
          <w:lang w:val="fr-FR"/>
        </w:rPr>
        <w:t> ».</w:t>
      </w:r>
    </w:p>
    <w:p w:rsidR="00E804B2" w:rsidRPr="00E804B2" w:rsidRDefault="00E804B2" w:rsidP="00E804B2">
      <w:pPr>
        <w:pStyle w:val="SingleTxtG"/>
        <w:rPr>
          <w:lang w:val="fr-FR"/>
        </w:rPr>
      </w:pPr>
      <w:r w:rsidRPr="00E804B2">
        <w:rPr>
          <w:lang w:val="fr-FR"/>
        </w:rPr>
        <w:t>5.</w:t>
      </w:r>
      <w:r w:rsidRPr="00E804B2">
        <w:rPr>
          <w:lang w:val="fr-FR"/>
        </w:rPr>
        <w:tab/>
        <w:t xml:space="preserve">Dans le paragraphe 33.2.1.4.4.1 du texte anglais du Manuel, il convient également de remplacer le renvoi au 33.2.1.3.4.2 par </w:t>
      </w:r>
      <w:r w:rsidR="004D05B6">
        <w:rPr>
          <w:lang w:val="fr-FR"/>
        </w:rPr>
        <w:t>« </w:t>
      </w:r>
      <w:r w:rsidRPr="00E804B2">
        <w:rPr>
          <w:lang w:val="fr-FR"/>
        </w:rPr>
        <w:t>33.2.1.4.3.2</w:t>
      </w:r>
      <w:r w:rsidR="004D05B6">
        <w:rPr>
          <w:lang w:val="fr-FR"/>
        </w:rPr>
        <w:t> »</w:t>
      </w:r>
      <w:r w:rsidRPr="00E804B2">
        <w:rPr>
          <w:lang w:val="fr-FR"/>
        </w:rPr>
        <w:t>.</w:t>
      </w:r>
    </w:p>
    <w:p w:rsidR="00446FE5" w:rsidRPr="004D05B6" w:rsidRDefault="004D05B6" w:rsidP="004D05B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4D05B6" w:rsidSect="00E804B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28" w:rsidRDefault="00D90528" w:rsidP="00F95C08">
      <w:pPr>
        <w:spacing w:line="240" w:lineRule="auto"/>
      </w:pPr>
    </w:p>
  </w:endnote>
  <w:endnote w:type="continuationSeparator" w:id="0">
    <w:p w:rsidR="00D90528" w:rsidRPr="00AC3823" w:rsidRDefault="00D90528" w:rsidP="00AC3823">
      <w:pPr>
        <w:pStyle w:val="Footer"/>
      </w:pPr>
    </w:p>
  </w:endnote>
  <w:endnote w:type="continuationNotice" w:id="1">
    <w:p w:rsidR="00D90528" w:rsidRDefault="00D905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B2" w:rsidRPr="00E804B2" w:rsidRDefault="00E804B2" w:rsidP="00E804B2">
    <w:pPr>
      <w:pStyle w:val="Footer"/>
      <w:tabs>
        <w:tab w:val="right" w:pos="9638"/>
      </w:tabs>
    </w:pPr>
    <w:r w:rsidRPr="00E804B2">
      <w:rPr>
        <w:b/>
        <w:sz w:val="18"/>
      </w:rPr>
      <w:fldChar w:fldCharType="begin"/>
    </w:r>
    <w:r w:rsidRPr="00E804B2">
      <w:rPr>
        <w:b/>
        <w:sz w:val="18"/>
      </w:rPr>
      <w:instrText xml:space="preserve"> PAGE  \* MERGEFORMAT </w:instrText>
    </w:r>
    <w:r w:rsidRPr="00E804B2">
      <w:rPr>
        <w:b/>
        <w:sz w:val="18"/>
      </w:rPr>
      <w:fldChar w:fldCharType="separate"/>
    </w:r>
    <w:r w:rsidR="00B2327A">
      <w:rPr>
        <w:b/>
        <w:noProof/>
        <w:sz w:val="18"/>
      </w:rPr>
      <w:t>2</w:t>
    </w:r>
    <w:r w:rsidRPr="00E804B2">
      <w:rPr>
        <w:b/>
        <w:sz w:val="18"/>
      </w:rPr>
      <w:fldChar w:fldCharType="end"/>
    </w:r>
    <w:r>
      <w:rPr>
        <w:b/>
        <w:sz w:val="18"/>
      </w:rPr>
      <w:tab/>
    </w:r>
    <w:r>
      <w:t>GE.16-04527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B2" w:rsidRPr="00E804B2" w:rsidRDefault="00E804B2" w:rsidP="00E804B2">
    <w:pPr>
      <w:pStyle w:val="Footer"/>
      <w:tabs>
        <w:tab w:val="right" w:pos="9638"/>
      </w:tabs>
      <w:rPr>
        <w:b/>
        <w:sz w:val="18"/>
      </w:rPr>
    </w:pPr>
    <w:r>
      <w:t>GE.16-04527</w:t>
    </w:r>
    <w:r>
      <w:tab/>
    </w:r>
    <w:r w:rsidRPr="00E804B2">
      <w:rPr>
        <w:b/>
        <w:sz w:val="18"/>
      </w:rPr>
      <w:fldChar w:fldCharType="begin"/>
    </w:r>
    <w:r w:rsidRPr="00E804B2">
      <w:rPr>
        <w:b/>
        <w:sz w:val="18"/>
      </w:rPr>
      <w:instrText xml:space="preserve"> PAGE  \* MERGEFORMAT </w:instrText>
    </w:r>
    <w:r w:rsidRPr="00E804B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804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E804B2" w:rsidRDefault="00E804B2" w:rsidP="00E804B2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15107E4" wp14:editId="4CA8B89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16-04527  (F)</w:t>
    </w:r>
    <w:r w:rsidR="00B70430">
      <w:rPr>
        <w:sz w:val="20"/>
      </w:rPr>
      <w:t xml:space="preserve">    110516    130516</w:t>
    </w:r>
    <w:r>
      <w:rPr>
        <w:sz w:val="20"/>
      </w:rPr>
      <w:br/>
    </w:r>
    <w:r w:rsidRPr="00E804B2">
      <w:rPr>
        <w:rFonts w:ascii="C39T30Lfz" w:hAnsi="C39T30Lfz"/>
        <w:sz w:val="56"/>
      </w:rPr>
      <w:t></w:t>
    </w:r>
    <w:r w:rsidRPr="00E804B2">
      <w:rPr>
        <w:rFonts w:ascii="C39T30Lfz" w:hAnsi="C39T30Lfz"/>
        <w:sz w:val="56"/>
      </w:rPr>
      <w:t></w:t>
    </w:r>
    <w:r w:rsidRPr="00E804B2">
      <w:rPr>
        <w:rFonts w:ascii="C39T30Lfz" w:hAnsi="C39T30Lfz"/>
        <w:sz w:val="56"/>
      </w:rPr>
      <w:t></w:t>
    </w:r>
    <w:r w:rsidRPr="00E804B2">
      <w:rPr>
        <w:rFonts w:ascii="C39T30Lfz" w:hAnsi="C39T30Lfz"/>
        <w:sz w:val="56"/>
      </w:rPr>
      <w:t></w:t>
    </w:r>
    <w:r w:rsidRPr="00E804B2">
      <w:rPr>
        <w:rFonts w:ascii="C39T30Lfz" w:hAnsi="C39T30Lfz"/>
        <w:sz w:val="56"/>
      </w:rPr>
      <w:t></w:t>
    </w:r>
    <w:r w:rsidRPr="00E804B2">
      <w:rPr>
        <w:rFonts w:ascii="C39T30Lfz" w:hAnsi="C39T30Lfz"/>
        <w:sz w:val="56"/>
      </w:rPr>
      <w:t></w:t>
    </w:r>
    <w:r w:rsidRPr="00E804B2">
      <w:rPr>
        <w:rFonts w:ascii="C39T30Lfz" w:hAnsi="C39T30Lfz"/>
        <w:sz w:val="56"/>
      </w:rPr>
      <w:t></w:t>
    </w:r>
    <w:r w:rsidRPr="00E804B2">
      <w:rPr>
        <w:rFonts w:ascii="C39T30Lfz" w:hAnsi="C39T30Lfz"/>
        <w:sz w:val="56"/>
      </w:rPr>
      <w:t></w:t>
    </w:r>
    <w:r w:rsidRPr="00E804B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28" w:rsidRPr="00AC3823" w:rsidRDefault="00D905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90528" w:rsidRPr="00AC3823" w:rsidRDefault="00D905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90528" w:rsidRPr="00AC3823" w:rsidRDefault="00D90528">
      <w:pPr>
        <w:spacing w:line="240" w:lineRule="auto"/>
        <w:rPr>
          <w:sz w:val="2"/>
          <w:szCs w:val="2"/>
        </w:rPr>
      </w:pPr>
    </w:p>
  </w:footnote>
  <w:footnote w:id="2">
    <w:p w:rsidR="00E804B2" w:rsidRPr="00EA463A" w:rsidRDefault="004D05B6" w:rsidP="004D05B6">
      <w:pPr>
        <w:pStyle w:val="FootnoteText"/>
      </w:pPr>
      <w:r>
        <w:tab/>
      </w:r>
      <w:r w:rsidR="00E804B2" w:rsidRPr="004D05B6">
        <w:rPr>
          <w:rStyle w:val="FootnoteReference"/>
        </w:rPr>
        <w:footnoteRef/>
      </w:r>
      <w:r>
        <w:tab/>
      </w:r>
      <w:r w:rsidR="00E804B2" w:rsidRPr="00EA463A">
        <w:t>Conformément au programme de travail du Sous-Comité pour la période 2015-2016 adopté par le Comité à sa septième session (voir ST/SG/AC.10/C.3/92, par. 95, et ST/SG/AC.10/42, par. 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B2" w:rsidRPr="00E804B2" w:rsidRDefault="00E804B2">
    <w:pPr>
      <w:pStyle w:val="Header"/>
    </w:pPr>
    <w:r>
      <w:t>ST/SG/AC.10/C.3/2016/5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B2" w:rsidRPr="00E804B2" w:rsidRDefault="00E804B2" w:rsidP="00E804B2">
    <w:pPr>
      <w:pStyle w:val="Header"/>
      <w:jc w:val="right"/>
    </w:pPr>
    <w:r>
      <w:t>ST/SG/AC.10/C.3/2016/5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8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1658"/>
    <w:rsid w:val="002D7C93"/>
    <w:rsid w:val="00441C3B"/>
    <w:rsid w:val="00446FE5"/>
    <w:rsid w:val="00452396"/>
    <w:rsid w:val="004D05B6"/>
    <w:rsid w:val="004E468C"/>
    <w:rsid w:val="005505B7"/>
    <w:rsid w:val="00573BE5"/>
    <w:rsid w:val="00586ED3"/>
    <w:rsid w:val="00596AA9"/>
    <w:rsid w:val="0068456F"/>
    <w:rsid w:val="00697B9E"/>
    <w:rsid w:val="0071601D"/>
    <w:rsid w:val="007540AE"/>
    <w:rsid w:val="007A62E6"/>
    <w:rsid w:val="007C602B"/>
    <w:rsid w:val="0080684C"/>
    <w:rsid w:val="008070F7"/>
    <w:rsid w:val="00871C75"/>
    <w:rsid w:val="008776DC"/>
    <w:rsid w:val="009705C8"/>
    <w:rsid w:val="009C1CF4"/>
    <w:rsid w:val="00A30353"/>
    <w:rsid w:val="00AC3823"/>
    <w:rsid w:val="00AE323C"/>
    <w:rsid w:val="00B00181"/>
    <w:rsid w:val="00B00B0D"/>
    <w:rsid w:val="00B2327A"/>
    <w:rsid w:val="00B70430"/>
    <w:rsid w:val="00B765F7"/>
    <w:rsid w:val="00BA0CA9"/>
    <w:rsid w:val="00C02897"/>
    <w:rsid w:val="00D2084C"/>
    <w:rsid w:val="00D3439C"/>
    <w:rsid w:val="00D52E98"/>
    <w:rsid w:val="00D90528"/>
    <w:rsid w:val="00DB1831"/>
    <w:rsid w:val="00DD3BFD"/>
    <w:rsid w:val="00DF6678"/>
    <w:rsid w:val="00E804B2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ST/SG/AC.10/C.3/2016/5</vt:lpstr>
      <vt:lpstr>ST/SG/AC.10/C.3/2016/5</vt:lpstr>
    </vt:vector>
  </TitlesOfParts>
  <Company>DCM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ST/SG/AC.10/C.3/2016/5</dc:title>
  <dc:creator>Vigny</dc:creator>
  <cp:lastModifiedBy>Laurence Berthet</cp:lastModifiedBy>
  <cp:revision>2</cp:revision>
  <cp:lastPrinted>2016-05-13T13:22:00Z</cp:lastPrinted>
  <dcterms:created xsi:type="dcterms:W3CDTF">2016-05-13T13:23:00Z</dcterms:created>
  <dcterms:modified xsi:type="dcterms:W3CDTF">2016-05-13T13:23:00Z</dcterms:modified>
</cp:coreProperties>
</file>