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04C1F">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04C1F" w:rsidP="00104C1F">
            <w:pPr>
              <w:jc w:val="right"/>
            </w:pPr>
            <w:r w:rsidRPr="00104C1F">
              <w:rPr>
                <w:sz w:val="40"/>
              </w:rPr>
              <w:t>ST</w:t>
            </w:r>
            <w:r>
              <w:t>/SG/AC.10/C.3/2016/50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04C1F" w:rsidP="009C3129">
            <w:pPr>
              <w:spacing w:before="240"/>
            </w:pPr>
            <w:r>
              <w:t>Distr. générale</w:t>
            </w:r>
          </w:p>
          <w:p w:rsidR="00104C1F" w:rsidRDefault="00104C1F" w:rsidP="00104C1F">
            <w:pPr>
              <w:spacing w:line="240" w:lineRule="exact"/>
            </w:pPr>
            <w:r>
              <w:t>9 septembre 2016</w:t>
            </w:r>
          </w:p>
          <w:p w:rsidR="00104C1F" w:rsidRDefault="00104C1F" w:rsidP="00104C1F">
            <w:pPr>
              <w:spacing w:line="240" w:lineRule="exact"/>
            </w:pPr>
            <w:r>
              <w:t>Français</w:t>
            </w:r>
          </w:p>
          <w:p w:rsidR="00104C1F" w:rsidRPr="00DB58B5" w:rsidRDefault="00104C1F" w:rsidP="00104C1F">
            <w:pPr>
              <w:spacing w:line="240" w:lineRule="exact"/>
            </w:pPr>
            <w:r>
              <w:t>Original </w:t>
            </w:r>
            <w:r w:rsidRPr="00485F5C">
              <w:t>:</w:t>
            </w:r>
            <w:r>
              <w:t xml:space="preserve"> anglais</w:t>
            </w:r>
          </w:p>
        </w:tc>
      </w:tr>
    </w:tbl>
    <w:p w:rsidR="00104C1F" w:rsidRPr="00CA0680" w:rsidRDefault="00104C1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104C1F" w:rsidRPr="00CA0680" w:rsidRDefault="00104C1F" w:rsidP="000305D3">
      <w:pPr>
        <w:spacing w:before="120"/>
        <w:rPr>
          <w:b/>
        </w:rPr>
      </w:pPr>
      <w:r w:rsidRPr="00CA0680">
        <w:rPr>
          <w:b/>
        </w:rPr>
        <w:t>Sous</w:t>
      </w:r>
      <w:r>
        <w:rPr>
          <w:b/>
        </w:rPr>
        <w:t>-</w:t>
      </w:r>
      <w:r w:rsidRPr="00CA0680">
        <w:rPr>
          <w:b/>
        </w:rPr>
        <w:t>Comité d’experts du transport des marchandises dangereuses</w:t>
      </w:r>
    </w:p>
    <w:p w:rsidR="00104C1F" w:rsidRDefault="00104C1F" w:rsidP="000305D3">
      <w:pPr>
        <w:spacing w:before="120"/>
        <w:rPr>
          <w:b/>
        </w:rPr>
      </w:pPr>
      <w:r>
        <w:rPr>
          <w:b/>
        </w:rPr>
        <w:t xml:space="preserve">Cinquantième </w:t>
      </w:r>
      <w:r w:rsidRPr="00CA0680">
        <w:rPr>
          <w:b/>
        </w:rPr>
        <w:t>session</w:t>
      </w:r>
    </w:p>
    <w:p w:rsidR="00104C1F" w:rsidRDefault="00104C1F" w:rsidP="000305D3">
      <w:r>
        <w:t>Genève, 28 novembre-6 décembre 2016</w:t>
      </w:r>
    </w:p>
    <w:p w:rsidR="00104C1F" w:rsidRDefault="00104C1F" w:rsidP="000305D3">
      <w:r>
        <w:t>Point 2 c) de l’ordre du jour provisoire</w:t>
      </w:r>
    </w:p>
    <w:p w:rsidR="00E7491A" w:rsidRPr="00104C1F" w:rsidRDefault="00223B28" w:rsidP="00104C1F">
      <w:pPr>
        <w:rPr>
          <w:b/>
        </w:rPr>
      </w:pPr>
      <w:r w:rsidRPr="00104C1F">
        <w:rPr>
          <w:b/>
        </w:rPr>
        <w:t xml:space="preserve">Recommandations du Sous-Comité formulées </w:t>
      </w:r>
      <w:r w:rsidR="00104C1F">
        <w:rPr>
          <w:b/>
        </w:rPr>
        <w:br/>
      </w:r>
      <w:r w:rsidRPr="00104C1F">
        <w:rPr>
          <w:b/>
          <w:spacing w:val="2"/>
        </w:rPr>
        <w:t xml:space="preserve">à ses quarante-septième, quarante-huitième </w:t>
      </w:r>
      <w:r w:rsidR="00104C1F" w:rsidRPr="00104C1F">
        <w:rPr>
          <w:b/>
          <w:spacing w:val="2"/>
        </w:rPr>
        <w:br/>
      </w:r>
      <w:r w:rsidRPr="00104C1F">
        <w:rPr>
          <w:b/>
          <w:spacing w:val="2"/>
        </w:rPr>
        <w:t>et quarante-neuvième sessions et questions</w:t>
      </w:r>
      <w:r w:rsidRPr="00104C1F">
        <w:rPr>
          <w:b/>
        </w:rPr>
        <w:t xml:space="preserve"> </w:t>
      </w:r>
      <w:r w:rsidR="00104C1F">
        <w:rPr>
          <w:b/>
        </w:rPr>
        <w:br/>
      </w:r>
      <w:r w:rsidRPr="00104C1F">
        <w:rPr>
          <w:b/>
          <w:spacing w:val="-2"/>
        </w:rPr>
        <w:t>en suspens</w:t>
      </w:r>
      <w:r w:rsidR="00104C1F" w:rsidRPr="00104C1F">
        <w:rPr>
          <w:b/>
          <w:spacing w:val="-2"/>
        </w:rPr>
        <w:t> </w:t>
      </w:r>
      <w:r w:rsidRPr="00104C1F">
        <w:rPr>
          <w:b/>
          <w:spacing w:val="-2"/>
        </w:rPr>
        <w:t>: inscription, classement et emballage</w:t>
      </w:r>
    </w:p>
    <w:p w:rsidR="00E7491A" w:rsidRPr="00104C1F" w:rsidRDefault="00223B28" w:rsidP="00104C1F">
      <w:pPr>
        <w:pStyle w:val="HChG"/>
      </w:pPr>
      <w:r w:rsidRPr="00104C1F">
        <w:tab/>
      </w:r>
      <w:r w:rsidRPr="00104C1F">
        <w:tab/>
        <w:t xml:space="preserve">Texte modifié de la version révisée du chapitre </w:t>
      </w:r>
      <w:r w:rsidR="00104C1F">
        <w:t>2.8</w:t>
      </w:r>
    </w:p>
    <w:p w:rsidR="00E7491A" w:rsidRPr="00104C1F" w:rsidRDefault="00104C1F" w:rsidP="00104C1F">
      <w:pPr>
        <w:pStyle w:val="H1G"/>
      </w:pPr>
      <w:r>
        <w:tab/>
      </w:r>
      <w:r>
        <w:tab/>
      </w:r>
      <w:r w:rsidR="00223B28" w:rsidRPr="00104C1F">
        <w:t xml:space="preserve">Communication des experts du Canada, du Conseil européen </w:t>
      </w:r>
      <w:r>
        <w:br/>
      </w:r>
      <w:r w:rsidR="00223B28" w:rsidRPr="00104C1F">
        <w:t>de l</w:t>
      </w:r>
      <w:r w:rsidR="00155407">
        <w:t>’</w:t>
      </w:r>
      <w:r w:rsidR="00223B28" w:rsidRPr="00104C1F">
        <w:t xml:space="preserve">industrie chimique (CEFIC) et de l’Association internationale </w:t>
      </w:r>
      <w:r>
        <w:br/>
      </w:r>
      <w:r w:rsidR="00223B28" w:rsidRPr="00104C1F">
        <w:t>de la savonnerie, de la détergence et des produits d</w:t>
      </w:r>
      <w:r w:rsidR="00155407">
        <w:t>’</w:t>
      </w:r>
      <w:r w:rsidR="00223B28" w:rsidRPr="00104C1F">
        <w:t>entretien (AISE)</w:t>
      </w:r>
      <w:r w:rsidRPr="00104C1F">
        <w:rPr>
          <w:rStyle w:val="FootnoteReference"/>
          <w:b w:val="0"/>
        </w:rPr>
        <w:footnoteReference w:id="2"/>
      </w:r>
    </w:p>
    <w:p w:rsidR="00E7491A" w:rsidRPr="00104C1F" w:rsidRDefault="00223B28" w:rsidP="00104C1F">
      <w:pPr>
        <w:pStyle w:val="HChG"/>
      </w:pPr>
      <w:r w:rsidRPr="00104C1F">
        <w:tab/>
      </w:r>
      <w:r w:rsidRPr="00104C1F">
        <w:tab/>
        <w:t>Introduction</w:t>
      </w:r>
    </w:p>
    <w:p w:rsidR="00E7491A" w:rsidRPr="00104C1F" w:rsidRDefault="00223B28" w:rsidP="00104C1F">
      <w:pPr>
        <w:pStyle w:val="ParNoG"/>
      </w:pPr>
      <w:r w:rsidRPr="00104C1F">
        <w:t>Une version révisée du chapitre</w:t>
      </w:r>
      <w:r w:rsidR="00104C1F">
        <w:t> </w:t>
      </w:r>
      <w:r w:rsidRPr="00104C1F">
        <w:t>2.8, approuvée provisoirement à la quarante-neuvième session du Sous-Comité, figure dans le document ST/SG/AC.10/C.3/98/Add.1. Certaines parties de ce nouveau texte étaient restées entre crochets en attendant leur examen à la cinquantième session.</w:t>
      </w:r>
    </w:p>
    <w:p w:rsidR="00E7491A" w:rsidRPr="00104C1F" w:rsidRDefault="00223B28" w:rsidP="00104C1F">
      <w:pPr>
        <w:pStyle w:val="ParNoG"/>
        <w:tabs>
          <w:tab w:val="clear" w:pos="1701"/>
        </w:tabs>
      </w:pPr>
      <w:r w:rsidRPr="00104C1F">
        <w:t>Il est proposé de modifier ce texte afin de tenir compte de la nouvelle définition adoptée par le Sous-Comité d’experts du Système général harmonisé de classification et d’étiquetage des produits chimiques (voir ST/SG/AC.10/C.4/2016/9, tel que modifié par le document informel INF.26, avec une modification supplémentaire au paragraphe</w:t>
      </w:r>
      <w:r w:rsidR="00104C1F">
        <w:t> </w:t>
      </w:r>
      <w:r w:rsidRPr="00104C1F">
        <w:t>3.1.2.3) et du texte explicatif requis pour les limites de concentration spécifiques. Le texte explicatif comporte deux parties</w:t>
      </w:r>
      <w:r w:rsidR="00104C1F">
        <w:t> </w:t>
      </w:r>
      <w:r w:rsidRPr="00104C1F">
        <w:t>:</w:t>
      </w:r>
    </w:p>
    <w:p w:rsidR="00104C1F" w:rsidRDefault="00223B28" w:rsidP="00104C1F">
      <w:pPr>
        <w:pStyle w:val="SingleTxtG"/>
        <w:ind w:firstLine="567"/>
      </w:pPr>
      <w:r w:rsidRPr="00104C1F">
        <w:t>a)</w:t>
      </w:r>
      <w:r w:rsidRPr="00104C1F">
        <w:tab/>
        <w:t>Une explication générale des cas dans lesquels les limites de concentration spécifiques s’appliquent</w:t>
      </w:r>
      <w:r w:rsidR="00104C1F">
        <w:t> </w:t>
      </w:r>
      <w:r w:rsidRPr="00104C1F">
        <w:t>;</w:t>
      </w:r>
    </w:p>
    <w:p w:rsidR="00E7491A" w:rsidRPr="00104C1F" w:rsidRDefault="00223B28" w:rsidP="00104C1F">
      <w:pPr>
        <w:pStyle w:val="SingleTxtG"/>
        <w:ind w:firstLine="567"/>
      </w:pPr>
      <w:r w:rsidRPr="00104C1F">
        <w:lastRenderedPageBreak/>
        <w:t>b)</w:t>
      </w:r>
      <w:r w:rsidRPr="00104C1F">
        <w:tab/>
        <w:t>Un NOTA contenant un exemple d’application de la formule.</w:t>
      </w:r>
    </w:p>
    <w:p w:rsidR="00E7491A" w:rsidRPr="00104C1F" w:rsidRDefault="00223B28" w:rsidP="00104C1F">
      <w:pPr>
        <w:pStyle w:val="ParNoG"/>
        <w:tabs>
          <w:tab w:val="clear" w:pos="1701"/>
        </w:tabs>
      </w:pPr>
      <w:r w:rsidRPr="00104C1F">
        <w:t>Les lignes directrices de l’OCDE mentionnées au 2.8.3.2 sont placées entre crochets. Le Canada, le CEFIC et l’AISE sont favorables à ce que l’on renvoie à la version la plus récente, du moment que cette actualisation n’oblige pas à réaliser de nouvelles séries d’essais.</w:t>
      </w:r>
    </w:p>
    <w:p w:rsidR="00E7491A" w:rsidRPr="00104C1F" w:rsidRDefault="00223B28" w:rsidP="00104C1F">
      <w:pPr>
        <w:pStyle w:val="ParNoG"/>
        <w:tabs>
          <w:tab w:val="clear" w:pos="1701"/>
        </w:tabs>
      </w:pPr>
      <w:r w:rsidRPr="00104C1F">
        <w:t>Le texte complet du chapitre</w:t>
      </w:r>
      <w:r w:rsidR="00104C1F">
        <w:t> </w:t>
      </w:r>
      <w:r w:rsidRPr="00104C1F">
        <w:t>2.8, y</w:t>
      </w:r>
      <w:r w:rsidR="00104C1F">
        <w:t> </w:t>
      </w:r>
      <w:r w:rsidRPr="00104C1F">
        <w:t>compris les modifications propos</w:t>
      </w:r>
      <w:r w:rsidR="00CB16A1">
        <w:t>é</w:t>
      </w:r>
      <w:r w:rsidRPr="00104C1F">
        <w:t>es ci-après, figure dans le document informel INF.5.</w:t>
      </w:r>
    </w:p>
    <w:p w:rsidR="00E7491A" w:rsidRPr="00104C1F" w:rsidRDefault="00223B28" w:rsidP="00104C1F">
      <w:pPr>
        <w:pStyle w:val="HChG"/>
      </w:pPr>
      <w:r w:rsidRPr="00104C1F">
        <w:tab/>
      </w:r>
      <w:r w:rsidRPr="00104C1F">
        <w:tab/>
        <w:t>Propositions</w:t>
      </w:r>
    </w:p>
    <w:p w:rsidR="00E7491A" w:rsidRPr="00104C1F" w:rsidRDefault="00223B28" w:rsidP="00104C1F">
      <w:pPr>
        <w:pStyle w:val="ParNoG"/>
        <w:tabs>
          <w:tab w:val="clear" w:pos="1701"/>
        </w:tabs>
      </w:pPr>
      <w:r w:rsidRPr="00104C1F">
        <w:t>Au 2.8.1.2, supprimer la deuxième phrase entre crochets de sorte que le paragraphe se lise comme suit</w:t>
      </w:r>
      <w:r w:rsidR="00104C1F">
        <w:t> </w:t>
      </w:r>
      <w:r w:rsidRPr="00104C1F">
        <w:t>:</w:t>
      </w:r>
    </w:p>
    <w:p w:rsidR="00E7491A" w:rsidRPr="00104C1F" w:rsidRDefault="002025DF" w:rsidP="002025DF">
      <w:pPr>
        <w:pStyle w:val="SingleTxtG"/>
        <w:ind w:left="1701"/>
      </w:pPr>
      <w:r>
        <w:t>« </w:t>
      </w:r>
      <w:r w:rsidR="00223B28" w:rsidRPr="00104C1F">
        <w:t xml:space="preserve">2.8.1.2 </w:t>
      </w:r>
      <w:r w:rsidR="00223B28" w:rsidRPr="00104C1F">
        <w:tab/>
        <w:t>Les dispositions concernant la classification des matières et mélanges corrosifs pour la peau sont données dans la section 2.8.2. La corrosion cutanée désigne des lésions cutanées irréversibles, telles qu’une nécrose visible au travers de l’épiderme et dans le derme survenant après une exposition à la matière ou au mélange.</w:t>
      </w:r>
      <w:r>
        <w:t> »</w:t>
      </w:r>
      <w:r w:rsidR="00223B28" w:rsidRPr="00104C1F">
        <w:t>.</w:t>
      </w:r>
    </w:p>
    <w:p w:rsidR="00E7491A" w:rsidRPr="00104C1F" w:rsidRDefault="00223B28" w:rsidP="00104C1F">
      <w:pPr>
        <w:pStyle w:val="ParNoG"/>
        <w:tabs>
          <w:tab w:val="clear" w:pos="1701"/>
        </w:tabs>
      </w:pPr>
      <w:r w:rsidRPr="00104C1F">
        <w:t xml:space="preserve">Aux alinéas a), b), c) i) et c) ii) du 2.8.3.3 et au tableau 2.8.3.4 (trois fois), remplacer </w:t>
      </w:r>
      <w:r w:rsidR="002025DF">
        <w:t>« </w:t>
      </w:r>
      <w:r w:rsidRPr="00104C1F">
        <w:t>[destruction du tissu cutané intact sur toute son épaisseur]</w:t>
      </w:r>
      <w:r w:rsidR="002025DF">
        <w:t> »</w:t>
      </w:r>
      <w:r w:rsidRPr="00104C1F">
        <w:t xml:space="preserve"> par </w:t>
      </w:r>
      <w:r w:rsidR="002025DF">
        <w:t>« </w:t>
      </w:r>
      <w:r w:rsidRPr="00104C1F">
        <w:t>lésion irréversible</w:t>
      </w:r>
      <w:r w:rsidR="002025DF">
        <w:t> »</w:t>
      </w:r>
      <w:r w:rsidRPr="00104C1F">
        <w:t>.</w:t>
      </w:r>
    </w:p>
    <w:p w:rsidR="00E7491A" w:rsidRPr="00104C1F" w:rsidRDefault="00223B28" w:rsidP="00104C1F">
      <w:pPr>
        <w:pStyle w:val="ParNoG"/>
        <w:tabs>
          <w:tab w:val="clear" w:pos="1701"/>
        </w:tabs>
      </w:pPr>
      <w:r w:rsidRPr="00104C1F">
        <w:t xml:space="preserve">Au 2.8.2.3, remplacer </w:t>
      </w:r>
      <w:r w:rsidR="002025DF">
        <w:t>« </w:t>
      </w:r>
      <w:r w:rsidRPr="00104C1F">
        <w:t>[une destruction de la peau humaine sur toute son épaisseur]</w:t>
      </w:r>
      <w:r w:rsidR="002025DF">
        <w:t> »</w:t>
      </w:r>
      <w:r w:rsidRPr="00104C1F">
        <w:t xml:space="preserve"> par </w:t>
      </w:r>
      <w:r w:rsidR="002025DF">
        <w:t>« </w:t>
      </w:r>
      <w:r w:rsidRPr="00104C1F">
        <w:t>une lésion irréversible du tissu cutané intact</w:t>
      </w:r>
      <w:r w:rsidR="002025DF">
        <w:t> »</w:t>
      </w:r>
      <w:r w:rsidRPr="00104C1F">
        <w:t>.</w:t>
      </w:r>
    </w:p>
    <w:p w:rsidR="002025DF" w:rsidRDefault="00223B28" w:rsidP="002025DF">
      <w:pPr>
        <w:pStyle w:val="ParNoG"/>
      </w:pPr>
      <w:r w:rsidRPr="00104C1F">
        <w:t xml:space="preserve">Au 2.8.4.3.3, </w:t>
      </w:r>
      <w:proofErr w:type="gramStart"/>
      <w:r w:rsidRPr="00104C1F">
        <w:t>supprimer</w:t>
      </w:r>
      <w:proofErr w:type="gramEnd"/>
      <w:r w:rsidRPr="00104C1F">
        <w:t xml:space="preserve"> </w:t>
      </w:r>
      <w:r w:rsidR="002025DF">
        <w:t>« </w:t>
      </w:r>
      <w:r w:rsidRPr="00104C1F">
        <w:t>Lorsqu’une limite de concentration précise est attribuée à une matière à la suite de son intégration à la Liste des marchandises dangereuses ou à une disposition spéciale, cette limite doit être utilisée en remplacement des limites génériques de la figure 2.8.4.3 pour cette matière. [Ajouter à cet emplacement des exemples/explications sur les limites d</w:t>
      </w:r>
      <w:r w:rsidR="002025DF">
        <w:t>e concentration spécifiques] ».</w:t>
      </w:r>
    </w:p>
    <w:p w:rsidR="00E7491A" w:rsidRPr="00104C1F" w:rsidRDefault="00223B28" w:rsidP="002025DF">
      <w:pPr>
        <w:pStyle w:val="ParNoG"/>
        <w:keepNext/>
      </w:pPr>
      <w:r w:rsidRPr="00104C1F">
        <w:t>Ajouter les nouveaux 2.8.4.3.4 et 2.8.4.3.5, libellés comme suit, et déplacer la figure 2.8.4.3 après ces nouvelles sous-sections</w:t>
      </w:r>
      <w:r w:rsidR="002025DF">
        <w:t> </w:t>
      </w:r>
      <w:r w:rsidRPr="00104C1F">
        <w:t>:</w:t>
      </w:r>
    </w:p>
    <w:p w:rsidR="002025DF" w:rsidRDefault="002025DF" w:rsidP="002025DF">
      <w:pPr>
        <w:pStyle w:val="SingleTxtG"/>
        <w:ind w:left="1701"/>
      </w:pPr>
      <w:r>
        <w:t>« </w:t>
      </w:r>
      <w:r w:rsidR="00223B28" w:rsidRPr="00104C1F">
        <w:t>2.8.4.3.4</w:t>
      </w:r>
      <w:r w:rsidR="00223B28" w:rsidRPr="00104C1F">
        <w:tab/>
        <w:t>Lorsqu’une limite de concentration spécifique est attribuée à une matière à la suite de son intégration à la Liste des marchandises dangereuses ou à une disposition spéciale, cette limite doit être utilisée en remplacement des limites génériques. Un exemple en est l’utilisation de la valeur 1</w:t>
      </w:r>
      <w:r>
        <w:t> </w:t>
      </w:r>
      <w:r w:rsidR="00223B28" w:rsidRPr="00104C1F">
        <w:t>% à la première étape de l’évaluation des matières du groupe d’emballage</w:t>
      </w:r>
      <w:r>
        <w:t> </w:t>
      </w:r>
      <w:r w:rsidR="00223B28" w:rsidRPr="00104C1F">
        <w:t>I, puis de 5</w:t>
      </w:r>
      <w:r>
        <w:t> </w:t>
      </w:r>
      <w:r w:rsidR="00223B28" w:rsidRPr="00104C1F">
        <w:t>% pour les étapes suivantes, dans la figure 2.8.4.3.</w:t>
      </w:r>
    </w:p>
    <w:p w:rsidR="00E7491A" w:rsidRPr="00104C1F" w:rsidRDefault="00223B28" w:rsidP="002025DF">
      <w:pPr>
        <w:pStyle w:val="SingleTxtG"/>
        <w:ind w:left="1701"/>
      </w:pPr>
      <w:r w:rsidRPr="00104C1F">
        <w:t>2.8.4.3.5</w:t>
      </w:r>
      <w:r w:rsidRPr="00104C1F">
        <w:tab/>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matières présentes dans le mélange</w:t>
      </w:r>
      <w:r w:rsidR="002025DF">
        <w:t> </w:t>
      </w:r>
      <w:r w:rsidRPr="00104C1F">
        <w:t>:</w:t>
      </w:r>
    </w:p>
    <w:p w:rsidR="00E7491A" w:rsidRPr="00104C1F" w:rsidRDefault="00190939" w:rsidP="00104C1F">
      <w:pPr>
        <w:pStyle w:val="SingleTxtG"/>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rsidR="00E7491A" w:rsidRPr="00104C1F" w:rsidRDefault="002025DF" w:rsidP="002025DF">
      <w:pPr>
        <w:pStyle w:val="SingleTxtG"/>
        <w:ind w:left="1701"/>
      </w:pPr>
      <w:proofErr w:type="gramStart"/>
      <w:r>
        <w:t>o</w:t>
      </w:r>
      <w:r w:rsidR="00223B28" w:rsidRPr="00104C1F">
        <w:t>ù</w:t>
      </w:r>
      <w:proofErr w:type="gramEnd"/>
      <w:r>
        <w:t> </w:t>
      </w:r>
      <w:r w:rsidR="00223B28" w:rsidRPr="00104C1F">
        <w:t>:</w:t>
      </w:r>
    </w:p>
    <w:p w:rsidR="00E7491A" w:rsidRPr="00104C1F" w:rsidRDefault="00223B28" w:rsidP="002025DF">
      <w:pPr>
        <w:pStyle w:val="SingleTxtG"/>
        <w:ind w:left="1701"/>
      </w:pPr>
      <w:r w:rsidRPr="00104C1F">
        <w:t>PG xi = concentration de la matière 1, 2 …i dans le mélange, affectée au groupe d’emballage x (I, II ou III)</w:t>
      </w:r>
    </w:p>
    <w:p w:rsidR="00E7491A" w:rsidRPr="00104C1F" w:rsidRDefault="00223B28" w:rsidP="002025DF">
      <w:pPr>
        <w:pStyle w:val="SingleTxtG"/>
        <w:ind w:left="1701"/>
      </w:pPr>
      <w:r w:rsidRPr="00104C1F">
        <w:t>GCL = limite de concentration générique</w:t>
      </w:r>
    </w:p>
    <w:p w:rsidR="00E7491A" w:rsidRPr="00104C1F" w:rsidRDefault="00223B28" w:rsidP="002025DF">
      <w:pPr>
        <w:pStyle w:val="SingleTxtG"/>
        <w:ind w:left="1701"/>
      </w:pPr>
      <w:r w:rsidRPr="00104C1F">
        <w:lastRenderedPageBreak/>
        <w:t xml:space="preserve">SCLi = limite de concentration spécifique attribuée à la matière i </w:t>
      </w:r>
    </w:p>
    <w:p w:rsidR="00E7491A" w:rsidRPr="00104C1F" w:rsidRDefault="00223B28" w:rsidP="002025DF">
      <w:pPr>
        <w:pStyle w:val="SingleTxtG"/>
        <w:ind w:left="1701"/>
      </w:pPr>
      <w:r w:rsidRPr="00104C1F">
        <w:t>Le critère pour un groupe d’emballage est respecté si le résultat du calcul est ≥ 1.</w:t>
      </w:r>
    </w:p>
    <w:p w:rsidR="00E7491A" w:rsidRPr="00195121" w:rsidRDefault="00223B28" w:rsidP="002025DF">
      <w:pPr>
        <w:pStyle w:val="SingleTxtG"/>
        <w:ind w:left="1701"/>
        <w:rPr>
          <w:spacing w:val="4"/>
        </w:rPr>
      </w:pPr>
      <w:r w:rsidRPr="00195121">
        <w:rPr>
          <w:spacing w:val="4"/>
        </w:rPr>
        <w:t>On trouvera des exemples d’application de la formule ci-dessus dans le NOTA ci</w:t>
      </w:r>
      <w:r w:rsidR="00195121" w:rsidRPr="00195121">
        <w:rPr>
          <w:spacing w:val="4"/>
        </w:rPr>
        <w:t>-</w:t>
      </w:r>
      <w:r w:rsidRPr="00195121">
        <w:rPr>
          <w:spacing w:val="4"/>
        </w:rPr>
        <w:t>dessous.</w:t>
      </w:r>
    </w:p>
    <w:p w:rsidR="00E7491A" w:rsidRPr="00104C1F" w:rsidRDefault="00223B28" w:rsidP="002025DF">
      <w:pPr>
        <w:pStyle w:val="SingleTxtG"/>
        <w:ind w:left="1701"/>
        <w:rPr>
          <w:i/>
        </w:rPr>
      </w:pPr>
      <w:r w:rsidRPr="00EB6791">
        <w:rPr>
          <w:b/>
          <w:i/>
        </w:rPr>
        <w:t>NOTA</w:t>
      </w:r>
      <w:r w:rsidR="00EB6791">
        <w:rPr>
          <w:i/>
        </w:rPr>
        <w:t> </w:t>
      </w:r>
      <w:r w:rsidRPr="00104C1F">
        <w:rPr>
          <w:i/>
        </w:rPr>
        <w:t>:</w:t>
      </w:r>
      <w:r w:rsidRPr="00104C1F">
        <w:rPr>
          <w:i/>
        </w:rPr>
        <w:tab/>
        <w:t>Exemples d’application de la formule ci-dessus</w:t>
      </w:r>
    </w:p>
    <w:p w:rsidR="00E7491A" w:rsidRPr="00104C1F" w:rsidRDefault="00223B28" w:rsidP="002025DF">
      <w:pPr>
        <w:pStyle w:val="SingleTxtG"/>
        <w:ind w:left="1701"/>
        <w:rPr>
          <w:i/>
        </w:rPr>
      </w:pPr>
      <w:r w:rsidRPr="00104C1F">
        <w:rPr>
          <w:i/>
        </w:rPr>
        <w:t>Exemple 1</w:t>
      </w:r>
      <w:r w:rsidR="00EB6791">
        <w:rPr>
          <w:i/>
        </w:rPr>
        <w:t> </w:t>
      </w:r>
      <w:r w:rsidRPr="00104C1F">
        <w:rPr>
          <w:i/>
        </w:rPr>
        <w:t>: Un mélange contient une matière corrosive, à une concentration de</w:t>
      </w:r>
      <w:r w:rsidR="00EB6791">
        <w:rPr>
          <w:i/>
        </w:rPr>
        <w:t> </w:t>
      </w:r>
      <w:r w:rsidRPr="00104C1F">
        <w:rPr>
          <w:i/>
        </w:rPr>
        <w:t>5</w:t>
      </w:r>
      <w:r w:rsidR="00EB6791">
        <w:rPr>
          <w:i/>
        </w:rPr>
        <w:t> </w:t>
      </w:r>
      <w:r w:rsidRPr="00104C1F">
        <w:rPr>
          <w:i/>
        </w:rPr>
        <w:t>%, affectée au groupe d’emballage I sans limite de concentration spécifique</w:t>
      </w:r>
      <w:r w:rsidR="00EB6791">
        <w:rPr>
          <w:i/>
        </w:rPr>
        <w:t> </w:t>
      </w:r>
      <w:r w:rsidRPr="00104C1F">
        <w:rPr>
          <w:i/>
        </w:rPr>
        <w:t>:</w:t>
      </w:r>
    </w:p>
    <w:p w:rsidR="00E7491A" w:rsidRPr="00104C1F" w:rsidRDefault="00223B28" w:rsidP="00D13E94">
      <w:pPr>
        <w:pStyle w:val="SingleTxtG"/>
        <w:ind w:left="6237" w:hanging="4536"/>
      </w:pPr>
      <w:r w:rsidRPr="00104C1F">
        <w:rPr>
          <w:i/>
          <w:noProof/>
          <w:lang w:val="en-GB" w:eastAsia="en-GB"/>
        </w:rPr>
        <mc:AlternateContent>
          <mc:Choice Requires="wps">
            <w:drawing>
              <wp:anchor distT="0" distB="0" distL="114300" distR="114300" simplePos="0" relativeHeight="251659264" behindDoc="0" locked="0" layoutInCell="1" allowOverlap="1" wp14:anchorId="7EA04C97" wp14:editId="66A743A6">
                <wp:simplePos x="0" y="0"/>
                <wp:positionH relativeFrom="column">
                  <wp:posOffset>3702050</wp:posOffset>
                </wp:positionH>
                <wp:positionV relativeFrom="paragraph">
                  <wp:posOffset>69215</wp:posOffset>
                </wp:positionV>
                <wp:extent cx="170822" cy="80386"/>
                <wp:effectExtent l="0" t="19050" r="38735" b="34290"/>
                <wp:wrapNone/>
                <wp:docPr id="28" name="Flèche droite 28"/>
                <wp:cNvGraphicFramePr/>
                <a:graphic xmlns:a="http://schemas.openxmlformats.org/drawingml/2006/main">
                  <a:graphicData uri="http://schemas.microsoft.com/office/word/2010/wordprocessingShape">
                    <wps:wsp>
                      <wps:cNvSpPr/>
                      <wps:spPr>
                        <a:xfrm>
                          <a:off x="0" y="0"/>
                          <a:ext cx="170822" cy="8038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291.5pt;margin-top:5.45pt;width:13.4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" adj="16518" fillcolor="black [3213]" strokecolor="black [3213]" strokeweight="2pt"/>
            </w:pict>
          </mc:Fallback>
        </mc:AlternateContent>
      </w:r>
      <w:r w:rsidRPr="00104C1F">
        <w:rPr>
          <w:i/>
        </w:rPr>
        <w:t>Calcul</w:t>
      </w:r>
      <w:r w:rsidR="00485F5C">
        <w:rPr>
          <w:i/>
        </w:rPr>
        <w:t xml:space="preserve"> pour le groupe d’emballage</w:t>
      </w:r>
      <w:r w:rsidR="00EB6791">
        <w:rPr>
          <w:i/>
        </w:rPr>
        <w:t> </w:t>
      </w:r>
      <w:r w:rsidRPr="00104C1F">
        <w:rPr>
          <w:i/>
        </w:rPr>
        <w:t>I</w:t>
      </w:r>
      <w:r w:rsidR="00485F5C">
        <w:rPr>
          <w:i/>
        </w:rPr>
        <w:t> </w:t>
      </w:r>
      <w:r w:rsidRPr="00104C1F">
        <w:rPr>
          <w:i/>
        </w:rPr>
        <w:t xml:space="preserve">: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EB6791" w:rsidRPr="00D13E94">
        <w:rPr>
          <w:i/>
          <w:spacing w:val="-1"/>
        </w:rPr>
        <w:tab/>
      </w:r>
      <w:r w:rsidR="00EB6791" w:rsidRPr="00D13E94">
        <w:rPr>
          <w:i/>
          <w:spacing w:val="-1"/>
        </w:rPr>
        <w:tab/>
      </w:r>
      <w:r w:rsidRPr="00D13E94">
        <w:rPr>
          <w:i/>
          <w:spacing w:val="-1"/>
        </w:rPr>
        <w:t>affecter à la</w:t>
      </w:r>
      <w:r w:rsidR="00D13E94" w:rsidRPr="00D13E94">
        <w:rPr>
          <w:i/>
          <w:spacing w:val="-1"/>
        </w:rPr>
        <w:t xml:space="preserve"> </w:t>
      </w:r>
      <w:r w:rsidRPr="00D13E94">
        <w:rPr>
          <w:i/>
          <w:spacing w:val="-1"/>
        </w:rPr>
        <w:t>classe</w:t>
      </w:r>
      <w:r w:rsidR="00EB6791" w:rsidRPr="00D13E94">
        <w:rPr>
          <w:i/>
          <w:spacing w:val="-1"/>
        </w:rPr>
        <w:t> </w:t>
      </w:r>
      <w:r w:rsidRPr="00D13E94">
        <w:rPr>
          <w:i/>
          <w:spacing w:val="-1"/>
        </w:rPr>
        <w:t>8,</w:t>
      </w:r>
      <w:r w:rsidRPr="00104C1F">
        <w:rPr>
          <w:i/>
        </w:rPr>
        <w:t xml:space="preserve"> </w:t>
      </w:r>
      <w:r w:rsidR="00700C00">
        <w:rPr>
          <w:i/>
        </w:rPr>
        <w:br/>
      </w:r>
      <w:r w:rsidRPr="00104C1F">
        <w:rPr>
          <w:i/>
        </w:rPr>
        <w:t>groupe d’emballage I</w:t>
      </w:r>
    </w:p>
    <w:p w:rsidR="00446FE5" w:rsidRDefault="00223B28" w:rsidP="002025DF">
      <w:pPr>
        <w:pStyle w:val="SingleTxtG"/>
        <w:ind w:left="1701"/>
        <w:rPr>
          <w:i/>
        </w:rPr>
      </w:pPr>
      <w:r w:rsidRPr="00104C1F">
        <w:rPr>
          <w:i/>
        </w:rPr>
        <w:t>Exemple 2</w:t>
      </w:r>
      <w:r w:rsidR="00EB6791">
        <w:rPr>
          <w:i/>
        </w:rPr>
        <w:t> </w:t>
      </w:r>
      <w:r w:rsidRPr="00104C1F">
        <w:rPr>
          <w:i/>
        </w:rPr>
        <w:t>: Un mélange contient trois matières corrosives pour la peau, dont deux (A et B) ont des limites de concentration spécifiques</w:t>
      </w:r>
      <w:r w:rsidR="00485F5C">
        <w:rPr>
          <w:i/>
        </w:rPr>
        <w:t> </w:t>
      </w:r>
      <w:r w:rsidRPr="00104C1F">
        <w:rPr>
          <w:i/>
        </w:rPr>
        <w:t>; pour la troisième (C) la limite de concentration générique s’applique. Il n’est pas nécessaire de prendre le reste du mélange en considération</w:t>
      </w:r>
      <w:r w:rsidR="00EB6791">
        <w:rPr>
          <w:i/>
        </w:rPr>
        <w:t> </w:t>
      </w:r>
      <w:r w:rsidRPr="00104C1F">
        <w:rPr>
          <w:i/>
        </w:rPr>
        <w:t>:</w:t>
      </w:r>
    </w:p>
    <w:tbl>
      <w:tblPr>
        <w:tblStyle w:val="TableGrid"/>
        <w:tblW w:w="6798" w:type="dxa"/>
        <w:tblInd w:w="1706" w:type="dxa"/>
        <w:tblLayout w:type="fixed"/>
        <w:tblLook w:val="04A0" w:firstRow="1" w:lastRow="0" w:firstColumn="1" w:lastColumn="0" w:noHBand="0" w:noVBand="1"/>
      </w:tblPr>
      <w:tblGrid>
        <w:gridCol w:w="1869"/>
        <w:gridCol w:w="1190"/>
        <w:gridCol w:w="1245"/>
        <w:gridCol w:w="1246"/>
        <w:gridCol w:w="1248"/>
      </w:tblGrid>
      <w:tr w:rsidR="00EB6791" w:rsidRPr="00700C00" w:rsidTr="00223B28">
        <w:trPr>
          <w:cantSplit/>
          <w:tblHeader/>
        </w:trPr>
        <w:tc>
          <w:tcPr>
            <w:tcW w:w="1869" w:type="dxa"/>
            <w:shd w:val="clear" w:color="auto" w:fill="auto"/>
            <w:vAlign w:val="bottom"/>
          </w:tcPr>
          <w:p w:rsidR="00104C1F" w:rsidRPr="00700C00" w:rsidRDefault="00223B28" w:rsidP="00223B28">
            <w:pPr>
              <w:suppressAutoHyphens w:val="0"/>
              <w:spacing w:before="80" w:after="80" w:line="200" w:lineRule="exact"/>
              <w:ind w:left="57" w:right="28"/>
              <w:rPr>
                <w:i/>
                <w:sz w:val="16"/>
              </w:rPr>
            </w:pPr>
            <w:r>
              <w:rPr>
                <w:i/>
                <w:sz w:val="16"/>
              </w:rPr>
              <w:t>Affectation de la matière </w:t>
            </w:r>
            <w:r w:rsidR="00104C1F" w:rsidRPr="00700C00">
              <w:rPr>
                <w:i/>
                <w:sz w:val="16"/>
              </w:rPr>
              <w:t xml:space="preserve"> X </w:t>
            </w:r>
            <w:r w:rsidR="00EB6791" w:rsidRPr="00700C00">
              <w:rPr>
                <w:i/>
                <w:sz w:val="16"/>
              </w:rPr>
              <w:t xml:space="preserve">du </w:t>
            </w:r>
            <w:r w:rsidR="00104C1F" w:rsidRPr="00700C00">
              <w:rPr>
                <w:i/>
                <w:sz w:val="16"/>
              </w:rPr>
              <w:t>mélange à un g</w:t>
            </w:r>
            <w:r>
              <w:rPr>
                <w:i/>
                <w:sz w:val="16"/>
              </w:rPr>
              <w:t>roupe d’emballage au sein de la </w:t>
            </w:r>
            <w:r w:rsidR="00104C1F" w:rsidRPr="00700C00">
              <w:rPr>
                <w:i/>
                <w:sz w:val="16"/>
              </w:rPr>
              <w:t>classe 8</w:t>
            </w:r>
          </w:p>
        </w:tc>
        <w:tc>
          <w:tcPr>
            <w:tcW w:w="1190" w:type="dxa"/>
            <w:shd w:val="clear" w:color="auto" w:fill="auto"/>
            <w:vAlign w:val="bottom"/>
          </w:tcPr>
          <w:p w:rsidR="00104C1F" w:rsidRPr="00700C00" w:rsidRDefault="00104C1F" w:rsidP="00EB6791">
            <w:pPr>
              <w:suppressAutoHyphens w:val="0"/>
              <w:spacing w:before="80" w:after="80" w:line="200" w:lineRule="exact"/>
              <w:ind w:left="57" w:right="28"/>
              <w:jc w:val="right"/>
              <w:rPr>
                <w:i/>
                <w:sz w:val="16"/>
              </w:rPr>
            </w:pPr>
            <w:r w:rsidRPr="00700C00">
              <w:rPr>
                <w:i/>
                <w:sz w:val="16"/>
              </w:rPr>
              <w:t>Concentration (conc) dans le mélange en %</w:t>
            </w:r>
          </w:p>
        </w:tc>
        <w:tc>
          <w:tcPr>
            <w:tcW w:w="1245" w:type="dxa"/>
            <w:shd w:val="clear" w:color="auto" w:fill="auto"/>
            <w:vAlign w:val="bottom"/>
          </w:tcPr>
          <w:p w:rsidR="00104C1F" w:rsidRPr="00700C00" w:rsidRDefault="00104C1F" w:rsidP="00EB6791">
            <w:pPr>
              <w:suppressAutoHyphens w:val="0"/>
              <w:spacing w:before="80" w:after="80" w:line="200" w:lineRule="exact"/>
              <w:ind w:left="57" w:right="28"/>
              <w:jc w:val="right"/>
              <w:rPr>
                <w:i/>
                <w:sz w:val="16"/>
              </w:rPr>
            </w:pPr>
            <w:r w:rsidRPr="00700C00">
              <w:rPr>
                <w:i/>
                <w:sz w:val="16"/>
              </w:rPr>
              <w:t xml:space="preserve">Limite de concentration spécifique </w:t>
            </w:r>
            <w:r w:rsidR="00EB6791" w:rsidRPr="00700C00">
              <w:rPr>
                <w:i/>
                <w:sz w:val="16"/>
              </w:rPr>
              <w:br/>
            </w:r>
            <w:r w:rsidRPr="00700C00">
              <w:rPr>
                <w:i/>
                <w:sz w:val="16"/>
              </w:rPr>
              <w:t>pour le groupe d’emballage I</w:t>
            </w:r>
          </w:p>
        </w:tc>
        <w:tc>
          <w:tcPr>
            <w:tcW w:w="1246" w:type="dxa"/>
            <w:shd w:val="clear" w:color="auto" w:fill="auto"/>
            <w:vAlign w:val="bottom"/>
          </w:tcPr>
          <w:p w:rsidR="00104C1F" w:rsidRPr="00700C00" w:rsidRDefault="00104C1F" w:rsidP="00EB6791">
            <w:pPr>
              <w:suppressAutoHyphens w:val="0"/>
              <w:spacing w:before="80" w:after="80" w:line="200" w:lineRule="exact"/>
              <w:ind w:left="57" w:right="28"/>
              <w:jc w:val="right"/>
              <w:rPr>
                <w:i/>
                <w:sz w:val="16"/>
              </w:rPr>
            </w:pPr>
            <w:r w:rsidRPr="00700C00">
              <w:rPr>
                <w:i/>
                <w:sz w:val="16"/>
              </w:rPr>
              <w:t xml:space="preserve">Limite de concentration spécifique </w:t>
            </w:r>
            <w:r w:rsidR="00EB6791" w:rsidRPr="00700C00">
              <w:rPr>
                <w:i/>
                <w:sz w:val="16"/>
              </w:rPr>
              <w:br/>
            </w:r>
            <w:r w:rsidRPr="00700C00">
              <w:rPr>
                <w:i/>
                <w:sz w:val="16"/>
              </w:rPr>
              <w:t>pour le groupe d’emballage II</w:t>
            </w:r>
          </w:p>
        </w:tc>
        <w:tc>
          <w:tcPr>
            <w:tcW w:w="1248" w:type="dxa"/>
            <w:shd w:val="clear" w:color="auto" w:fill="auto"/>
            <w:vAlign w:val="bottom"/>
          </w:tcPr>
          <w:p w:rsidR="00104C1F" w:rsidRPr="00700C00" w:rsidRDefault="00104C1F" w:rsidP="00EB6791">
            <w:pPr>
              <w:suppressAutoHyphens w:val="0"/>
              <w:spacing w:before="80" w:after="80" w:line="200" w:lineRule="exact"/>
              <w:ind w:left="57" w:right="28"/>
              <w:jc w:val="right"/>
              <w:rPr>
                <w:i/>
                <w:sz w:val="16"/>
              </w:rPr>
            </w:pPr>
            <w:r w:rsidRPr="00700C00">
              <w:rPr>
                <w:i/>
                <w:sz w:val="16"/>
              </w:rPr>
              <w:t xml:space="preserve">Limite de concentration spécifique </w:t>
            </w:r>
            <w:r w:rsidR="00EB6791" w:rsidRPr="00700C00">
              <w:rPr>
                <w:i/>
                <w:sz w:val="16"/>
              </w:rPr>
              <w:br/>
            </w:r>
            <w:r w:rsidRPr="00700C00">
              <w:rPr>
                <w:i/>
                <w:sz w:val="16"/>
              </w:rPr>
              <w:t>pour le groupe d’emballage III</w:t>
            </w:r>
          </w:p>
        </w:tc>
      </w:tr>
      <w:tr w:rsidR="00EB6791" w:rsidRPr="00700C00" w:rsidTr="00223B28">
        <w:trPr>
          <w:cantSplit/>
        </w:trPr>
        <w:tc>
          <w:tcPr>
            <w:tcW w:w="1869" w:type="dxa"/>
            <w:shd w:val="clear" w:color="auto" w:fill="auto"/>
          </w:tcPr>
          <w:p w:rsidR="00104C1F" w:rsidRPr="00700C00" w:rsidRDefault="00104C1F" w:rsidP="00EB6791">
            <w:pPr>
              <w:suppressAutoHyphens w:val="0"/>
              <w:spacing w:before="40" w:after="40" w:line="220" w:lineRule="exact"/>
              <w:ind w:left="57" w:right="28"/>
              <w:rPr>
                <w:i/>
                <w:sz w:val="18"/>
              </w:rPr>
            </w:pPr>
            <w:r w:rsidRPr="00700C00">
              <w:rPr>
                <w:i/>
                <w:sz w:val="18"/>
              </w:rPr>
              <w:t>A, affectée au groupe d’emballage I</w:t>
            </w:r>
          </w:p>
        </w:tc>
        <w:tc>
          <w:tcPr>
            <w:tcW w:w="1190"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3</w:t>
            </w:r>
          </w:p>
        </w:tc>
        <w:tc>
          <w:tcPr>
            <w:tcW w:w="1245"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30</w:t>
            </w:r>
            <w:r w:rsidR="00EB6791" w:rsidRPr="00700C00">
              <w:rPr>
                <w:i/>
                <w:sz w:val="18"/>
              </w:rPr>
              <w:t> </w:t>
            </w:r>
            <w:r w:rsidRPr="00700C00">
              <w:rPr>
                <w:i/>
                <w:sz w:val="18"/>
              </w:rPr>
              <w:t>%</w:t>
            </w:r>
          </w:p>
        </w:tc>
        <w:tc>
          <w:tcPr>
            <w:tcW w:w="1246"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aucune</w:t>
            </w:r>
          </w:p>
        </w:tc>
        <w:tc>
          <w:tcPr>
            <w:tcW w:w="1248"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aucune</w:t>
            </w:r>
          </w:p>
        </w:tc>
      </w:tr>
      <w:tr w:rsidR="00EB6791" w:rsidRPr="00700C00" w:rsidTr="00223B28">
        <w:trPr>
          <w:cantSplit/>
        </w:trPr>
        <w:tc>
          <w:tcPr>
            <w:tcW w:w="1869" w:type="dxa"/>
            <w:shd w:val="clear" w:color="auto" w:fill="auto"/>
          </w:tcPr>
          <w:p w:rsidR="00104C1F" w:rsidRPr="00700C00" w:rsidRDefault="00104C1F" w:rsidP="00EB6791">
            <w:pPr>
              <w:suppressAutoHyphens w:val="0"/>
              <w:spacing w:before="40" w:after="40" w:line="220" w:lineRule="exact"/>
              <w:ind w:left="57" w:right="28"/>
              <w:rPr>
                <w:i/>
                <w:sz w:val="18"/>
              </w:rPr>
            </w:pPr>
            <w:r w:rsidRPr="00700C00">
              <w:rPr>
                <w:i/>
                <w:sz w:val="18"/>
              </w:rPr>
              <w:t>B, affectée au groupe d’emballage I</w:t>
            </w:r>
          </w:p>
        </w:tc>
        <w:tc>
          <w:tcPr>
            <w:tcW w:w="1190"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2</w:t>
            </w:r>
          </w:p>
        </w:tc>
        <w:tc>
          <w:tcPr>
            <w:tcW w:w="1245"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20</w:t>
            </w:r>
            <w:r w:rsidR="00EB6791" w:rsidRPr="00700C00">
              <w:rPr>
                <w:i/>
                <w:sz w:val="18"/>
              </w:rPr>
              <w:t> </w:t>
            </w:r>
            <w:r w:rsidRPr="00700C00">
              <w:rPr>
                <w:i/>
                <w:sz w:val="18"/>
              </w:rPr>
              <w:t>%</w:t>
            </w:r>
          </w:p>
        </w:tc>
        <w:tc>
          <w:tcPr>
            <w:tcW w:w="1246"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10%</w:t>
            </w:r>
          </w:p>
        </w:tc>
        <w:tc>
          <w:tcPr>
            <w:tcW w:w="1248"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aucune</w:t>
            </w:r>
          </w:p>
        </w:tc>
      </w:tr>
      <w:tr w:rsidR="00EB6791" w:rsidRPr="00700C00" w:rsidTr="00223B28">
        <w:trPr>
          <w:cantSplit/>
        </w:trPr>
        <w:tc>
          <w:tcPr>
            <w:tcW w:w="1869" w:type="dxa"/>
            <w:shd w:val="clear" w:color="auto" w:fill="auto"/>
          </w:tcPr>
          <w:p w:rsidR="00104C1F" w:rsidRPr="00700C00" w:rsidRDefault="00104C1F" w:rsidP="00EB6791">
            <w:pPr>
              <w:suppressAutoHyphens w:val="0"/>
              <w:spacing w:before="40" w:after="40" w:line="220" w:lineRule="exact"/>
              <w:ind w:left="57" w:right="28"/>
              <w:rPr>
                <w:i/>
                <w:sz w:val="18"/>
              </w:rPr>
            </w:pPr>
            <w:r w:rsidRPr="00700C00">
              <w:rPr>
                <w:i/>
                <w:sz w:val="18"/>
              </w:rPr>
              <w:t>C, affectée au groupe d’emballage III</w:t>
            </w:r>
          </w:p>
        </w:tc>
        <w:tc>
          <w:tcPr>
            <w:tcW w:w="1190"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10</w:t>
            </w:r>
          </w:p>
        </w:tc>
        <w:tc>
          <w:tcPr>
            <w:tcW w:w="1245"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aucune</w:t>
            </w:r>
          </w:p>
        </w:tc>
        <w:tc>
          <w:tcPr>
            <w:tcW w:w="1246"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aucune</w:t>
            </w:r>
          </w:p>
        </w:tc>
        <w:tc>
          <w:tcPr>
            <w:tcW w:w="1248" w:type="dxa"/>
            <w:shd w:val="clear" w:color="auto" w:fill="auto"/>
            <w:vAlign w:val="bottom"/>
          </w:tcPr>
          <w:p w:rsidR="00104C1F" w:rsidRPr="00700C00" w:rsidRDefault="00104C1F" w:rsidP="00EB6791">
            <w:pPr>
              <w:suppressAutoHyphens w:val="0"/>
              <w:spacing w:before="40" w:after="40" w:line="220" w:lineRule="exact"/>
              <w:ind w:left="57" w:right="28"/>
              <w:jc w:val="right"/>
              <w:rPr>
                <w:i/>
                <w:sz w:val="18"/>
              </w:rPr>
            </w:pPr>
            <w:r w:rsidRPr="00700C00">
              <w:rPr>
                <w:i/>
                <w:sz w:val="18"/>
              </w:rPr>
              <w:t>aucune</w:t>
            </w:r>
          </w:p>
        </w:tc>
      </w:tr>
    </w:tbl>
    <w:p w:rsidR="00E7491A" w:rsidRPr="00104C1F" w:rsidRDefault="00223B28" w:rsidP="00223B28">
      <w:pPr>
        <w:pStyle w:val="SingleTxtG"/>
        <w:spacing w:before="120"/>
        <w:ind w:left="1701"/>
        <w:rPr>
          <w:i/>
        </w:rPr>
      </w:pPr>
      <w:r w:rsidRPr="00104C1F">
        <w:rPr>
          <w:i/>
        </w:rPr>
        <w:t>Calcul pour le groupe d’emballage I</w:t>
      </w:r>
      <w:r w:rsidR="00EB6791">
        <w:rPr>
          <w:i/>
        </w:rPr>
        <w:t> </w:t>
      </w:r>
      <w:r w:rsidRPr="00104C1F">
        <w:rPr>
          <w:i/>
        </w:rPr>
        <w:t>:</w:t>
      </w:r>
      <w:r w:rsidRPr="00104C1F">
        <w:rPr>
          <w:i/>
        </w:rPr>
        <w:tab/>
      </w:r>
      <m:oMath>
        <m:f>
          <m:fPr>
            <m:ctrlPr>
              <w:rPr>
                <w:rFonts w:ascii="Cambria Math" w:hAnsi="Cambria Math"/>
                <w:i/>
                <w:vertAlign w:val="subscript"/>
              </w:rPr>
            </m:ctrlPr>
          </m:fPr>
          <m:num>
            <m:r>
              <w:rPr>
                <w:rFonts w:ascii="Cambria Math" w:hAnsi="Cambria Math"/>
              </w:rPr>
              <m:t>3 (conc A)</m:t>
            </m:r>
          </m:num>
          <m:den>
            <m:r>
              <w:rPr>
                <w:rFonts w:ascii="Cambria Math" w:hAnsi="Cambria Math"/>
                <w:vertAlign w:val="subscript"/>
              </w:rPr>
              <m:t>30 (SCL PGI)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2 (conc B)  </m:t>
            </m:r>
          </m:num>
          <m:den>
            <m:r>
              <w:rPr>
                <w:rFonts w:ascii="Cambria Math" w:hAnsi="Cambria Math"/>
                <w:vertAlign w:val="subscript"/>
              </w:rPr>
              <m:t>20 (SCL PGI)</m:t>
            </m:r>
          </m:den>
        </m:f>
        <m:r>
          <w:rPr>
            <w:rFonts w:ascii="Cambria Math" w:hAnsi="Cambria Math"/>
            <w:vertAlign w:val="subscript"/>
          </w:rPr>
          <m:t>=0,2&lt;1</m:t>
        </m:r>
      </m:oMath>
    </w:p>
    <w:p w:rsidR="00E7491A" w:rsidRPr="00104C1F" w:rsidRDefault="00223B28" w:rsidP="002025DF">
      <w:pPr>
        <w:pStyle w:val="SingleTxtG"/>
        <w:ind w:left="1701"/>
        <w:rPr>
          <w:i/>
        </w:rPr>
      </w:pPr>
      <w:r w:rsidRPr="00104C1F">
        <w:rPr>
          <w:i/>
        </w:rPr>
        <w:t>Le critère pour le groupe d’emballage I n’est pas respecté.</w:t>
      </w:r>
    </w:p>
    <w:p w:rsidR="00E7491A" w:rsidRPr="00104C1F" w:rsidRDefault="00223B28" w:rsidP="002025DF">
      <w:pPr>
        <w:pStyle w:val="SingleTxtG"/>
        <w:ind w:left="1701"/>
        <w:rPr>
          <w:i/>
          <w:vertAlign w:val="subscript"/>
        </w:rPr>
      </w:pPr>
      <w:r w:rsidRPr="00104C1F">
        <w:rPr>
          <w:i/>
        </w:rPr>
        <w:t>Calcul pour le groupe d’emballage II</w:t>
      </w:r>
      <w:r w:rsidR="00EB6791">
        <w:rPr>
          <w:i/>
        </w:rPr>
        <w:t> </w:t>
      </w:r>
      <w:r w:rsidRPr="00104C1F">
        <w:rPr>
          <w:i/>
        </w:rPr>
        <w:t>:</w:t>
      </w:r>
      <w:r w:rsidRPr="00104C1F">
        <w:rPr>
          <w:i/>
        </w:rPr>
        <w:tab/>
      </w:r>
      <m:oMath>
        <m:f>
          <m:fPr>
            <m:ctrlPr>
              <w:rPr>
                <w:rFonts w:ascii="Cambria Math" w:hAnsi="Cambria Math"/>
                <w:i/>
                <w:vertAlign w:val="subscript"/>
              </w:rPr>
            </m:ctrlPr>
          </m:fPr>
          <m:num>
            <m:r>
              <w:rPr>
                <w:rFonts w:ascii="Cambria Math" w:hAnsi="Cambria Math"/>
              </w:rPr>
              <m:t>3 (conc A)</m:t>
            </m:r>
          </m:num>
          <m:den>
            <m:r>
              <w:rPr>
                <w:rFonts w:ascii="Cambria Math" w:hAnsi="Cambria Math"/>
                <w:vertAlign w:val="subscript"/>
              </w:rPr>
              <m:t>5 (GCL PG II)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2 (conc B)  </m:t>
            </m:r>
          </m:num>
          <m:den>
            <m:r>
              <w:rPr>
                <w:rFonts w:ascii="Cambria Math" w:hAnsi="Cambria Math"/>
                <w:vertAlign w:val="subscript"/>
              </w:rPr>
              <m:t>10 (SCL PG II)</m:t>
            </m:r>
          </m:den>
        </m:f>
        <m:r>
          <w:rPr>
            <w:rFonts w:ascii="Cambria Math" w:hAnsi="Cambria Math"/>
            <w:vertAlign w:val="subscript"/>
          </w:rPr>
          <m:t>=0,8&lt;1</m:t>
        </m:r>
      </m:oMath>
    </w:p>
    <w:p w:rsidR="00E7491A" w:rsidRPr="00104C1F" w:rsidRDefault="00223B28" w:rsidP="002025DF">
      <w:pPr>
        <w:pStyle w:val="SingleTxtG"/>
        <w:ind w:left="1701"/>
        <w:rPr>
          <w:i/>
        </w:rPr>
      </w:pPr>
      <w:r w:rsidRPr="00104C1F">
        <w:rPr>
          <w:i/>
        </w:rPr>
        <w:t>Le critère pour le groupe d’emballage II n’est pas respecté.</w:t>
      </w:r>
    </w:p>
    <w:p w:rsidR="00EB6791" w:rsidRDefault="00223B28" w:rsidP="002025DF">
      <w:pPr>
        <w:pStyle w:val="SingleTxtG"/>
        <w:ind w:left="1701"/>
        <w:rPr>
          <w:i/>
        </w:rPr>
      </w:pPr>
      <w:r w:rsidRPr="00104C1F">
        <w:rPr>
          <w:i/>
        </w:rPr>
        <w:t>Calcul pour le groupe d’emballage III</w:t>
      </w:r>
      <w:r w:rsidR="00EB6791">
        <w:rPr>
          <w:i/>
        </w:rPr>
        <w:t> </w:t>
      </w:r>
      <w:r w:rsidRPr="00104C1F">
        <w:rPr>
          <w:i/>
        </w:rPr>
        <w:t>:</w:t>
      </w:r>
    </w:p>
    <w:p w:rsidR="00E7491A" w:rsidRPr="00104C1F" w:rsidRDefault="00223B28" w:rsidP="002025DF">
      <w:pPr>
        <w:pStyle w:val="SingleTxtG"/>
        <w:ind w:left="1701"/>
        <w:rPr>
          <w:i/>
          <w:vertAlign w:val="subscript"/>
        </w:rPr>
      </w:pPr>
      <w:r w:rsidRPr="00104C1F">
        <w:rPr>
          <w:i/>
        </w:rPr>
        <w:tab/>
      </w:r>
      <m:oMath>
        <m:f>
          <m:fPr>
            <m:ctrlPr>
              <w:rPr>
                <w:rFonts w:ascii="Cambria Math" w:hAnsi="Cambria Math"/>
                <w:i/>
                <w:vertAlign w:val="subscript"/>
              </w:rPr>
            </m:ctrlPr>
          </m:fPr>
          <m:num>
            <m:r>
              <w:rPr>
                <w:rFonts w:ascii="Cambria Math" w:hAnsi="Cambria Math"/>
              </w:rPr>
              <m:t>3 (conc A)</m:t>
            </m:r>
          </m:num>
          <m:den>
            <m:r>
              <w:rPr>
                <w:rFonts w:ascii="Cambria Math" w:hAnsi="Cambria Math"/>
                <w:vertAlign w:val="subscript"/>
              </w:rPr>
              <m:t>5 (GCL PGIII)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2 (conc B)  </m:t>
            </m:r>
          </m:num>
          <m:den>
            <m:r>
              <w:rPr>
                <w:rFonts w:ascii="Cambria Math" w:hAnsi="Cambria Math"/>
                <w:vertAlign w:val="subscript"/>
              </w:rPr>
              <m:t>5 (GCL PG III)</m:t>
            </m:r>
          </m:den>
        </m:f>
        <m:r>
          <w:rPr>
            <w:rFonts w:ascii="Cambria Math" w:hAnsi="Cambria Math"/>
            <w:vertAlign w:val="subscript"/>
          </w:rPr>
          <m:t xml:space="preserve"> + </m:t>
        </m:r>
        <m:f>
          <m:fPr>
            <m:ctrlPr>
              <w:rPr>
                <w:rFonts w:ascii="Cambria Math" w:hAnsi="Cambria Math"/>
                <w:i/>
                <w:vertAlign w:val="subscript"/>
              </w:rPr>
            </m:ctrlPr>
          </m:fPr>
          <m:num>
            <m:r>
              <w:rPr>
                <w:rFonts w:ascii="Cambria Math" w:hAnsi="Cambria Math"/>
                <w:vertAlign w:val="subscript"/>
              </w:rPr>
              <m:t xml:space="preserve">10 (conc C)  </m:t>
            </m:r>
          </m:num>
          <m:den>
            <m:r>
              <w:rPr>
                <w:rFonts w:ascii="Cambria Math" w:hAnsi="Cambria Math"/>
                <w:vertAlign w:val="subscript"/>
              </w:rPr>
              <m:t>5 GCL PG III)</m:t>
            </m:r>
          </m:den>
        </m:f>
        <m:r>
          <w:rPr>
            <w:rFonts w:ascii="Cambria Math" w:hAnsi="Cambria Math"/>
            <w:vertAlign w:val="subscript"/>
          </w:rPr>
          <m:t>=3 ≥ 1</m:t>
        </m:r>
      </m:oMath>
    </w:p>
    <w:p w:rsidR="00104C1F" w:rsidRDefault="00223B28" w:rsidP="002025DF">
      <w:pPr>
        <w:pStyle w:val="SingleTxtG"/>
        <w:ind w:left="1701"/>
        <w:rPr>
          <w:i/>
        </w:rPr>
      </w:pPr>
      <w:r w:rsidRPr="00104C1F">
        <w:rPr>
          <w:i/>
        </w:rPr>
        <w:t>Le critère pour le groupe d’emballage III est respecté ; le mélange est affecté à la classe 8, groupe d’emballage III.</w:t>
      </w:r>
      <w:r w:rsidR="00EB6791">
        <w:t> ».</w:t>
      </w:r>
    </w:p>
    <w:p w:rsidR="00104C1F" w:rsidRPr="00104C1F" w:rsidRDefault="00104C1F" w:rsidP="00104C1F">
      <w:pPr>
        <w:pStyle w:val="SingleTxtG"/>
        <w:spacing w:before="240" w:after="0"/>
        <w:jc w:val="center"/>
        <w:rPr>
          <w:u w:val="single"/>
        </w:rPr>
      </w:pPr>
      <w:r>
        <w:rPr>
          <w:u w:val="single"/>
        </w:rPr>
        <w:tab/>
      </w:r>
      <w:r>
        <w:rPr>
          <w:u w:val="single"/>
        </w:rPr>
        <w:tab/>
      </w:r>
      <w:r>
        <w:rPr>
          <w:u w:val="single"/>
        </w:rPr>
        <w:tab/>
      </w:r>
    </w:p>
    <w:sectPr w:rsidR="00104C1F" w:rsidRPr="00104C1F" w:rsidSect="00104C1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E8" w:rsidRDefault="00FC1DE8" w:rsidP="00F95C08">
      <w:pPr>
        <w:spacing w:line="240" w:lineRule="auto"/>
      </w:pPr>
    </w:p>
  </w:endnote>
  <w:endnote w:type="continuationSeparator" w:id="0">
    <w:p w:rsidR="00FC1DE8" w:rsidRPr="00AC3823" w:rsidRDefault="00FC1DE8" w:rsidP="00AC3823">
      <w:pPr>
        <w:pStyle w:val="Footer"/>
      </w:pPr>
    </w:p>
  </w:endnote>
  <w:endnote w:type="continuationNotice" w:id="1">
    <w:p w:rsidR="00FC1DE8" w:rsidRDefault="00FC1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1F" w:rsidRPr="00104C1F" w:rsidRDefault="00104C1F" w:rsidP="00104C1F">
    <w:pPr>
      <w:pStyle w:val="Footer"/>
      <w:tabs>
        <w:tab w:val="right" w:pos="9638"/>
      </w:tabs>
    </w:pPr>
    <w:r w:rsidRPr="00104C1F">
      <w:rPr>
        <w:b/>
        <w:sz w:val="18"/>
      </w:rPr>
      <w:fldChar w:fldCharType="begin"/>
    </w:r>
    <w:r w:rsidRPr="00104C1F">
      <w:rPr>
        <w:b/>
        <w:sz w:val="18"/>
      </w:rPr>
      <w:instrText xml:space="preserve"> PAGE  \* MERGEFORMAT </w:instrText>
    </w:r>
    <w:r w:rsidRPr="00104C1F">
      <w:rPr>
        <w:b/>
        <w:sz w:val="18"/>
      </w:rPr>
      <w:fldChar w:fldCharType="separate"/>
    </w:r>
    <w:r w:rsidR="00190939">
      <w:rPr>
        <w:b/>
        <w:noProof/>
        <w:sz w:val="18"/>
      </w:rPr>
      <w:t>2</w:t>
    </w:r>
    <w:r w:rsidRPr="00104C1F">
      <w:rPr>
        <w:b/>
        <w:sz w:val="18"/>
      </w:rPr>
      <w:fldChar w:fldCharType="end"/>
    </w:r>
    <w:r>
      <w:rPr>
        <w:b/>
        <w:sz w:val="18"/>
      </w:rPr>
      <w:tab/>
    </w:r>
    <w:r>
      <w:t>GE.16-15558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1F" w:rsidRPr="00104C1F" w:rsidRDefault="00104C1F" w:rsidP="00104C1F">
    <w:pPr>
      <w:pStyle w:val="Footer"/>
      <w:tabs>
        <w:tab w:val="right" w:pos="9638"/>
      </w:tabs>
      <w:rPr>
        <w:b/>
        <w:sz w:val="18"/>
      </w:rPr>
    </w:pPr>
    <w:r>
      <w:t>GE.16-15558</w:t>
    </w:r>
    <w:r>
      <w:tab/>
    </w:r>
    <w:r w:rsidRPr="00104C1F">
      <w:rPr>
        <w:b/>
        <w:sz w:val="18"/>
      </w:rPr>
      <w:fldChar w:fldCharType="begin"/>
    </w:r>
    <w:r w:rsidRPr="00104C1F">
      <w:rPr>
        <w:b/>
        <w:sz w:val="18"/>
      </w:rPr>
      <w:instrText xml:space="preserve"> PAGE  \* MERGEFORMAT </w:instrText>
    </w:r>
    <w:r w:rsidRPr="00104C1F">
      <w:rPr>
        <w:b/>
        <w:sz w:val="18"/>
      </w:rPr>
      <w:fldChar w:fldCharType="separate"/>
    </w:r>
    <w:r w:rsidR="00190939">
      <w:rPr>
        <w:b/>
        <w:noProof/>
        <w:sz w:val="18"/>
      </w:rPr>
      <w:t>3</w:t>
    </w:r>
    <w:r w:rsidRPr="00104C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04C1F" w:rsidRDefault="00104C1F" w:rsidP="00104C1F">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F712AFA" wp14:editId="038A82A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16-15558  (F)    171016    171016</w:t>
    </w:r>
    <w:r>
      <w:rPr>
        <w:sz w:val="20"/>
      </w:rPr>
      <w:br/>
    </w:r>
    <w:r w:rsidRPr="00104C1F">
      <w:rPr>
        <w:rFonts w:ascii="C39T30Lfz" w:hAnsi="C39T30Lfz"/>
        <w:sz w:val="56"/>
      </w:rPr>
      <w:t></w:t>
    </w:r>
    <w:r w:rsidRPr="00104C1F">
      <w:rPr>
        <w:rFonts w:ascii="C39T30Lfz" w:hAnsi="C39T30Lfz"/>
        <w:sz w:val="56"/>
      </w:rPr>
      <w:t></w:t>
    </w:r>
    <w:r w:rsidRPr="00104C1F">
      <w:rPr>
        <w:rFonts w:ascii="C39T30Lfz" w:hAnsi="C39T30Lfz"/>
        <w:sz w:val="56"/>
      </w:rPr>
      <w:t></w:t>
    </w:r>
    <w:r w:rsidRPr="00104C1F">
      <w:rPr>
        <w:rFonts w:ascii="C39T30Lfz" w:hAnsi="C39T30Lfz"/>
        <w:sz w:val="56"/>
      </w:rPr>
      <w:t></w:t>
    </w:r>
    <w:r w:rsidRPr="00104C1F">
      <w:rPr>
        <w:rFonts w:ascii="C39T30Lfz" w:hAnsi="C39T30Lfz"/>
        <w:sz w:val="56"/>
      </w:rPr>
      <w:t></w:t>
    </w:r>
    <w:r w:rsidRPr="00104C1F">
      <w:rPr>
        <w:rFonts w:ascii="C39T30Lfz" w:hAnsi="C39T30Lfz"/>
        <w:sz w:val="56"/>
      </w:rPr>
      <w:t></w:t>
    </w:r>
    <w:r w:rsidRPr="00104C1F">
      <w:rPr>
        <w:rFonts w:ascii="C39T30Lfz" w:hAnsi="C39T30Lfz"/>
        <w:sz w:val="56"/>
      </w:rPr>
      <w:t></w:t>
    </w:r>
    <w:r w:rsidRPr="00104C1F">
      <w:rPr>
        <w:rFonts w:ascii="C39T30Lfz" w:hAnsi="C39T30Lfz"/>
        <w:sz w:val="56"/>
      </w:rPr>
      <w:t></w:t>
    </w:r>
    <w:r w:rsidRPr="00104C1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E8" w:rsidRPr="00AC3823" w:rsidRDefault="00FC1DE8" w:rsidP="00AC3823">
      <w:pPr>
        <w:pStyle w:val="Footer"/>
        <w:tabs>
          <w:tab w:val="right" w:pos="2155"/>
        </w:tabs>
        <w:spacing w:after="80" w:line="240" w:lineRule="atLeast"/>
        <w:ind w:left="680"/>
        <w:rPr>
          <w:u w:val="single"/>
        </w:rPr>
      </w:pPr>
      <w:r>
        <w:rPr>
          <w:u w:val="single"/>
        </w:rPr>
        <w:tab/>
      </w:r>
    </w:p>
  </w:footnote>
  <w:footnote w:type="continuationSeparator" w:id="0">
    <w:p w:rsidR="00FC1DE8" w:rsidRPr="00AC3823" w:rsidRDefault="00FC1DE8" w:rsidP="00AC3823">
      <w:pPr>
        <w:pStyle w:val="Footer"/>
        <w:tabs>
          <w:tab w:val="right" w:pos="2155"/>
        </w:tabs>
        <w:spacing w:after="80" w:line="240" w:lineRule="atLeast"/>
        <w:ind w:left="680"/>
        <w:rPr>
          <w:u w:val="single"/>
        </w:rPr>
      </w:pPr>
      <w:r>
        <w:rPr>
          <w:u w:val="single"/>
        </w:rPr>
        <w:tab/>
      </w:r>
    </w:p>
  </w:footnote>
  <w:footnote w:type="continuationNotice" w:id="1">
    <w:p w:rsidR="00FC1DE8" w:rsidRPr="00AC3823" w:rsidRDefault="00FC1DE8">
      <w:pPr>
        <w:spacing w:line="240" w:lineRule="auto"/>
        <w:rPr>
          <w:sz w:val="2"/>
          <w:szCs w:val="2"/>
        </w:rPr>
      </w:pPr>
    </w:p>
  </w:footnote>
  <w:footnote w:id="2">
    <w:p w:rsidR="00104C1F" w:rsidRDefault="00104C1F">
      <w:pPr>
        <w:pStyle w:val="FootnoteText"/>
      </w:pPr>
      <w:r>
        <w:tab/>
      </w:r>
      <w:r>
        <w:rPr>
          <w:rStyle w:val="FootnoteReference"/>
        </w:rPr>
        <w:footnoteRef/>
      </w:r>
      <w:r>
        <w:tab/>
      </w:r>
      <w:r w:rsidRPr="00660C2D">
        <w:t>Conformément au programme de travail du Sous-Comité pour la période 2015-2016, adopté par le</w:t>
      </w:r>
      <w:r>
        <w:t> </w:t>
      </w:r>
      <w:r w:rsidRPr="00660C2D">
        <w:t>Comité à sa septième session (</w:t>
      </w:r>
      <w:r>
        <w:t>voir</w:t>
      </w:r>
      <w:r w:rsidRPr="00660C2D">
        <w:t xml:space="preserve"> ST/SG/AC.10/C.3/92, par</w:t>
      </w:r>
      <w:r>
        <w:t>. </w:t>
      </w:r>
      <w:r w:rsidRPr="00660C2D">
        <w:t>95</w:t>
      </w:r>
      <w:r>
        <w:t>, et ST/SG/AC.10/42, par</w:t>
      </w:r>
      <w:r w:rsidRPr="00660C2D">
        <w:t>. </w:t>
      </w:r>
      <w:r w:rsidRPr="00482282">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1F" w:rsidRPr="00104C1F" w:rsidRDefault="00104C1F">
    <w:pPr>
      <w:pStyle w:val="Header"/>
    </w:pPr>
    <w:r>
      <w:t>ST/SG/AC.10/C.3/2016/50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1F" w:rsidRPr="00104C1F" w:rsidRDefault="00104C1F" w:rsidP="00104C1F">
    <w:pPr>
      <w:pStyle w:val="Header"/>
      <w:jc w:val="right"/>
    </w:pPr>
    <w:r>
      <w:t>ST/SG/AC.10/C.3/2016/50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E8"/>
    <w:rsid w:val="00017F94"/>
    <w:rsid w:val="00023842"/>
    <w:rsid w:val="000305D3"/>
    <w:rsid w:val="000334F9"/>
    <w:rsid w:val="0007796D"/>
    <w:rsid w:val="000B7790"/>
    <w:rsid w:val="00104C1F"/>
    <w:rsid w:val="00111F2F"/>
    <w:rsid w:val="00132EA9"/>
    <w:rsid w:val="0014365E"/>
    <w:rsid w:val="00155407"/>
    <w:rsid w:val="00176178"/>
    <w:rsid w:val="00190939"/>
    <w:rsid w:val="00195121"/>
    <w:rsid w:val="001F525A"/>
    <w:rsid w:val="002025DF"/>
    <w:rsid w:val="00223272"/>
    <w:rsid w:val="00223B28"/>
    <w:rsid w:val="0024779E"/>
    <w:rsid w:val="00283190"/>
    <w:rsid w:val="002832AC"/>
    <w:rsid w:val="002D7C93"/>
    <w:rsid w:val="00441C3B"/>
    <w:rsid w:val="00446FE5"/>
    <w:rsid w:val="00452396"/>
    <w:rsid w:val="00485F5C"/>
    <w:rsid w:val="004B5FA9"/>
    <w:rsid w:val="004E468C"/>
    <w:rsid w:val="004F63B3"/>
    <w:rsid w:val="005505B7"/>
    <w:rsid w:val="00573BE5"/>
    <w:rsid w:val="00586ED3"/>
    <w:rsid w:val="00596AA9"/>
    <w:rsid w:val="005C7E25"/>
    <w:rsid w:val="0068456F"/>
    <w:rsid w:val="00700C00"/>
    <w:rsid w:val="0071601D"/>
    <w:rsid w:val="0071636C"/>
    <w:rsid w:val="007A62E6"/>
    <w:rsid w:val="0080684C"/>
    <w:rsid w:val="00871C75"/>
    <w:rsid w:val="008776DC"/>
    <w:rsid w:val="0088180C"/>
    <w:rsid w:val="008C5F47"/>
    <w:rsid w:val="009705C8"/>
    <w:rsid w:val="009C1CF4"/>
    <w:rsid w:val="00A30353"/>
    <w:rsid w:val="00A77732"/>
    <w:rsid w:val="00AC3823"/>
    <w:rsid w:val="00AE323C"/>
    <w:rsid w:val="00B00181"/>
    <w:rsid w:val="00B00B0D"/>
    <w:rsid w:val="00B765F7"/>
    <w:rsid w:val="00BA0CA9"/>
    <w:rsid w:val="00BE45FF"/>
    <w:rsid w:val="00C02897"/>
    <w:rsid w:val="00CB16A1"/>
    <w:rsid w:val="00D13E94"/>
    <w:rsid w:val="00D3439C"/>
    <w:rsid w:val="00DB1831"/>
    <w:rsid w:val="00DD3BFD"/>
    <w:rsid w:val="00DF6678"/>
    <w:rsid w:val="00E14919"/>
    <w:rsid w:val="00EB6791"/>
    <w:rsid w:val="00EF2E22"/>
    <w:rsid w:val="00F51755"/>
    <w:rsid w:val="00F660DF"/>
    <w:rsid w:val="00F730C8"/>
    <w:rsid w:val="00F95C08"/>
    <w:rsid w:val="00FC1D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1CA1-9F0A-4912-8062-F2DBD4B2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ST/SG/AC.10/C.3/2016/50</vt:lpstr>
      <vt:lpstr>ST/SG/AC.10/C.3/2016/50</vt:lpstr>
    </vt:vector>
  </TitlesOfParts>
  <Company>DCM</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ST/SG/AC.10/C.3/2016/50</dc:title>
  <dc:subject>final</dc:subject>
  <dc:creator>Deschamps</dc:creator>
  <cp:lastModifiedBy>Laurence Berthet</cp:lastModifiedBy>
  <cp:revision>2</cp:revision>
  <cp:lastPrinted>2016-10-17T13:22:00Z</cp:lastPrinted>
  <dcterms:created xsi:type="dcterms:W3CDTF">2016-10-18T07:24:00Z</dcterms:created>
  <dcterms:modified xsi:type="dcterms:W3CDTF">2016-10-18T07:24:00Z</dcterms:modified>
</cp:coreProperties>
</file>