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A36028">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A36028" w:rsidP="00A36028">
            <w:pPr>
              <w:jc w:val="right"/>
            </w:pPr>
            <w:r w:rsidRPr="00A36028">
              <w:rPr>
                <w:sz w:val="40"/>
              </w:rPr>
              <w:t>ST</w:t>
            </w:r>
            <w:r>
              <w:t>/SG/AC.10/C.3/2016/45</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A36028" w:rsidP="009C3129">
            <w:pPr>
              <w:spacing w:before="240"/>
            </w:pPr>
            <w:r>
              <w:t>Distr. générale</w:t>
            </w:r>
          </w:p>
          <w:p w:rsidR="00A36028" w:rsidRDefault="00A36028" w:rsidP="00A36028">
            <w:pPr>
              <w:spacing w:line="240" w:lineRule="exact"/>
            </w:pPr>
            <w:r>
              <w:t>13 avril 2016</w:t>
            </w:r>
          </w:p>
          <w:p w:rsidR="00A36028" w:rsidRDefault="00A36028" w:rsidP="00A36028">
            <w:pPr>
              <w:spacing w:line="240" w:lineRule="exact"/>
            </w:pPr>
            <w:r>
              <w:t>Français</w:t>
            </w:r>
          </w:p>
          <w:p w:rsidR="00A36028" w:rsidRPr="00DB58B5" w:rsidRDefault="00A36028" w:rsidP="00A36028">
            <w:pPr>
              <w:spacing w:line="240" w:lineRule="exact"/>
            </w:pPr>
            <w:r>
              <w:t>Original : anglais</w:t>
            </w:r>
          </w:p>
        </w:tc>
      </w:tr>
    </w:tbl>
    <w:p w:rsidR="00A36028" w:rsidRPr="00CA0680" w:rsidRDefault="00A36028"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A36028" w:rsidRPr="00CA0680" w:rsidRDefault="00A36028" w:rsidP="000305D3">
      <w:pPr>
        <w:spacing w:before="120"/>
        <w:rPr>
          <w:b/>
        </w:rPr>
      </w:pPr>
      <w:r w:rsidRPr="00CA0680">
        <w:rPr>
          <w:b/>
        </w:rPr>
        <w:t>Sous</w:t>
      </w:r>
      <w:r>
        <w:rPr>
          <w:b/>
        </w:rPr>
        <w:t>-</w:t>
      </w:r>
      <w:r w:rsidRPr="00CA0680">
        <w:rPr>
          <w:b/>
        </w:rPr>
        <w:t>Comité d’experts du transport des marchandises dangereuses</w:t>
      </w:r>
    </w:p>
    <w:p w:rsidR="00A36028" w:rsidRDefault="00A36028" w:rsidP="000305D3">
      <w:pPr>
        <w:spacing w:before="120"/>
        <w:rPr>
          <w:b/>
        </w:rPr>
      </w:pPr>
      <w:r>
        <w:rPr>
          <w:b/>
        </w:rPr>
        <w:t xml:space="preserve">Quarante-neuvième </w:t>
      </w:r>
      <w:r w:rsidRPr="00CA0680">
        <w:rPr>
          <w:b/>
        </w:rPr>
        <w:t>session</w:t>
      </w:r>
    </w:p>
    <w:p w:rsidR="00A36028" w:rsidRDefault="00A36028" w:rsidP="000305D3">
      <w:r>
        <w:t>Genève, 27 juin-6 juillet 2016</w:t>
      </w:r>
    </w:p>
    <w:p w:rsidR="00A36028" w:rsidRDefault="00A36028" w:rsidP="000305D3">
      <w:r>
        <w:t>Point 4 d) de l’ordre du jour provisoire</w:t>
      </w:r>
    </w:p>
    <w:p w:rsidR="00A36028" w:rsidRPr="00A36028" w:rsidRDefault="00A36028" w:rsidP="00AC3823">
      <w:pPr>
        <w:rPr>
          <w:b/>
        </w:rPr>
      </w:pPr>
      <w:r w:rsidRPr="00A36028">
        <w:rPr>
          <w:b/>
        </w:rPr>
        <w:t xml:space="preserve">Systèmes de stockage de l’électricité : </w:t>
      </w:r>
      <w:r>
        <w:rPr>
          <w:b/>
        </w:rPr>
        <w:br/>
      </w:r>
      <w:r w:rsidRPr="00A36028">
        <w:rPr>
          <w:b/>
        </w:rPr>
        <w:t>Questions diverses</w:t>
      </w:r>
    </w:p>
    <w:p w:rsidR="00A36028" w:rsidRPr="00494283" w:rsidRDefault="00A36028" w:rsidP="00A36028">
      <w:pPr>
        <w:pStyle w:val="HChG"/>
        <w:rPr>
          <w:lang w:val="fr-FR"/>
        </w:rPr>
      </w:pPr>
      <w:r w:rsidRPr="00494283">
        <w:rPr>
          <w:lang w:val="fr-FR"/>
        </w:rPr>
        <w:tab/>
      </w:r>
      <w:r w:rsidRPr="00494283">
        <w:rPr>
          <w:lang w:val="fr-FR"/>
        </w:rPr>
        <w:tab/>
      </w:r>
      <w:r w:rsidRPr="00494283">
        <w:rPr>
          <w:color w:val="000000"/>
          <w:sz w:val="27"/>
          <w:szCs w:val="27"/>
          <w:lang w:val="fr-FR"/>
        </w:rPr>
        <w:t xml:space="preserve">Dispositions et exemptions </w:t>
      </w:r>
      <w:r w:rsidRPr="00494283">
        <w:rPr>
          <w:lang w:val="fr-FR"/>
        </w:rPr>
        <w:t xml:space="preserve">applicables aux piles et batteries </w:t>
      </w:r>
      <w:r>
        <w:rPr>
          <w:lang w:val="fr-FR"/>
        </w:rPr>
        <w:br/>
      </w:r>
      <w:r w:rsidRPr="00494283">
        <w:rPr>
          <w:lang w:val="fr-FR"/>
        </w:rPr>
        <w:t>au lithium métal de type bouton</w:t>
      </w:r>
    </w:p>
    <w:p w:rsidR="00A36028" w:rsidRPr="00494283" w:rsidRDefault="00A36028" w:rsidP="00A36028">
      <w:pPr>
        <w:pStyle w:val="H1G"/>
        <w:rPr>
          <w:lang w:val="fr-FR"/>
        </w:rPr>
      </w:pPr>
      <w:r w:rsidRPr="00494283">
        <w:rPr>
          <w:lang w:val="fr-FR"/>
        </w:rPr>
        <w:tab/>
      </w:r>
      <w:r w:rsidRPr="00494283">
        <w:rPr>
          <w:lang w:val="fr-FR"/>
        </w:rPr>
        <w:tab/>
        <w:t>Communication de la Rechargeable Battery Association</w:t>
      </w:r>
      <w:r w:rsidRPr="00494283">
        <w:rPr>
          <w:rStyle w:val="apple-converted-space"/>
          <w:color w:val="000000"/>
          <w:sz w:val="27"/>
          <w:szCs w:val="27"/>
          <w:lang w:val="fr-FR"/>
        </w:rPr>
        <w:t> </w:t>
      </w:r>
      <w:r w:rsidRPr="00494283">
        <w:rPr>
          <w:lang w:val="fr-FR"/>
        </w:rPr>
        <w:t xml:space="preserve"> (PRBA)</w:t>
      </w:r>
      <w:r w:rsidRPr="00A36028">
        <w:rPr>
          <w:rStyle w:val="FootnoteReference"/>
          <w:b w:val="0"/>
        </w:rPr>
        <w:footnoteReference w:id="2"/>
      </w:r>
    </w:p>
    <w:p w:rsidR="00A36028" w:rsidRPr="00494283" w:rsidRDefault="00A36028" w:rsidP="00A36028">
      <w:pPr>
        <w:pStyle w:val="HChG"/>
        <w:rPr>
          <w:lang w:val="fr-FR"/>
        </w:rPr>
      </w:pPr>
      <w:r w:rsidRPr="00494283">
        <w:rPr>
          <w:lang w:val="fr-FR"/>
        </w:rPr>
        <w:tab/>
      </w:r>
      <w:r w:rsidRPr="00494283">
        <w:rPr>
          <w:lang w:val="fr-FR"/>
        </w:rPr>
        <w:tab/>
        <w:t>Introduction</w:t>
      </w:r>
    </w:p>
    <w:p w:rsidR="00A36028" w:rsidRPr="00494283" w:rsidRDefault="00A36028" w:rsidP="00A36028">
      <w:pPr>
        <w:pStyle w:val="ParNoG"/>
        <w:rPr>
          <w:lang w:val="fr-FR"/>
        </w:rPr>
      </w:pPr>
      <w:r w:rsidRPr="00BC1744">
        <w:rPr>
          <w:lang w:val="fr-FR"/>
        </w:rPr>
        <w:t xml:space="preserve">Dans la sous-section 38.3.2.3 du </w:t>
      </w:r>
      <w:r w:rsidRPr="0083008D">
        <w:rPr>
          <w:i/>
          <w:iCs/>
          <w:color w:val="000000"/>
          <w:lang w:val="fr-FR"/>
        </w:rPr>
        <w:t>Manuel d’épreuves et de critères</w:t>
      </w:r>
      <w:r w:rsidRPr="00BC1744">
        <w:rPr>
          <w:lang w:val="fr-FR"/>
        </w:rPr>
        <w:t xml:space="preserve">, une « pile ou batterie de type bouton » est définie comme étant </w:t>
      </w:r>
      <w:r w:rsidR="002D7034">
        <w:rPr>
          <w:lang w:val="fr-FR"/>
        </w:rPr>
        <w:t>« </w:t>
      </w:r>
      <w:r w:rsidRPr="00BC1744">
        <w:rPr>
          <w:color w:val="000000"/>
          <w:lang w:val="fr-FR"/>
        </w:rPr>
        <w:t>une petite pile ou batterie ronde dont la hauteur totale est inférieure au diamètre</w:t>
      </w:r>
      <w:r w:rsidR="002D7034">
        <w:rPr>
          <w:lang w:val="fr-FR"/>
        </w:rPr>
        <w:t> »</w:t>
      </w:r>
      <w:r w:rsidRPr="00BC1744">
        <w:rPr>
          <w:lang w:val="fr-FR"/>
        </w:rPr>
        <w:t>.</w:t>
      </w:r>
      <w:r w:rsidRPr="00494283">
        <w:rPr>
          <w:lang w:val="fr-FR"/>
        </w:rPr>
        <w:t xml:space="preserve"> Telle qu’elle est employée dans cette introduction, </w:t>
      </w:r>
      <w:r w:rsidRPr="00494283">
        <w:rPr>
          <w:color w:val="000000"/>
          <w:lang w:val="fr-FR"/>
        </w:rPr>
        <w:t>l’expression</w:t>
      </w:r>
      <w:r w:rsidRPr="00494283">
        <w:rPr>
          <w:lang w:val="fr-FR"/>
        </w:rPr>
        <w:t xml:space="preserve"> </w:t>
      </w:r>
      <w:r w:rsidR="002D7034">
        <w:rPr>
          <w:lang w:val="fr-FR"/>
        </w:rPr>
        <w:t>« </w:t>
      </w:r>
      <w:r w:rsidRPr="00494283">
        <w:rPr>
          <w:lang w:val="fr-FR"/>
        </w:rPr>
        <w:t xml:space="preserve">pile de type bouton » désigne également les </w:t>
      </w:r>
      <w:r w:rsidR="002D7034">
        <w:rPr>
          <w:lang w:val="fr-FR"/>
        </w:rPr>
        <w:t>« </w:t>
      </w:r>
      <w:r w:rsidRPr="00494283">
        <w:rPr>
          <w:lang w:val="fr-FR"/>
        </w:rPr>
        <w:t xml:space="preserve">batteries de type bouton ». Les piles au lithium de type bouton sont fabriquées et transportées à l’échelle mondiale en très grand </w:t>
      </w:r>
      <w:r>
        <w:rPr>
          <w:lang w:val="fr-FR"/>
        </w:rPr>
        <w:t xml:space="preserve">nombre </w:t>
      </w:r>
      <w:r w:rsidRPr="00494283">
        <w:rPr>
          <w:lang w:val="fr-FR"/>
        </w:rPr>
        <w:t>(6 à 7</w:t>
      </w:r>
      <w:r w:rsidR="002D7034">
        <w:rPr>
          <w:lang w:val="fr-FR"/>
        </w:rPr>
        <w:t> </w:t>
      </w:r>
      <w:r w:rsidRPr="00494283">
        <w:rPr>
          <w:lang w:val="fr-FR"/>
        </w:rPr>
        <w:t xml:space="preserve">milliards par an selon les estimations) et sont utilisées dans d’innombrables applications </w:t>
      </w:r>
      <w:r w:rsidR="002D7034">
        <w:rPr>
          <w:lang w:val="fr-FR"/>
        </w:rPr>
        <w:t>−</w:t>
      </w:r>
      <w:r w:rsidRPr="00494283">
        <w:rPr>
          <w:lang w:val="fr-FR"/>
        </w:rPr>
        <w:t xml:space="preserve"> </w:t>
      </w:r>
      <w:r>
        <w:rPr>
          <w:lang w:val="fr-FR"/>
        </w:rPr>
        <w:t xml:space="preserve">allant </w:t>
      </w:r>
      <w:r w:rsidRPr="00494283">
        <w:rPr>
          <w:lang w:val="fr-FR"/>
        </w:rPr>
        <w:t>des capteurs de mesure de pression situés dans les valves de</w:t>
      </w:r>
      <w:r>
        <w:rPr>
          <w:lang w:val="fr-FR"/>
        </w:rPr>
        <w:t>s</w:t>
      </w:r>
      <w:r w:rsidRPr="00494283">
        <w:rPr>
          <w:lang w:val="fr-FR"/>
        </w:rPr>
        <w:t xml:space="preserve"> pneus d’automobile</w:t>
      </w:r>
      <w:r>
        <w:rPr>
          <w:lang w:val="fr-FR"/>
        </w:rPr>
        <w:t>s</w:t>
      </w:r>
      <w:r w:rsidRPr="00494283">
        <w:rPr>
          <w:lang w:val="fr-FR"/>
        </w:rPr>
        <w:t xml:space="preserve"> </w:t>
      </w:r>
      <w:r w:rsidRPr="00BC1744">
        <w:rPr>
          <w:lang w:val="fr-FR"/>
        </w:rPr>
        <w:t>jusqu’</w:t>
      </w:r>
      <w:r w:rsidRPr="00494283">
        <w:rPr>
          <w:lang w:val="fr-FR"/>
        </w:rPr>
        <w:t xml:space="preserve">aux montres, </w:t>
      </w:r>
      <w:r>
        <w:rPr>
          <w:lang w:val="fr-FR"/>
        </w:rPr>
        <w:t xml:space="preserve">aux </w:t>
      </w:r>
      <w:r w:rsidRPr="00494283">
        <w:rPr>
          <w:lang w:val="fr-FR"/>
        </w:rPr>
        <w:t xml:space="preserve">calculatrices, </w:t>
      </w:r>
      <w:r>
        <w:rPr>
          <w:lang w:val="fr-FR"/>
        </w:rPr>
        <w:t xml:space="preserve">aux </w:t>
      </w:r>
      <w:r w:rsidRPr="00494283">
        <w:rPr>
          <w:lang w:val="fr-FR"/>
        </w:rPr>
        <w:t xml:space="preserve">appareils médicaux, </w:t>
      </w:r>
      <w:r>
        <w:rPr>
          <w:lang w:val="fr-FR"/>
        </w:rPr>
        <w:t xml:space="preserve">aux </w:t>
      </w:r>
      <w:r w:rsidRPr="00494283">
        <w:rPr>
          <w:lang w:val="fr-FR"/>
        </w:rPr>
        <w:t xml:space="preserve">jouets et </w:t>
      </w:r>
      <w:r>
        <w:rPr>
          <w:lang w:val="fr-FR"/>
        </w:rPr>
        <w:t xml:space="preserve">à </w:t>
      </w:r>
      <w:r w:rsidRPr="00494283">
        <w:rPr>
          <w:lang w:val="fr-FR"/>
        </w:rPr>
        <w:t>d’autres types d’équipement et d’objet. La majeure partie de ces piles de type bouton ne contiennent pas plus d</w:t>
      </w:r>
      <w:r w:rsidR="002D7034">
        <w:rPr>
          <w:lang w:val="fr-FR"/>
        </w:rPr>
        <w:t>e 0,3 </w:t>
      </w:r>
      <w:r>
        <w:rPr>
          <w:lang w:val="fr-FR"/>
        </w:rPr>
        <w:t>gramme de lithium métal.</w:t>
      </w:r>
    </w:p>
    <w:p w:rsidR="00A36028" w:rsidRPr="00494283" w:rsidRDefault="00A36028" w:rsidP="00A36028">
      <w:pPr>
        <w:pStyle w:val="ParNoG"/>
        <w:tabs>
          <w:tab w:val="clear" w:pos="1701"/>
        </w:tabs>
        <w:rPr>
          <w:lang w:val="fr-FR"/>
        </w:rPr>
      </w:pPr>
      <w:r w:rsidRPr="00494283">
        <w:rPr>
          <w:lang w:val="fr-FR"/>
        </w:rPr>
        <w:t xml:space="preserve">Selon la PRBA, les caractéristiques de sécurité exceptionnelles des piles de type bouton, la très petite quantité de lithium métal qu’elles contiennent et le risque insignifiant que présente leur transport justifient </w:t>
      </w:r>
      <w:r>
        <w:rPr>
          <w:lang w:val="fr-FR"/>
        </w:rPr>
        <w:t>la création d’</w:t>
      </w:r>
      <w:r w:rsidRPr="00494283">
        <w:rPr>
          <w:lang w:val="fr-FR"/>
        </w:rPr>
        <w:t xml:space="preserve">une </w:t>
      </w:r>
      <w:r>
        <w:rPr>
          <w:lang w:val="fr-FR"/>
        </w:rPr>
        <w:t xml:space="preserve">rubrique </w:t>
      </w:r>
      <w:r w:rsidRPr="00494283">
        <w:rPr>
          <w:lang w:val="fr-FR"/>
        </w:rPr>
        <w:t>distincte d</w:t>
      </w:r>
      <w:r>
        <w:rPr>
          <w:lang w:val="fr-FR"/>
        </w:rPr>
        <w:t>ans</w:t>
      </w:r>
      <w:r w:rsidRPr="00494283">
        <w:rPr>
          <w:lang w:val="fr-FR"/>
        </w:rPr>
        <w:t xml:space="preserve"> la Liste des marchandises dangereuses du Règlement type de l’ONU. Des essais réalisés sur des piles de type bouton </w:t>
      </w:r>
      <w:r>
        <w:rPr>
          <w:lang w:val="fr-FR"/>
        </w:rPr>
        <w:t xml:space="preserve">emballées </w:t>
      </w:r>
      <w:r w:rsidRPr="00494283">
        <w:rPr>
          <w:lang w:val="fr-FR"/>
        </w:rPr>
        <w:t>pour un transport ont démontré l</w:t>
      </w:r>
      <w:r>
        <w:rPr>
          <w:lang w:val="fr-FR"/>
        </w:rPr>
        <w:t>eurs</w:t>
      </w:r>
      <w:r w:rsidRPr="00494283">
        <w:rPr>
          <w:lang w:val="fr-FR"/>
        </w:rPr>
        <w:t xml:space="preserve"> caractéristiques de sécurité. </w:t>
      </w:r>
      <w:r w:rsidRPr="00494283">
        <w:rPr>
          <w:lang w:val="fr-FR"/>
        </w:rPr>
        <w:lastRenderedPageBreak/>
        <w:t>Ainsi, il a été montré que dans les cas extrêmement rares d’emballement thermique (</w:t>
      </w:r>
      <w:r>
        <w:rPr>
          <w:lang w:val="fr-FR"/>
        </w:rPr>
        <w:t xml:space="preserve">tels que ceux </w:t>
      </w:r>
      <w:r w:rsidRPr="00494283">
        <w:rPr>
          <w:lang w:val="fr-FR"/>
        </w:rPr>
        <w:t xml:space="preserve">qui peuvent découler d’un court-circuit interne), les effets sont généralement circonscrits à la pile concernée et il n’y a pas de propagation du phénomène d’une pile à la </w:t>
      </w:r>
      <w:r>
        <w:rPr>
          <w:lang w:val="fr-FR"/>
        </w:rPr>
        <w:t>pile adjacente</w:t>
      </w:r>
      <w:r w:rsidRPr="00494283">
        <w:rPr>
          <w:lang w:val="fr-FR"/>
        </w:rPr>
        <w:t xml:space="preserve">. La PRBA transmettra d’autres renseignements sur ces essais dans un document informel distinct. </w:t>
      </w:r>
      <w:r>
        <w:rPr>
          <w:lang w:val="fr-FR"/>
        </w:rPr>
        <w:t xml:space="preserve">Après </w:t>
      </w:r>
      <w:r w:rsidRPr="00494283">
        <w:rPr>
          <w:lang w:val="fr-FR"/>
        </w:rPr>
        <w:t>un examen de ces résultats, même</w:t>
      </w:r>
      <w:r>
        <w:rPr>
          <w:lang w:val="fr-FR"/>
        </w:rPr>
        <w:t>s les participants à</w:t>
      </w:r>
      <w:r w:rsidRPr="00494283">
        <w:rPr>
          <w:lang w:val="fr-FR"/>
        </w:rPr>
        <w:t xml:space="preserve"> la deuxième Réunion multidisciplinaire internationale </w:t>
      </w:r>
      <w:r>
        <w:rPr>
          <w:lang w:val="fr-FR"/>
        </w:rPr>
        <w:t xml:space="preserve">sur la </w:t>
      </w:r>
      <w:r w:rsidRPr="00494283">
        <w:rPr>
          <w:lang w:val="fr-FR"/>
        </w:rPr>
        <w:t xml:space="preserve">coordination du transport des batteries au lithium de  l’OACI tenue à Cologne </w:t>
      </w:r>
      <w:r>
        <w:rPr>
          <w:lang w:val="fr-FR"/>
        </w:rPr>
        <w:t>(</w:t>
      </w:r>
      <w:r w:rsidRPr="00494283">
        <w:rPr>
          <w:lang w:val="fr-FR"/>
        </w:rPr>
        <w:t xml:space="preserve">Allemagne) en septembre 2014 </w:t>
      </w:r>
      <w:r>
        <w:rPr>
          <w:lang w:val="fr-FR"/>
        </w:rPr>
        <w:t xml:space="preserve">ont formulé </w:t>
      </w:r>
      <w:r w:rsidRPr="00494283">
        <w:rPr>
          <w:lang w:val="fr-FR"/>
        </w:rPr>
        <w:t>la conclusion et la recommandation ci-après : « </w:t>
      </w:r>
      <w:r w:rsidRPr="00A9380C">
        <w:rPr>
          <w:i/>
          <w:iCs/>
          <w:lang w:val="fr-FR"/>
        </w:rPr>
        <w:t xml:space="preserve">Les </w:t>
      </w:r>
      <w:r w:rsidRPr="00494283">
        <w:rPr>
          <w:i/>
          <w:lang w:val="fr-FR"/>
        </w:rPr>
        <w:t xml:space="preserve">piles au lithium métal de type bouton contenant une quantité </w:t>
      </w:r>
      <w:r w:rsidR="002D7034">
        <w:rPr>
          <w:i/>
          <w:lang w:val="fr-FR"/>
        </w:rPr>
        <w:t>de lithium ne dépassant pas 0,3 </w:t>
      </w:r>
      <w:r w:rsidRPr="00494283">
        <w:rPr>
          <w:i/>
          <w:lang w:val="fr-FR"/>
        </w:rPr>
        <w:t xml:space="preserve">gramme </w:t>
      </w:r>
      <w:r>
        <w:rPr>
          <w:i/>
          <w:lang w:val="fr-FR"/>
        </w:rPr>
        <w:t xml:space="preserve">ne présentent </w:t>
      </w:r>
      <w:r w:rsidRPr="007A7B6B">
        <w:rPr>
          <w:i/>
          <w:lang w:val="fr-FR"/>
        </w:rPr>
        <w:t>probablement</w:t>
      </w:r>
      <w:r>
        <w:rPr>
          <w:i/>
          <w:lang w:val="fr-FR"/>
        </w:rPr>
        <w:t xml:space="preserve"> pas </w:t>
      </w:r>
      <w:r w:rsidRPr="00494283">
        <w:rPr>
          <w:i/>
          <w:lang w:val="fr-FR"/>
        </w:rPr>
        <w:t xml:space="preserve">un danger notable et </w:t>
      </w:r>
      <w:r w:rsidRPr="0008228E">
        <w:rPr>
          <w:i/>
          <w:lang w:val="fr-FR"/>
        </w:rPr>
        <w:t>devraient</w:t>
      </w:r>
      <w:r>
        <w:rPr>
          <w:i/>
          <w:lang w:val="fr-FR"/>
        </w:rPr>
        <w:t xml:space="preserve"> être dotées d’une </w:t>
      </w:r>
      <w:r w:rsidRPr="00494283">
        <w:rPr>
          <w:i/>
          <w:lang w:val="fr-FR"/>
        </w:rPr>
        <w:t>classification ONU distincte pour faciliter les expéditions</w:t>
      </w:r>
      <w:r w:rsidR="002D7034">
        <w:rPr>
          <w:i/>
          <w:lang w:val="fr-FR"/>
        </w:rPr>
        <w:t>.</w:t>
      </w:r>
      <w:r w:rsidRPr="00494283">
        <w:rPr>
          <w:i/>
          <w:lang w:val="fr-FR"/>
        </w:rPr>
        <w:t> </w:t>
      </w:r>
      <w:r w:rsidRPr="005C37B9">
        <w:rPr>
          <w:lang w:val="fr-FR"/>
        </w:rPr>
        <w:t>»</w:t>
      </w:r>
      <w:r w:rsidRPr="00494283">
        <w:rPr>
          <w:lang w:val="fr-FR"/>
        </w:rPr>
        <w:t>.  Si le terme « classification</w:t>
      </w:r>
      <w:r w:rsidR="002D7034">
        <w:rPr>
          <w:lang w:val="fr-FR"/>
        </w:rPr>
        <w:t> »</w:t>
      </w:r>
      <w:r w:rsidRPr="00494283">
        <w:rPr>
          <w:lang w:val="fr-FR"/>
        </w:rPr>
        <w:t xml:space="preserve"> utilisé dans cette recommandation ne constitue probablement pas le meilleur choix dans le cadre du système de transport de marchandises dangereuses d</w:t>
      </w:r>
      <w:r>
        <w:rPr>
          <w:lang w:val="fr-FR"/>
        </w:rPr>
        <w:t>e l’ONU</w:t>
      </w:r>
      <w:r w:rsidRPr="00494283">
        <w:rPr>
          <w:lang w:val="fr-FR"/>
        </w:rPr>
        <w:t>, l</w:t>
      </w:r>
      <w:r>
        <w:rPr>
          <w:lang w:val="fr-FR"/>
        </w:rPr>
        <w:t>a</w:t>
      </w:r>
      <w:r w:rsidRPr="00494283">
        <w:rPr>
          <w:lang w:val="fr-FR"/>
        </w:rPr>
        <w:t xml:space="preserve"> PRBA convient qu’il est approprié d’établir une distinction réglementaire entre les piles au lithium de type bouton et </w:t>
      </w:r>
      <w:r>
        <w:rPr>
          <w:lang w:val="fr-FR"/>
        </w:rPr>
        <w:t xml:space="preserve">les </w:t>
      </w:r>
      <w:r w:rsidRPr="00494283">
        <w:rPr>
          <w:lang w:val="fr-FR"/>
        </w:rPr>
        <w:t>autres piles et batteries au lithium sur la base de cette différence bien claire en matière de risque présenté pendant le transport. Par conséquent et à cette fin, l</w:t>
      </w:r>
      <w:r>
        <w:rPr>
          <w:lang w:val="fr-FR"/>
        </w:rPr>
        <w:t>a</w:t>
      </w:r>
      <w:r w:rsidRPr="00494283">
        <w:rPr>
          <w:lang w:val="fr-FR"/>
        </w:rPr>
        <w:t xml:space="preserve"> PRBA propose dans le présent document d’apporter certaines modifications au Règlement type pour examen par le Sous-Comité. </w:t>
      </w:r>
    </w:p>
    <w:p w:rsidR="00A36028" w:rsidRPr="00494283" w:rsidRDefault="00A36028" w:rsidP="00A36028">
      <w:pPr>
        <w:pStyle w:val="ParNoG"/>
        <w:tabs>
          <w:tab w:val="clear" w:pos="1701"/>
        </w:tabs>
        <w:rPr>
          <w:lang w:val="fr-FR"/>
        </w:rPr>
      </w:pPr>
      <w:r w:rsidRPr="00494283">
        <w:rPr>
          <w:lang w:val="fr-FR"/>
        </w:rPr>
        <w:t xml:space="preserve">Les récentes modifications </w:t>
      </w:r>
      <w:r>
        <w:rPr>
          <w:lang w:val="fr-FR"/>
        </w:rPr>
        <w:t xml:space="preserve">apportées aux </w:t>
      </w:r>
      <w:r w:rsidRPr="00494283">
        <w:rPr>
          <w:lang w:val="fr-FR"/>
        </w:rPr>
        <w:t>Instructions techniques de l’OACI ont imposé des  restrictions considérables concernant le transport des batteries au lithium métal au titre des dispositions de la « </w:t>
      </w:r>
      <w:r>
        <w:rPr>
          <w:lang w:val="fr-FR"/>
        </w:rPr>
        <w:t>s</w:t>
      </w:r>
      <w:r w:rsidRPr="00494283">
        <w:rPr>
          <w:lang w:val="fr-FR"/>
        </w:rPr>
        <w:t xml:space="preserve">ection II » figurant dans l’instruction </w:t>
      </w:r>
      <w:r>
        <w:rPr>
          <w:lang w:val="fr-FR"/>
        </w:rPr>
        <w:t>d’</w:t>
      </w:r>
      <w:r w:rsidRPr="00494283">
        <w:rPr>
          <w:lang w:val="fr-FR"/>
        </w:rPr>
        <w:t>emballage des  batteries au lithium métal (</w:t>
      </w:r>
      <w:r w:rsidR="002D7034">
        <w:rPr>
          <w:lang w:val="fr-FR"/>
        </w:rPr>
        <w:t>No </w:t>
      </w:r>
      <w:r>
        <w:rPr>
          <w:lang w:val="fr-FR"/>
        </w:rPr>
        <w:t>ONU</w:t>
      </w:r>
      <w:r w:rsidR="002D7034">
        <w:rPr>
          <w:lang w:val="fr-FR"/>
        </w:rPr>
        <w:t> </w:t>
      </w:r>
      <w:r w:rsidRPr="00494283">
        <w:rPr>
          <w:lang w:val="fr-FR"/>
        </w:rPr>
        <w:t xml:space="preserve">3090). La </w:t>
      </w:r>
      <w:r>
        <w:rPr>
          <w:lang w:val="fr-FR"/>
        </w:rPr>
        <w:t>s</w:t>
      </w:r>
      <w:r w:rsidR="002D7034">
        <w:rPr>
          <w:lang w:val="fr-FR"/>
        </w:rPr>
        <w:t>ection </w:t>
      </w:r>
      <w:r w:rsidRPr="00494283">
        <w:rPr>
          <w:lang w:val="fr-FR"/>
        </w:rPr>
        <w:t xml:space="preserve">II énonce des exceptions réglementaires pour les « petites » batteries au lithium métal </w:t>
      </w:r>
      <w:r>
        <w:rPr>
          <w:lang w:val="fr-FR"/>
        </w:rPr>
        <w:t xml:space="preserve">dont la teneur en </w:t>
      </w:r>
      <w:r w:rsidRPr="00494283">
        <w:rPr>
          <w:lang w:val="fr-FR"/>
        </w:rPr>
        <w:t xml:space="preserve">lithium </w:t>
      </w:r>
      <w:r>
        <w:rPr>
          <w:lang w:val="fr-FR"/>
        </w:rPr>
        <w:t xml:space="preserve">est telle que </w:t>
      </w:r>
      <w:r w:rsidRPr="00494283">
        <w:rPr>
          <w:lang w:val="fr-FR"/>
        </w:rPr>
        <w:t>prescrit</w:t>
      </w:r>
      <w:r>
        <w:rPr>
          <w:lang w:val="fr-FR"/>
        </w:rPr>
        <w:t>e</w:t>
      </w:r>
      <w:r w:rsidRPr="00494283">
        <w:rPr>
          <w:lang w:val="fr-FR"/>
        </w:rPr>
        <w:t xml:space="preserve"> aux paragraphes a) et b) de la disposition spéciale</w:t>
      </w:r>
      <w:r w:rsidR="002D7034">
        <w:rPr>
          <w:lang w:val="fr-FR"/>
        </w:rPr>
        <w:t> </w:t>
      </w:r>
      <w:r w:rsidRPr="00494283">
        <w:rPr>
          <w:lang w:val="fr-FR"/>
        </w:rPr>
        <w:t xml:space="preserve">188 du Règlement type. Cependant, au </w:t>
      </w:r>
      <w:r w:rsidR="002D7034">
        <w:rPr>
          <w:lang w:val="fr-FR"/>
        </w:rPr>
        <w:t>contraire de la</w:t>
      </w:r>
      <w:r w:rsidRPr="00494283">
        <w:rPr>
          <w:lang w:val="fr-FR"/>
        </w:rPr>
        <w:t xml:space="preserve"> disposition spéciale</w:t>
      </w:r>
      <w:r w:rsidR="002D7034">
        <w:rPr>
          <w:lang w:val="fr-FR"/>
        </w:rPr>
        <w:t> </w:t>
      </w:r>
      <w:r w:rsidRPr="00494283">
        <w:rPr>
          <w:lang w:val="fr-FR"/>
        </w:rPr>
        <w:t xml:space="preserve">188 de l’ONU, les exemptions </w:t>
      </w:r>
      <w:r>
        <w:rPr>
          <w:lang w:val="fr-FR"/>
        </w:rPr>
        <w:t>énoncées à la s</w:t>
      </w:r>
      <w:r w:rsidRPr="00494283">
        <w:rPr>
          <w:lang w:val="fr-FR"/>
        </w:rPr>
        <w:t>ection II de l’OACI sont bien plus contraignantes. Ainsi, chaque emballage ne peut contenir plus de huit piles ou deux batteries (sauf pour celles contenant 0,3</w:t>
      </w:r>
      <w:r w:rsidR="002D7034">
        <w:rPr>
          <w:lang w:val="fr-FR"/>
        </w:rPr>
        <w:t> </w:t>
      </w:r>
      <w:r w:rsidRPr="00494283">
        <w:rPr>
          <w:lang w:val="fr-FR"/>
        </w:rPr>
        <w:t>g ou moins de lithium métal, le poids net des batteries contenues dans tout emballage ne pouvant dépasser 2,5</w:t>
      </w:r>
      <w:r w:rsidR="002D7034">
        <w:rPr>
          <w:lang w:val="fr-FR"/>
        </w:rPr>
        <w:t> </w:t>
      </w:r>
      <w:r w:rsidRPr="00494283">
        <w:rPr>
          <w:lang w:val="fr-FR"/>
        </w:rPr>
        <w:t>kg), et pas plus d’un emballage de ce type ne peut être placé dans un</w:t>
      </w:r>
      <w:r>
        <w:rPr>
          <w:lang w:val="fr-FR"/>
        </w:rPr>
        <w:t xml:space="preserve"> </w:t>
      </w:r>
      <w:r w:rsidRPr="00494283">
        <w:rPr>
          <w:lang w:val="fr-FR"/>
        </w:rPr>
        <w:t xml:space="preserve">suremballage. En plus, ce qui est particulièrement contraignant, pas plus d’un emballage relevant de la « </w:t>
      </w:r>
      <w:r>
        <w:rPr>
          <w:lang w:val="fr-FR"/>
        </w:rPr>
        <w:t>s</w:t>
      </w:r>
      <w:r w:rsidRPr="00494283">
        <w:rPr>
          <w:lang w:val="fr-FR"/>
        </w:rPr>
        <w:t xml:space="preserve">ection II » ne peut être transporté dans </w:t>
      </w:r>
      <w:r>
        <w:rPr>
          <w:lang w:val="fr-FR"/>
        </w:rPr>
        <w:t xml:space="preserve">un </w:t>
      </w:r>
      <w:r w:rsidRPr="00494283">
        <w:rPr>
          <w:lang w:val="fr-FR"/>
        </w:rPr>
        <w:t xml:space="preserve">colis. Ces restrictions très strictes sont principalement fondées sur la </w:t>
      </w:r>
      <w:r>
        <w:rPr>
          <w:lang w:val="fr-FR"/>
        </w:rPr>
        <w:t>crainte</w:t>
      </w:r>
      <w:r w:rsidRPr="00494283">
        <w:rPr>
          <w:lang w:val="fr-FR"/>
        </w:rPr>
        <w:t xml:space="preserve"> selon laquelle si une seule pile subit un emballement thermique, le phénomène se propagera de façon non contrôlée dans </w:t>
      </w:r>
      <w:r w:rsidRPr="00494283">
        <w:rPr>
          <w:lang w:val="fr-FR" w:eastAsia="en-GB"/>
        </w:rPr>
        <w:t>l’ensemble</w:t>
      </w:r>
      <w:r w:rsidRPr="00494283">
        <w:rPr>
          <w:lang w:val="fr-FR"/>
        </w:rPr>
        <w:t xml:space="preserve"> de l’emballage, ainsi que dans tous les emballages adjacents relevant de la </w:t>
      </w:r>
      <w:r>
        <w:rPr>
          <w:lang w:val="fr-FR"/>
        </w:rPr>
        <w:t>s</w:t>
      </w:r>
      <w:r w:rsidRPr="00494283">
        <w:rPr>
          <w:lang w:val="fr-FR"/>
        </w:rPr>
        <w:t xml:space="preserve">ection II. Toutefois, ainsi qu’il a été dit précédemment, </w:t>
      </w:r>
      <w:r>
        <w:rPr>
          <w:lang w:val="fr-FR"/>
        </w:rPr>
        <w:t>l</w:t>
      </w:r>
      <w:r w:rsidRPr="00494283">
        <w:rPr>
          <w:lang w:val="fr-FR"/>
        </w:rPr>
        <w:t xml:space="preserve">es essais ont montré que ce risque de propagation n’apparaît pas dans les emballages de piles de type bouton.  </w:t>
      </w:r>
    </w:p>
    <w:p w:rsidR="00A36028" w:rsidRPr="00494283" w:rsidRDefault="00A36028" w:rsidP="00A36028">
      <w:pPr>
        <w:pStyle w:val="ParNoG"/>
        <w:tabs>
          <w:tab w:val="clear" w:pos="1701"/>
        </w:tabs>
        <w:rPr>
          <w:lang w:val="fr-FR"/>
        </w:rPr>
      </w:pPr>
      <w:r w:rsidRPr="00494283">
        <w:rPr>
          <w:lang w:val="fr-FR"/>
        </w:rPr>
        <w:t>En conséquence, pour offrir un mécanisme permettant de réglementer adéquatement les piles au lithium métal de type bouton en prenant en compte le risque différent qu’elles présentent par rapport aux autres piles et batteries au lithium métal, l</w:t>
      </w:r>
      <w:r>
        <w:rPr>
          <w:lang w:val="fr-FR"/>
        </w:rPr>
        <w:t>a</w:t>
      </w:r>
      <w:r w:rsidRPr="00494283">
        <w:rPr>
          <w:lang w:val="fr-FR"/>
        </w:rPr>
        <w:t xml:space="preserve"> PRBA propose que le Sous-Comité adopte une nouvelle rubrique portant un numéro ONU distinct pour incorporation dans la Liste des marchandises </w:t>
      </w:r>
      <w:r w:rsidR="002D7034">
        <w:rPr>
          <w:lang w:val="fr-FR"/>
        </w:rPr>
        <w:t xml:space="preserve">dangereuses du Règlement type. </w:t>
      </w:r>
      <w:r w:rsidRPr="00494283">
        <w:rPr>
          <w:lang w:val="fr-FR"/>
        </w:rPr>
        <w:t>En effet, cette nouvelle rubrique constituerait la « classification ONU distincte visant à faciliter l</w:t>
      </w:r>
      <w:r>
        <w:rPr>
          <w:lang w:val="fr-FR"/>
        </w:rPr>
        <w:t>’</w:t>
      </w:r>
      <w:r w:rsidRPr="00494283">
        <w:rPr>
          <w:lang w:val="fr-FR"/>
        </w:rPr>
        <w:t>expédition » des piles au lithium métal de type bouton, comme l’</w:t>
      </w:r>
      <w:r>
        <w:rPr>
          <w:lang w:val="fr-FR"/>
        </w:rPr>
        <w:t xml:space="preserve">ont </w:t>
      </w:r>
      <w:r w:rsidRPr="00494283">
        <w:rPr>
          <w:lang w:val="fr-FR"/>
        </w:rPr>
        <w:t xml:space="preserve">recommandé </w:t>
      </w:r>
      <w:r>
        <w:rPr>
          <w:lang w:val="fr-FR"/>
        </w:rPr>
        <w:t xml:space="preserve">les participants à </w:t>
      </w:r>
      <w:r w:rsidRPr="00494283">
        <w:rPr>
          <w:lang w:val="fr-FR"/>
        </w:rPr>
        <w:t>la Réunion multidisciplinaire de l’OACI. L</w:t>
      </w:r>
      <w:r>
        <w:rPr>
          <w:lang w:val="fr-FR"/>
        </w:rPr>
        <w:t>a</w:t>
      </w:r>
      <w:r w:rsidRPr="00494283">
        <w:rPr>
          <w:lang w:val="fr-FR"/>
        </w:rPr>
        <w:t xml:space="preserve"> PRBA note qu’il existe un précédent bien clair </w:t>
      </w:r>
      <w:r w:rsidRPr="00D5058C">
        <w:rPr>
          <w:lang w:val="fr-FR"/>
        </w:rPr>
        <w:t>concernant</w:t>
      </w:r>
      <w:r>
        <w:rPr>
          <w:lang w:val="fr-FR"/>
        </w:rPr>
        <w:t xml:space="preserve"> </w:t>
      </w:r>
      <w:r w:rsidRPr="00494283">
        <w:rPr>
          <w:lang w:val="fr-FR"/>
        </w:rPr>
        <w:t xml:space="preserve">l’adoption de nouvelles rubriques </w:t>
      </w:r>
      <w:r>
        <w:rPr>
          <w:lang w:val="fr-FR"/>
        </w:rPr>
        <w:t xml:space="preserve">pour </w:t>
      </w:r>
      <w:r w:rsidRPr="00494283">
        <w:rPr>
          <w:lang w:val="fr-FR"/>
        </w:rPr>
        <w:t xml:space="preserve">répondre aux besoins et problèmes particuliers liés aux règlements s’appliquant aux différents modes. Citons </w:t>
      </w:r>
      <w:r>
        <w:rPr>
          <w:lang w:val="fr-FR"/>
        </w:rPr>
        <w:t xml:space="preserve">par </w:t>
      </w:r>
      <w:r w:rsidRPr="00494283">
        <w:rPr>
          <w:lang w:val="fr-FR"/>
        </w:rPr>
        <w:t>exemple la récente adoption d</w:t>
      </w:r>
      <w:r>
        <w:rPr>
          <w:lang w:val="fr-FR"/>
        </w:rPr>
        <w:t xml:space="preserve">u </w:t>
      </w:r>
      <w:r w:rsidR="002D7034">
        <w:rPr>
          <w:lang w:val="fr-FR"/>
        </w:rPr>
        <w:t>No ONU </w:t>
      </w:r>
      <w:r w:rsidRPr="00494283">
        <w:rPr>
          <w:lang w:val="fr-FR"/>
        </w:rPr>
        <w:t>3496 (« Piles au nickel-hydrure métallique ») pour prendre en compte les préoccupations particulières suscitées par ces batteries dans les transports maritimes</w:t>
      </w:r>
      <w:r>
        <w:rPr>
          <w:lang w:val="fr-FR"/>
        </w:rPr>
        <w:t xml:space="preserve">. Citons aussi </w:t>
      </w:r>
      <w:r w:rsidRPr="00494283">
        <w:rPr>
          <w:lang w:val="fr-FR"/>
        </w:rPr>
        <w:t xml:space="preserve">l’adoption d’une rubrique distincte pour les </w:t>
      </w:r>
      <w:r w:rsidRPr="00494283">
        <w:rPr>
          <w:color w:val="000000"/>
          <w:lang w:val="fr-FR"/>
        </w:rPr>
        <w:t>piles et batteries au lithium ionique</w:t>
      </w:r>
      <w:r w:rsidR="002D7034">
        <w:rPr>
          <w:rStyle w:val="apple-converted-space"/>
          <w:color w:val="000000"/>
          <w:sz w:val="27"/>
          <w:szCs w:val="27"/>
          <w:lang w:val="fr-FR"/>
        </w:rPr>
        <w:t xml:space="preserve"> </w:t>
      </w:r>
      <w:r w:rsidRPr="00494283">
        <w:rPr>
          <w:lang w:val="fr-FR"/>
        </w:rPr>
        <w:t>(</w:t>
      </w:r>
      <w:r w:rsidR="002D7034">
        <w:rPr>
          <w:lang w:val="fr-FR"/>
        </w:rPr>
        <w:t>No ONU </w:t>
      </w:r>
      <w:r w:rsidRPr="00494283">
        <w:rPr>
          <w:lang w:val="fr-FR"/>
        </w:rPr>
        <w:t xml:space="preserve">3480) </w:t>
      </w:r>
      <w:r>
        <w:rPr>
          <w:lang w:val="fr-FR"/>
        </w:rPr>
        <w:t xml:space="preserve">en raison des </w:t>
      </w:r>
      <w:r w:rsidRPr="00494283">
        <w:rPr>
          <w:lang w:val="fr-FR"/>
        </w:rPr>
        <w:t>inquiétudes liées principalement au mode aérien</w:t>
      </w:r>
      <w:r>
        <w:rPr>
          <w:lang w:val="fr-FR"/>
        </w:rPr>
        <w:t xml:space="preserve">, le but étant </w:t>
      </w:r>
      <w:r w:rsidRPr="00494283">
        <w:rPr>
          <w:lang w:val="fr-FR"/>
        </w:rPr>
        <w:t xml:space="preserve">de les différencier des batteries au lithium métal </w:t>
      </w:r>
      <w:r w:rsidRPr="00494283">
        <w:rPr>
          <w:lang w:val="fr-FR"/>
        </w:rPr>
        <w:lastRenderedPageBreak/>
        <w:t>et d’appliquer les contrôles réglementaires adéquats pour tenir</w:t>
      </w:r>
      <w:r w:rsidR="002D7034">
        <w:rPr>
          <w:lang w:val="fr-FR"/>
        </w:rPr>
        <w:t xml:space="preserve"> compte des risques variables.</w:t>
      </w:r>
    </w:p>
    <w:p w:rsidR="00A36028" w:rsidRPr="00494283" w:rsidRDefault="00A36028" w:rsidP="00A36028">
      <w:pPr>
        <w:pStyle w:val="ParNoG"/>
        <w:tabs>
          <w:tab w:val="clear" w:pos="1701"/>
        </w:tabs>
        <w:rPr>
          <w:lang w:val="fr-FR"/>
        </w:rPr>
      </w:pPr>
      <w:r w:rsidRPr="00494283">
        <w:rPr>
          <w:lang w:val="fr-FR"/>
        </w:rPr>
        <w:t>De plus, le Sous-Comité est précédemment convenu que les très petits condensateurs (</w:t>
      </w:r>
      <w:r w:rsidR="002D7034">
        <w:rPr>
          <w:lang w:val="fr-FR"/>
        </w:rPr>
        <w:t>Nos ONU </w:t>
      </w:r>
      <w:r w:rsidRPr="00494283">
        <w:rPr>
          <w:lang w:val="fr-FR"/>
        </w:rPr>
        <w:t>3499 et 3508) d’une énergie nominale exprimée en wattheures inférieure à 0,3</w:t>
      </w:r>
      <w:r w:rsidR="002D7034">
        <w:rPr>
          <w:lang w:val="fr-FR"/>
        </w:rPr>
        <w:t> </w:t>
      </w:r>
      <w:r w:rsidRPr="00494283">
        <w:rPr>
          <w:lang w:val="fr-FR"/>
        </w:rPr>
        <w:t>Wh devraient être complètement exemptés au regard du Règlement type en raison des risques très limités présentés pour le transport.  Les piles de type bouton définis dans le Manuel d</w:t>
      </w:r>
      <w:r>
        <w:rPr>
          <w:lang w:val="fr-FR"/>
        </w:rPr>
        <w:t>’</w:t>
      </w:r>
      <w:r w:rsidRPr="00494283">
        <w:rPr>
          <w:lang w:val="fr-FR"/>
        </w:rPr>
        <w:t>épreuves et de critères contenant moins de 0,3</w:t>
      </w:r>
      <w:r w:rsidR="002D7034">
        <w:rPr>
          <w:lang w:val="fr-FR"/>
        </w:rPr>
        <w:t> </w:t>
      </w:r>
      <w:r w:rsidRPr="00494283">
        <w:rPr>
          <w:lang w:val="fr-FR"/>
        </w:rPr>
        <w:t>gramme de lithium métal relèvent d’une catégorie très similaire. Ces questions de sécurité sont expliquées de façon plus détaillée dans le document informel de la PRBA.</w:t>
      </w:r>
    </w:p>
    <w:p w:rsidR="00A36028" w:rsidRPr="00494283" w:rsidRDefault="00A36028" w:rsidP="00A36028">
      <w:pPr>
        <w:pStyle w:val="ParNoG"/>
        <w:tabs>
          <w:tab w:val="clear" w:pos="1701"/>
        </w:tabs>
        <w:rPr>
          <w:lang w:val="fr-FR"/>
        </w:rPr>
      </w:pPr>
      <w:r w:rsidRPr="00494283">
        <w:rPr>
          <w:lang w:val="fr-FR"/>
        </w:rPr>
        <w:t xml:space="preserve">Aux fins du Règlement type, la nouvelle rubrique </w:t>
      </w:r>
      <w:r>
        <w:rPr>
          <w:lang w:val="fr-FR"/>
        </w:rPr>
        <w:t xml:space="preserve">refléterait </w:t>
      </w:r>
      <w:r w:rsidRPr="00494283">
        <w:rPr>
          <w:lang w:val="fr-FR"/>
        </w:rPr>
        <w:t xml:space="preserve">en général la rubrique actuelle </w:t>
      </w:r>
      <w:r w:rsidR="002D7034">
        <w:rPr>
          <w:lang w:val="fr-FR"/>
        </w:rPr>
        <w:t>No ONU </w:t>
      </w:r>
      <w:r w:rsidRPr="00494283">
        <w:rPr>
          <w:lang w:val="fr-FR"/>
        </w:rPr>
        <w:t xml:space="preserve">3090 concernant les piles au lithium métal s’agissant de la classification, de l’étiquetage, de l’emballage, des exemptions </w:t>
      </w:r>
      <w:r>
        <w:rPr>
          <w:lang w:val="fr-FR"/>
        </w:rPr>
        <w:t>prévues dans la d</w:t>
      </w:r>
      <w:r w:rsidR="002D7034">
        <w:rPr>
          <w:lang w:val="fr-FR"/>
        </w:rPr>
        <w:t>isposition spéciale </w:t>
      </w:r>
      <w:r w:rsidRPr="00494283">
        <w:rPr>
          <w:lang w:val="fr-FR"/>
        </w:rPr>
        <w:t xml:space="preserve">188 et d’autres prescriptions. Pour autant, une fois établi, le nouveau numéro ONU peut être utilisé par le Groupe d’experts sur les marchandises dangereuses de l’OACI  </w:t>
      </w:r>
      <w:r>
        <w:rPr>
          <w:lang w:val="fr-FR"/>
        </w:rPr>
        <w:t>afin d’</w:t>
      </w:r>
      <w:r w:rsidRPr="00494283">
        <w:rPr>
          <w:lang w:val="fr-FR"/>
        </w:rPr>
        <w:t>imposer des prescriptions d’emballage, des exemptions réglementaires et des contrôles opérationnels pour les piles au lithium métal de type bouton</w:t>
      </w:r>
      <w:r>
        <w:rPr>
          <w:lang w:val="fr-FR"/>
        </w:rPr>
        <w:t>,</w:t>
      </w:r>
      <w:r w:rsidRPr="00494283">
        <w:rPr>
          <w:lang w:val="fr-FR"/>
        </w:rPr>
        <w:t xml:space="preserve"> </w:t>
      </w:r>
      <w:r>
        <w:rPr>
          <w:lang w:val="fr-FR"/>
        </w:rPr>
        <w:t xml:space="preserve">en </w:t>
      </w:r>
      <w:r w:rsidRPr="005E65AA">
        <w:rPr>
          <w:lang w:val="fr-FR"/>
        </w:rPr>
        <w:t>fonction</w:t>
      </w:r>
      <w:r>
        <w:rPr>
          <w:lang w:val="fr-FR"/>
        </w:rPr>
        <w:t xml:space="preserve"> d</w:t>
      </w:r>
      <w:r w:rsidRPr="00494283">
        <w:rPr>
          <w:lang w:val="fr-FR"/>
        </w:rPr>
        <w:t xml:space="preserve">u risque présenté pour le transport aérien </w:t>
      </w:r>
      <w:r>
        <w:rPr>
          <w:lang w:val="fr-FR"/>
        </w:rPr>
        <w:t xml:space="preserve">et </w:t>
      </w:r>
      <w:r w:rsidRPr="00494283">
        <w:rPr>
          <w:lang w:val="fr-FR"/>
        </w:rPr>
        <w:t xml:space="preserve">en comparaison avec d’autres types de piles et </w:t>
      </w:r>
      <w:r>
        <w:rPr>
          <w:lang w:val="fr-FR"/>
        </w:rPr>
        <w:t xml:space="preserve">de </w:t>
      </w:r>
      <w:r w:rsidRPr="00494283">
        <w:rPr>
          <w:lang w:val="fr-FR"/>
        </w:rPr>
        <w:t xml:space="preserve">batteries au lithium métal. Il n’est pas jugé nécessaire de </w:t>
      </w:r>
      <w:r w:rsidRPr="005E65AA">
        <w:rPr>
          <w:lang w:val="fr-FR"/>
        </w:rPr>
        <w:t xml:space="preserve">créer une rubrique distincte pour les piles au lithium métal de type bouton contenues </w:t>
      </w:r>
      <w:r w:rsidRPr="005E65AA">
        <w:rPr>
          <w:color w:val="000000"/>
          <w:lang w:val="fr-FR"/>
        </w:rPr>
        <w:t>dans ou emballées avec un équipement</w:t>
      </w:r>
      <w:r w:rsidRPr="005E65AA">
        <w:rPr>
          <w:lang w:val="fr-FR"/>
        </w:rPr>
        <w:t>, ces emballages continu</w:t>
      </w:r>
      <w:r>
        <w:rPr>
          <w:lang w:val="fr-FR"/>
        </w:rPr>
        <w:t xml:space="preserve">ant </w:t>
      </w:r>
      <w:r w:rsidRPr="00494283">
        <w:rPr>
          <w:lang w:val="fr-FR"/>
        </w:rPr>
        <w:t xml:space="preserve">d’être visés par la rubrique </w:t>
      </w:r>
      <w:r w:rsidR="002D7034">
        <w:rPr>
          <w:lang w:val="fr-FR"/>
        </w:rPr>
        <w:t>No ONU </w:t>
      </w:r>
      <w:r w:rsidRPr="00494283">
        <w:rPr>
          <w:lang w:val="fr-FR"/>
        </w:rPr>
        <w:t xml:space="preserve">3091.  </w:t>
      </w:r>
    </w:p>
    <w:p w:rsidR="00A36028" w:rsidRPr="00494283" w:rsidRDefault="00A36028" w:rsidP="00A36028">
      <w:pPr>
        <w:pStyle w:val="ParNoG"/>
        <w:tabs>
          <w:tab w:val="clear" w:pos="1701"/>
        </w:tabs>
        <w:rPr>
          <w:lang w:val="fr-FR"/>
        </w:rPr>
      </w:pPr>
      <w:r w:rsidRPr="00494283">
        <w:rPr>
          <w:lang w:val="fr-FR"/>
        </w:rPr>
        <w:t>Compte tenu de ce qui précède, le Sous-Comité est invité à examiner les propositions ci-après.</w:t>
      </w:r>
    </w:p>
    <w:p w:rsidR="00A36028" w:rsidRPr="00494283" w:rsidRDefault="00A36028" w:rsidP="00A36028">
      <w:pPr>
        <w:pStyle w:val="HChG"/>
        <w:rPr>
          <w:lang w:val="fr-FR"/>
        </w:rPr>
      </w:pPr>
      <w:r w:rsidRPr="00494283">
        <w:rPr>
          <w:lang w:val="fr-FR"/>
        </w:rPr>
        <w:tab/>
      </w:r>
      <w:r w:rsidRPr="00494283">
        <w:rPr>
          <w:lang w:val="fr-FR"/>
        </w:rPr>
        <w:tab/>
        <w:t>Propositions</w:t>
      </w:r>
    </w:p>
    <w:p w:rsidR="00A36028" w:rsidRPr="00494283" w:rsidRDefault="00A36028" w:rsidP="00A36028">
      <w:pPr>
        <w:pStyle w:val="ParNoG"/>
        <w:tabs>
          <w:tab w:val="clear" w:pos="1701"/>
        </w:tabs>
        <w:rPr>
          <w:lang w:val="fr-FR"/>
        </w:rPr>
      </w:pPr>
      <w:r w:rsidRPr="00494283">
        <w:rPr>
          <w:lang w:val="fr-FR"/>
        </w:rPr>
        <w:t>Ajouter une nouvelle rubrique à la Liste des marchandi</w:t>
      </w:r>
      <w:r w:rsidR="002D7034">
        <w:rPr>
          <w:lang w:val="fr-FR"/>
        </w:rPr>
        <w:t>ses du chapitre 3.2 comme suit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5"/>
        <w:gridCol w:w="1484"/>
        <w:gridCol w:w="700"/>
        <w:gridCol w:w="840"/>
        <w:gridCol w:w="910"/>
        <w:gridCol w:w="756"/>
        <w:gridCol w:w="489"/>
        <w:gridCol w:w="531"/>
        <w:gridCol w:w="925"/>
        <w:gridCol w:w="796"/>
        <w:gridCol w:w="18"/>
        <w:gridCol w:w="816"/>
        <w:gridCol w:w="739"/>
      </w:tblGrid>
      <w:tr w:rsidR="008E394E" w:rsidRPr="002D7034" w:rsidTr="008E394E">
        <w:trPr>
          <w:cantSplit/>
          <w:tblHeader/>
        </w:trPr>
        <w:tc>
          <w:tcPr>
            <w:tcW w:w="635" w:type="dxa"/>
            <w:vMerge w:val="restart"/>
            <w:shd w:val="clear" w:color="auto" w:fill="auto"/>
            <w:vAlign w:val="center"/>
          </w:tcPr>
          <w:p w:rsidR="00A36028" w:rsidRPr="002D7034" w:rsidRDefault="002D7034" w:rsidP="0043481A">
            <w:pPr>
              <w:spacing w:before="60" w:after="60" w:line="200" w:lineRule="exact"/>
              <w:ind w:left="57" w:right="57"/>
              <w:jc w:val="center"/>
              <w:rPr>
                <w:b/>
                <w:sz w:val="15"/>
                <w:szCs w:val="15"/>
                <w:lang w:val="fr-FR"/>
              </w:rPr>
            </w:pPr>
            <w:r w:rsidRPr="002D7034">
              <w:rPr>
                <w:rFonts w:eastAsia="SimSun"/>
                <w:b/>
                <w:sz w:val="15"/>
                <w:szCs w:val="15"/>
                <w:lang w:val="fr-FR" w:eastAsia="zh-CN"/>
              </w:rPr>
              <w:t>No </w:t>
            </w:r>
            <w:r w:rsidR="0043481A">
              <w:rPr>
                <w:rFonts w:eastAsia="SimSun"/>
                <w:b/>
                <w:sz w:val="15"/>
                <w:szCs w:val="15"/>
                <w:lang w:val="fr-FR" w:eastAsia="zh-CN"/>
              </w:rPr>
              <w:t xml:space="preserve"> </w:t>
            </w:r>
            <w:r w:rsidR="0043481A">
              <w:rPr>
                <w:rFonts w:eastAsia="SimSun"/>
                <w:b/>
                <w:sz w:val="15"/>
                <w:szCs w:val="15"/>
                <w:lang w:val="fr-FR" w:eastAsia="zh-CN"/>
              </w:rPr>
              <w:br/>
            </w:r>
            <w:r w:rsidR="00A36028" w:rsidRPr="002D7034">
              <w:rPr>
                <w:rFonts w:eastAsia="SimSun"/>
                <w:b/>
                <w:sz w:val="15"/>
                <w:szCs w:val="15"/>
                <w:lang w:val="fr-FR" w:eastAsia="zh-CN"/>
              </w:rPr>
              <w:t>ONU</w:t>
            </w:r>
          </w:p>
        </w:tc>
        <w:tc>
          <w:tcPr>
            <w:tcW w:w="1484" w:type="dxa"/>
            <w:vMerge w:val="restart"/>
            <w:shd w:val="clear" w:color="auto" w:fill="auto"/>
            <w:vAlign w:val="center"/>
          </w:tcPr>
          <w:p w:rsidR="00A36028" w:rsidRPr="002D7034" w:rsidRDefault="00A36028" w:rsidP="002D7034">
            <w:pPr>
              <w:spacing w:before="60" w:after="60" w:line="200" w:lineRule="exact"/>
              <w:ind w:left="57" w:right="57"/>
              <w:jc w:val="center"/>
              <w:rPr>
                <w:b/>
                <w:sz w:val="15"/>
                <w:szCs w:val="15"/>
                <w:lang w:val="fr-FR"/>
              </w:rPr>
            </w:pPr>
            <w:r w:rsidRPr="002D7034">
              <w:rPr>
                <w:b/>
                <w:sz w:val="15"/>
                <w:szCs w:val="15"/>
                <w:lang w:val="fr-FR"/>
              </w:rPr>
              <w:t>Nom et description</w:t>
            </w:r>
          </w:p>
        </w:tc>
        <w:tc>
          <w:tcPr>
            <w:tcW w:w="700" w:type="dxa"/>
            <w:vMerge w:val="restart"/>
            <w:shd w:val="clear" w:color="auto" w:fill="auto"/>
            <w:vAlign w:val="center"/>
          </w:tcPr>
          <w:p w:rsidR="00A36028" w:rsidRPr="002D7034" w:rsidRDefault="00A36028" w:rsidP="002D7034">
            <w:pPr>
              <w:spacing w:before="60" w:after="60" w:line="200" w:lineRule="exact"/>
              <w:ind w:left="57" w:right="57"/>
              <w:jc w:val="center"/>
              <w:rPr>
                <w:b/>
                <w:sz w:val="15"/>
                <w:szCs w:val="15"/>
                <w:lang w:val="fr-FR"/>
              </w:rPr>
            </w:pPr>
            <w:r w:rsidRPr="002D7034">
              <w:rPr>
                <w:b/>
                <w:sz w:val="15"/>
                <w:szCs w:val="15"/>
                <w:lang w:val="fr-FR"/>
              </w:rPr>
              <w:t xml:space="preserve">Classe </w:t>
            </w:r>
            <w:r w:rsidR="0043481A">
              <w:rPr>
                <w:b/>
                <w:sz w:val="15"/>
                <w:szCs w:val="15"/>
                <w:lang w:val="fr-FR"/>
              </w:rPr>
              <w:br/>
              <w:t xml:space="preserve">ou </w:t>
            </w:r>
            <w:r w:rsidR="0043481A">
              <w:rPr>
                <w:b/>
                <w:sz w:val="15"/>
                <w:szCs w:val="15"/>
                <w:lang w:val="fr-FR"/>
              </w:rPr>
              <w:br/>
            </w:r>
            <w:r w:rsidRPr="002D7034">
              <w:rPr>
                <w:b/>
                <w:sz w:val="15"/>
                <w:szCs w:val="15"/>
                <w:lang w:val="fr-FR"/>
              </w:rPr>
              <w:t>division</w:t>
            </w:r>
          </w:p>
        </w:tc>
        <w:tc>
          <w:tcPr>
            <w:tcW w:w="840" w:type="dxa"/>
            <w:vMerge w:val="restart"/>
            <w:shd w:val="clear" w:color="auto" w:fill="auto"/>
            <w:vAlign w:val="center"/>
          </w:tcPr>
          <w:p w:rsidR="00A36028" w:rsidRPr="002D7034" w:rsidRDefault="002D7034" w:rsidP="002D7034">
            <w:pPr>
              <w:spacing w:before="60" w:after="60" w:line="200" w:lineRule="exact"/>
              <w:ind w:left="57" w:right="57"/>
              <w:jc w:val="center"/>
              <w:rPr>
                <w:b/>
                <w:sz w:val="15"/>
                <w:szCs w:val="15"/>
                <w:lang w:val="fr-FR"/>
              </w:rPr>
            </w:pPr>
            <w:r>
              <w:rPr>
                <w:b/>
                <w:sz w:val="15"/>
                <w:szCs w:val="15"/>
                <w:lang w:val="fr-FR"/>
              </w:rPr>
              <w:t>Risque subsi</w:t>
            </w:r>
            <w:r w:rsidR="00A36028" w:rsidRPr="002D7034">
              <w:rPr>
                <w:b/>
                <w:sz w:val="15"/>
                <w:szCs w:val="15"/>
                <w:lang w:val="fr-FR"/>
              </w:rPr>
              <w:t>diaire</w:t>
            </w:r>
          </w:p>
        </w:tc>
        <w:tc>
          <w:tcPr>
            <w:tcW w:w="910" w:type="dxa"/>
            <w:vMerge w:val="restart"/>
            <w:shd w:val="clear" w:color="auto" w:fill="auto"/>
            <w:vAlign w:val="center"/>
          </w:tcPr>
          <w:p w:rsidR="00A36028" w:rsidRPr="002D7034" w:rsidRDefault="002D7034" w:rsidP="002D7034">
            <w:pPr>
              <w:spacing w:before="60" w:after="60" w:line="200" w:lineRule="exact"/>
              <w:ind w:left="57" w:right="57"/>
              <w:jc w:val="center"/>
              <w:rPr>
                <w:b/>
                <w:sz w:val="15"/>
                <w:szCs w:val="15"/>
                <w:lang w:val="fr-FR"/>
              </w:rPr>
            </w:pPr>
            <w:r w:rsidRPr="002D7034">
              <w:rPr>
                <w:b/>
                <w:sz w:val="15"/>
                <w:szCs w:val="15"/>
                <w:lang w:val="fr-FR"/>
              </w:rPr>
              <w:t>Groupe d’embal</w:t>
            </w:r>
            <w:r w:rsidR="00A36028" w:rsidRPr="002D7034">
              <w:rPr>
                <w:b/>
                <w:sz w:val="15"/>
                <w:szCs w:val="15"/>
                <w:lang w:val="fr-FR"/>
              </w:rPr>
              <w:t>lage</w:t>
            </w:r>
          </w:p>
        </w:tc>
        <w:tc>
          <w:tcPr>
            <w:tcW w:w="756" w:type="dxa"/>
            <w:vMerge w:val="restart"/>
            <w:shd w:val="clear" w:color="auto" w:fill="auto"/>
            <w:vAlign w:val="center"/>
          </w:tcPr>
          <w:p w:rsidR="00A36028" w:rsidRPr="002D7034" w:rsidRDefault="00A36028" w:rsidP="002D7034">
            <w:pPr>
              <w:spacing w:before="60" w:after="60" w:line="200" w:lineRule="exact"/>
              <w:ind w:left="57" w:right="57"/>
              <w:jc w:val="center"/>
              <w:rPr>
                <w:b/>
                <w:sz w:val="15"/>
                <w:szCs w:val="15"/>
                <w:lang w:val="fr-FR"/>
              </w:rPr>
            </w:pPr>
            <w:r w:rsidRPr="002D7034">
              <w:rPr>
                <w:b/>
                <w:sz w:val="15"/>
                <w:szCs w:val="15"/>
                <w:lang w:val="fr-FR"/>
              </w:rPr>
              <w:t>Disposi-tions spéciales</w:t>
            </w:r>
          </w:p>
        </w:tc>
        <w:tc>
          <w:tcPr>
            <w:tcW w:w="1020" w:type="dxa"/>
            <w:gridSpan w:val="2"/>
            <w:vMerge w:val="restart"/>
            <w:shd w:val="clear" w:color="auto" w:fill="auto"/>
            <w:vAlign w:val="center"/>
          </w:tcPr>
          <w:p w:rsidR="00A36028" w:rsidRPr="002D7034" w:rsidRDefault="00A36028" w:rsidP="002D7034">
            <w:pPr>
              <w:spacing w:before="60" w:after="60" w:line="200" w:lineRule="exact"/>
              <w:ind w:left="57" w:right="57"/>
              <w:jc w:val="center"/>
              <w:rPr>
                <w:rFonts w:eastAsia="SimSun"/>
                <w:b/>
                <w:sz w:val="15"/>
                <w:szCs w:val="15"/>
                <w:lang w:val="fr-FR" w:eastAsia="zh-CN"/>
              </w:rPr>
            </w:pPr>
            <w:r w:rsidRPr="002D7034">
              <w:rPr>
                <w:rFonts w:eastAsia="SimSun"/>
                <w:b/>
                <w:sz w:val="15"/>
                <w:szCs w:val="15"/>
                <w:lang w:val="fr-FR" w:eastAsia="zh-CN"/>
              </w:rPr>
              <w:t>Quantités</w:t>
            </w:r>
            <w:r w:rsidR="002D7034">
              <w:rPr>
                <w:rFonts w:eastAsia="SimSun"/>
                <w:b/>
                <w:sz w:val="15"/>
                <w:szCs w:val="15"/>
                <w:lang w:val="fr-FR" w:eastAsia="zh-CN"/>
              </w:rPr>
              <w:t xml:space="preserve"> </w:t>
            </w:r>
            <w:r w:rsidR="002D7034">
              <w:rPr>
                <w:rFonts w:eastAsia="SimSun"/>
                <w:b/>
                <w:sz w:val="15"/>
                <w:szCs w:val="15"/>
                <w:lang w:val="fr-FR" w:eastAsia="zh-CN"/>
              </w:rPr>
              <w:br/>
            </w:r>
            <w:r w:rsidRPr="002D7034">
              <w:rPr>
                <w:rFonts w:eastAsia="SimSun"/>
                <w:b/>
                <w:sz w:val="15"/>
                <w:szCs w:val="15"/>
                <w:lang w:val="fr-FR" w:eastAsia="zh-CN"/>
              </w:rPr>
              <w:t>limitées et</w:t>
            </w:r>
            <w:r w:rsidR="002D7034">
              <w:rPr>
                <w:rFonts w:eastAsia="SimSun"/>
                <w:b/>
                <w:sz w:val="15"/>
                <w:szCs w:val="15"/>
                <w:lang w:val="fr-FR" w:eastAsia="zh-CN"/>
              </w:rPr>
              <w:t> </w:t>
            </w:r>
            <w:r w:rsidRPr="002D7034">
              <w:rPr>
                <w:rFonts w:eastAsia="SimSun"/>
                <w:b/>
                <w:sz w:val="15"/>
                <w:szCs w:val="15"/>
                <w:lang w:val="fr-FR" w:eastAsia="zh-CN"/>
              </w:rPr>
              <w:t>quantités exceptées</w:t>
            </w:r>
          </w:p>
        </w:tc>
        <w:tc>
          <w:tcPr>
            <w:tcW w:w="1721" w:type="dxa"/>
            <w:gridSpan w:val="2"/>
            <w:shd w:val="clear" w:color="auto" w:fill="auto"/>
            <w:vAlign w:val="center"/>
          </w:tcPr>
          <w:p w:rsidR="00A36028" w:rsidRPr="002D7034" w:rsidRDefault="00A36028" w:rsidP="002D7034">
            <w:pPr>
              <w:spacing w:before="60" w:after="60" w:line="200" w:lineRule="exact"/>
              <w:ind w:left="57" w:right="57"/>
              <w:jc w:val="center"/>
              <w:rPr>
                <w:b/>
                <w:sz w:val="15"/>
                <w:szCs w:val="15"/>
                <w:lang w:val="fr-FR"/>
              </w:rPr>
            </w:pPr>
            <w:r w:rsidRPr="002D7034">
              <w:rPr>
                <w:rFonts w:eastAsia="SimSun"/>
                <w:b/>
                <w:sz w:val="15"/>
                <w:szCs w:val="15"/>
                <w:lang w:val="fr-FR" w:eastAsia="zh-CN"/>
              </w:rPr>
              <w:t>Emballages et GRV</w:t>
            </w:r>
          </w:p>
        </w:tc>
        <w:tc>
          <w:tcPr>
            <w:tcW w:w="1573" w:type="dxa"/>
            <w:gridSpan w:val="3"/>
            <w:shd w:val="clear" w:color="auto" w:fill="auto"/>
            <w:vAlign w:val="center"/>
          </w:tcPr>
          <w:p w:rsidR="00A36028" w:rsidRPr="002D7034" w:rsidRDefault="00A36028" w:rsidP="0043481A">
            <w:pPr>
              <w:spacing w:before="60" w:after="60" w:line="200" w:lineRule="exact"/>
              <w:ind w:left="57" w:right="57"/>
              <w:jc w:val="center"/>
              <w:rPr>
                <w:b/>
                <w:iCs/>
                <w:sz w:val="15"/>
                <w:szCs w:val="15"/>
                <w:lang w:val="fr-FR"/>
              </w:rPr>
            </w:pPr>
            <w:r w:rsidRPr="002D7034">
              <w:rPr>
                <w:rFonts w:eastAsia="SimSun"/>
                <w:b/>
                <w:sz w:val="15"/>
                <w:szCs w:val="15"/>
                <w:lang w:val="fr-FR" w:eastAsia="zh-CN"/>
              </w:rPr>
              <w:t>Citernes mobiles et</w:t>
            </w:r>
            <w:r w:rsidR="0043481A">
              <w:rPr>
                <w:rFonts w:eastAsia="SimSun"/>
                <w:b/>
                <w:sz w:val="15"/>
                <w:szCs w:val="15"/>
                <w:lang w:val="fr-FR" w:eastAsia="zh-CN"/>
              </w:rPr>
              <w:t xml:space="preserve"> </w:t>
            </w:r>
            <w:r w:rsidR="0043481A">
              <w:rPr>
                <w:rFonts w:eastAsia="SimSun"/>
                <w:b/>
                <w:sz w:val="15"/>
                <w:szCs w:val="15"/>
                <w:lang w:val="fr-FR" w:eastAsia="zh-CN"/>
              </w:rPr>
              <w:br/>
            </w:r>
            <w:r w:rsidRPr="002D7034">
              <w:rPr>
                <w:rFonts w:eastAsia="SimSun"/>
                <w:b/>
                <w:sz w:val="15"/>
                <w:szCs w:val="15"/>
                <w:lang w:val="fr-FR" w:eastAsia="zh-CN"/>
              </w:rPr>
              <w:t>conteneurs pour vrac</w:t>
            </w:r>
          </w:p>
        </w:tc>
      </w:tr>
      <w:tr w:rsidR="008E394E" w:rsidRPr="002D7034" w:rsidTr="008E394E">
        <w:trPr>
          <w:cantSplit/>
          <w:tblHeader/>
        </w:trPr>
        <w:tc>
          <w:tcPr>
            <w:tcW w:w="635" w:type="dxa"/>
            <w:vMerge/>
            <w:shd w:val="clear" w:color="auto" w:fill="auto"/>
            <w:vAlign w:val="center"/>
          </w:tcPr>
          <w:p w:rsidR="00A36028" w:rsidRPr="002D7034" w:rsidRDefault="00A36028" w:rsidP="002D7034">
            <w:pPr>
              <w:spacing w:before="60" w:after="60" w:line="200" w:lineRule="exact"/>
              <w:ind w:left="57" w:right="57"/>
              <w:jc w:val="center"/>
              <w:rPr>
                <w:b/>
                <w:sz w:val="15"/>
                <w:szCs w:val="15"/>
                <w:lang w:val="fr-FR"/>
              </w:rPr>
            </w:pPr>
          </w:p>
        </w:tc>
        <w:tc>
          <w:tcPr>
            <w:tcW w:w="1484" w:type="dxa"/>
            <w:vMerge/>
            <w:shd w:val="clear" w:color="auto" w:fill="auto"/>
            <w:vAlign w:val="center"/>
          </w:tcPr>
          <w:p w:rsidR="00A36028" w:rsidRPr="002D7034" w:rsidRDefault="00A36028" w:rsidP="002D7034">
            <w:pPr>
              <w:spacing w:before="60" w:after="60" w:line="200" w:lineRule="exact"/>
              <w:ind w:left="57" w:right="57"/>
              <w:jc w:val="center"/>
              <w:rPr>
                <w:b/>
                <w:sz w:val="15"/>
                <w:szCs w:val="15"/>
                <w:lang w:val="fr-FR"/>
              </w:rPr>
            </w:pPr>
          </w:p>
        </w:tc>
        <w:tc>
          <w:tcPr>
            <w:tcW w:w="700" w:type="dxa"/>
            <w:vMerge/>
            <w:shd w:val="clear" w:color="auto" w:fill="auto"/>
            <w:vAlign w:val="center"/>
          </w:tcPr>
          <w:p w:rsidR="00A36028" w:rsidRPr="002D7034" w:rsidRDefault="00A36028" w:rsidP="002D7034">
            <w:pPr>
              <w:spacing w:before="60" w:after="60" w:line="200" w:lineRule="exact"/>
              <w:ind w:left="57" w:right="57"/>
              <w:jc w:val="center"/>
              <w:rPr>
                <w:b/>
                <w:sz w:val="15"/>
                <w:szCs w:val="15"/>
                <w:lang w:val="fr-FR"/>
              </w:rPr>
            </w:pPr>
          </w:p>
        </w:tc>
        <w:tc>
          <w:tcPr>
            <w:tcW w:w="840" w:type="dxa"/>
            <w:vMerge/>
            <w:shd w:val="clear" w:color="auto" w:fill="auto"/>
            <w:vAlign w:val="center"/>
          </w:tcPr>
          <w:p w:rsidR="00A36028" w:rsidRPr="002D7034" w:rsidRDefault="00A36028" w:rsidP="002D7034">
            <w:pPr>
              <w:spacing w:before="60" w:after="60" w:line="200" w:lineRule="exact"/>
              <w:ind w:left="57" w:right="57"/>
              <w:jc w:val="center"/>
              <w:rPr>
                <w:b/>
                <w:sz w:val="15"/>
                <w:szCs w:val="15"/>
                <w:lang w:val="fr-FR"/>
              </w:rPr>
            </w:pPr>
          </w:p>
        </w:tc>
        <w:tc>
          <w:tcPr>
            <w:tcW w:w="910" w:type="dxa"/>
            <w:vMerge/>
            <w:shd w:val="clear" w:color="auto" w:fill="auto"/>
            <w:vAlign w:val="center"/>
          </w:tcPr>
          <w:p w:rsidR="00A36028" w:rsidRPr="002D7034" w:rsidRDefault="00A36028" w:rsidP="002D7034">
            <w:pPr>
              <w:spacing w:before="60" w:after="60" w:line="200" w:lineRule="exact"/>
              <w:ind w:left="57" w:right="57"/>
              <w:jc w:val="center"/>
              <w:rPr>
                <w:b/>
                <w:sz w:val="15"/>
                <w:szCs w:val="15"/>
                <w:lang w:val="fr-FR"/>
              </w:rPr>
            </w:pPr>
          </w:p>
        </w:tc>
        <w:tc>
          <w:tcPr>
            <w:tcW w:w="756" w:type="dxa"/>
            <w:vMerge/>
            <w:shd w:val="clear" w:color="auto" w:fill="auto"/>
            <w:vAlign w:val="center"/>
          </w:tcPr>
          <w:p w:rsidR="00A36028" w:rsidRPr="002D7034" w:rsidRDefault="00A36028" w:rsidP="002D7034">
            <w:pPr>
              <w:spacing w:before="60" w:after="60" w:line="200" w:lineRule="exact"/>
              <w:ind w:left="57" w:right="57"/>
              <w:jc w:val="center"/>
              <w:rPr>
                <w:b/>
                <w:sz w:val="15"/>
                <w:szCs w:val="15"/>
                <w:lang w:val="fr-FR"/>
              </w:rPr>
            </w:pPr>
          </w:p>
        </w:tc>
        <w:tc>
          <w:tcPr>
            <w:tcW w:w="1020" w:type="dxa"/>
            <w:gridSpan w:val="2"/>
            <w:vMerge/>
            <w:shd w:val="clear" w:color="auto" w:fill="auto"/>
            <w:vAlign w:val="center"/>
          </w:tcPr>
          <w:p w:rsidR="00A36028" w:rsidRPr="002D7034" w:rsidRDefault="00A36028" w:rsidP="002D7034">
            <w:pPr>
              <w:spacing w:before="60" w:after="60" w:line="200" w:lineRule="exact"/>
              <w:ind w:left="57" w:right="57"/>
              <w:jc w:val="center"/>
              <w:rPr>
                <w:b/>
                <w:sz w:val="15"/>
                <w:szCs w:val="15"/>
                <w:lang w:val="fr-FR"/>
              </w:rPr>
            </w:pPr>
          </w:p>
        </w:tc>
        <w:tc>
          <w:tcPr>
            <w:tcW w:w="925" w:type="dxa"/>
            <w:shd w:val="clear" w:color="auto" w:fill="auto"/>
            <w:vAlign w:val="center"/>
          </w:tcPr>
          <w:p w:rsidR="00A36028" w:rsidRPr="002D7034" w:rsidRDefault="00A36028" w:rsidP="002D7034">
            <w:pPr>
              <w:spacing w:before="60" w:after="60" w:line="200" w:lineRule="exact"/>
              <w:ind w:left="57" w:right="57"/>
              <w:jc w:val="center"/>
              <w:rPr>
                <w:b/>
                <w:sz w:val="15"/>
                <w:szCs w:val="15"/>
                <w:lang w:val="fr-FR"/>
              </w:rPr>
            </w:pPr>
            <w:r w:rsidRPr="002D7034">
              <w:rPr>
                <w:b/>
                <w:sz w:val="15"/>
                <w:szCs w:val="15"/>
                <w:lang w:val="fr-FR"/>
              </w:rPr>
              <w:t>Instruc</w:t>
            </w:r>
            <w:r w:rsidR="002D7034">
              <w:rPr>
                <w:b/>
                <w:sz w:val="15"/>
                <w:szCs w:val="15"/>
                <w:lang w:val="fr-FR"/>
              </w:rPr>
              <w:t>-</w:t>
            </w:r>
            <w:r w:rsidRPr="002D7034">
              <w:rPr>
                <w:b/>
                <w:sz w:val="15"/>
                <w:szCs w:val="15"/>
                <w:lang w:val="fr-FR"/>
              </w:rPr>
              <w:t>tions d’emballage</w:t>
            </w:r>
          </w:p>
        </w:tc>
        <w:tc>
          <w:tcPr>
            <w:tcW w:w="814" w:type="dxa"/>
            <w:gridSpan w:val="2"/>
            <w:shd w:val="clear" w:color="auto" w:fill="auto"/>
            <w:vAlign w:val="center"/>
          </w:tcPr>
          <w:p w:rsidR="00A36028" w:rsidRPr="002D7034" w:rsidRDefault="002D7034" w:rsidP="002D7034">
            <w:pPr>
              <w:spacing w:before="60" w:after="60" w:line="200" w:lineRule="exact"/>
              <w:ind w:left="57" w:right="57"/>
              <w:jc w:val="center"/>
              <w:rPr>
                <w:b/>
                <w:sz w:val="15"/>
                <w:szCs w:val="15"/>
                <w:lang w:val="fr-FR"/>
              </w:rPr>
            </w:pPr>
            <w:r>
              <w:rPr>
                <w:b/>
                <w:sz w:val="15"/>
                <w:szCs w:val="15"/>
                <w:lang w:val="fr-FR"/>
              </w:rPr>
              <w:t>Disposi-</w:t>
            </w:r>
            <w:r w:rsidR="00A36028" w:rsidRPr="002D7034">
              <w:rPr>
                <w:b/>
                <w:sz w:val="15"/>
                <w:szCs w:val="15"/>
                <w:lang w:val="fr-FR"/>
              </w:rPr>
              <w:t>tions spéciales</w:t>
            </w:r>
          </w:p>
        </w:tc>
        <w:tc>
          <w:tcPr>
            <w:tcW w:w="816" w:type="dxa"/>
            <w:shd w:val="clear" w:color="auto" w:fill="auto"/>
            <w:vAlign w:val="center"/>
          </w:tcPr>
          <w:p w:rsidR="00A36028" w:rsidRPr="002D7034" w:rsidRDefault="00A36028" w:rsidP="002D7034">
            <w:pPr>
              <w:spacing w:before="60" w:after="60" w:line="200" w:lineRule="exact"/>
              <w:ind w:left="57" w:right="57"/>
              <w:jc w:val="center"/>
              <w:rPr>
                <w:b/>
                <w:sz w:val="15"/>
                <w:szCs w:val="15"/>
                <w:lang w:val="fr-FR"/>
              </w:rPr>
            </w:pPr>
            <w:r w:rsidRPr="002D7034">
              <w:rPr>
                <w:b/>
                <w:sz w:val="15"/>
                <w:szCs w:val="15"/>
                <w:lang w:val="fr-FR"/>
              </w:rPr>
              <w:t>Instruc-tions de transport</w:t>
            </w:r>
          </w:p>
        </w:tc>
        <w:tc>
          <w:tcPr>
            <w:tcW w:w="739" w:type="dxa"/>
            <w:shd w:val="clear" w:color="auto" w:fill="auto"/>
            <w:vAlign w:val="center"/>
          </w:tcPr>
          <w:p w:rsidR="00A36028" w:rsidRPr="002D7034" w:rsidRDefault="00A36028" w:rsidP="002D7034">
            <w:pPr>
              <w:spacing w:before="60" w:after="60" w:line="200" w:lineRule="exact"/>
              <w:ind w:left="57" w:right="57"/>
              <w:jc w:val="center"/>
              <w:rPr>
                <w:b/>
                <w:iCs/>
                <w:sz w:val="15"/>
                <w:szCs w:val="15"/>
                <w:lang w:val="fr-FR"/>
              </w:rPr>
            </w:pPr>
            <w:r w:rsidRPr="002D7034">
              <w:rPr>
                <w:b/>
                <w:sz w:val="15"/>
                <w:szCs w:val="15"/>
                <w:lang w:val="fr-FR"/>
              </w:rPr>
              <w:t>Disposi-tions spéciales</w:t>
            </w:r>
          </w:p>
        </w:tc>
      </w:tr>
      <w:tr w:rsidR="008E394E" w:rsidRPr="002D7034" w:rsidTr="008E394E">
        <w:trPr>
          <w:cantSplit/>
          <w:tblHeader/>
        </w:trPr>
        <w:tc>
          <w:tcPr>
            <w:tcW w:w="635" w:type="dxa"/>
            <w:shd w:val="clear" w:color="auto" w:fill="auto"/>
          </w:tcPr>
          <w:p w:rsidR="00A36028" w:rsidRPr="002D7034" w:rsidRDefault="00A36028" w:rsidP="00FD102B">
            <w:pPr>
              <w:spacing w:before="60" w:after="60" w:line="220" w:lineRule="atLeast"/>
              <w:ind w:left="57" w:right="57"/>
              <w:jc w:val="center"/>
              <w:rPr>
                <w:sz w:val="18"/>
                <w:szCs w:val="18"/>
                <w:lang w:val="fr-FR"/>
              </w:rPr>
            </w:pPr>
            <w:r w:rsidRPr="002D7034">
              <w:rPr>
                <w:sz w:val="18"/>
                <w:szCs w:val="18"/>
                <w:lang w:val="fr-FR"/>
              </w:rPr>
              <w:t>(1)</w:t>
            </w:r>
          </w:p>
        </w:tc>
        <w:tc>
          <w:tcPr>
            <w:tcW w:w="1484" w:type="dxa"/>
            <w:shd w:val="clear" w:color="auto" w:fill="auto"/>
          </w:tcPr>
          <w:p w:rsidR="00A36028" w:rsidRPr="002D7034" w:rsidRDefault="00A36028" w:rsidP="00FD102B">
            <w:pPr>
              <w:spacing w:before="60" w:after="60" w:line="220" w:lineRule="atLeast"/>
              <w:ind w:left="57" w:right="57"/>
              <w:jc w:val="center"/>
              <w:rPr>
                <w:sz w:val="18"/>
                <w:szCs w:val="18"/>
                <w:lang w:val="fr-FR"/>
              </w:rPr>
            </w:pPr>
            <w:r w:rsidRPr="002D7034">
              <w:rPr>
                <w:sz w:val="18"/>
                <w:szCs w:val="18"/>
                <w:lang w:val="fr-FR"/>
              </w:rPr>
              <w:t>(2)</w:t>
            </w:r>
          </w:p>
        </w:tc>
        <w:tc>
          <w:tcPr>
            <w:tcW w:w="700" w:type="dxa"/>
            <w:shd w:val="clear" w:color="auto" w:fill="auto"/>
          </w:tcPr>
          <w:p w:rsidR="00A36028" w:rsidRPr="002D7034" w:rsidRDefault="00A36028" w:rsidP="00FD102B">
            <w:pPr>
              <w:spacing w:before="60" w:after="60" w:line="220" w:lineRule="atLeast"/>
              <w:ind w:left="57" w:right="57"/>
              <w:jc w:val="center"/>
              <w:rPr>
                <w:sz w:val="18"/>
                <w:szCs w:val="18"/>
                <w:lang w:val="fr-FR"/>
              </w:rPr>
            </w:pPr>
            <w:r w:rsidRPr="002D7034">
              <w:rPr>
                <w:sz w:val="18"/>
                <w:szCs w:val="18"/>
                <w:lang w:val="fr-FR"/>
              </w:rPr>
              <w:t>(3)</w:t>
            </w:r>
          </w:p>
        </w:tc>
        <w:tc>
          <w:tcPr>
            <w:tcW w:w="840" w:type="dxa"/>
            <w:shd w:val="clear" w:color="auto" w:fill="auto"/>
          </w:tcPr>
          <w:p w:rsidR="00A36028" w:rsidRPr="002D7034" w:rsidRDefault="00A36028" w:rsidP="00FD102B">
            <w:pPr>
              <w:spacing w:before="60" w:after="60" w:line="220" w:lineRule="atLeast"/>
              <w:ind w:left="57" w:right="57"/>
              <w:jc w:val="center"/>
              <w:rPr>
                <w:sz w:val="18"/>
                <w:szCs w:val="18"/>
                <w:lang w:val="fr-FR"/>
              </w:rPr>
            </w:pPr>
            <w:r w:rsidRPr="002D7034">
              <w:rPr>
                <w:sz w:val="18"/>
                <w:szCs w:val="18"/>
                <w:lang w:val="fr-FR"/>
              </w:rPr>
              <w:t>(4)</w:t>
            </w:r>
          </w:p>
        </w:tc>
        <w:tc>
          <w:tcPr>
            <w:tcW w:w="910" w:type="dxa"/>
            <w:shd w:val="clear" w:color="auto" w:fill="auto"/>
          </w:tcPr>
          <w:p w:rsidR="00A36028" w:rsidRPr="002D7034" w:rsidRDefault="00A36028" w:rsidP="00FD102B">
            <w:pPr>
              <w:spacing w:before="60" w:after="60" w:line="220" w:lineRule="atLeast"/>
              <w:ind w:left="57" w:right="57"/>
              <w:jc w:val="center"/>
              <w:rPr>
                <w:sz w:val="18"/>
                <w:szCs w:val="18"/>
                <w:lang w:val="fr-FR"/>
              </w:rPr>
            </w:pPr>
            <w:r w:rsidRPr="002D7034">
              <w:rPr>
                <w:sz w:val="18"/>
                <w:szCs w:val="18"/>
                <w:lang w:val="fr-FR"/>
              </w:rPr>
              <w:t>(5)</w:t>
            </w:r>
          </w:p>
        </w:tc>
        <w:tc>
          <w:tcPr>
            <w:tcW w:w="756" w:type="dxa"/>
            <w:shd w:val="clear" w:color="auto" w:fill="auto"/>
          </w:tcPr>
          <w:p w:rsidR="00A36028" w:rsidRPr="002D7034" w:rsidRDefault="00A36028" w:rsidP="00FD102B">
            <w:pPr>
              <w:spacing w:before="60" w:after="60" w:line="220" w:lineRule="atLeast"/>
              <w:ind w:left="57" w:right="57"/>
              <w:jc w:val="center"/>
              <w:rPr>
                <w:sz w:val="18"/>
                <w:szCs w:val="18"/>
                <w:lang w:val="fr-FR"/>
              </w:rPr>
            </w:pPr>
            <w:r w:rsidRPr="002D7034">
              <w:rPr>
                <w:sz w:val="18"/>
                <w:szCs w:val="18"/>
                <w:lang w:val="fr-FR"/>
              </w:rPr>
              <w:t>(6)</w:t>
            </w:r>
          </w:p>
        </w:tc>
        <w:tc>
          <w:tcPr>
            <w:tcW w:w="489" w:type="dxa"/>
            <w:shd w:val="clear" w:color="auto" w:fill="auto"/>
          </w:tcPr>
          <w:p w:rsidR="00A36028" w:rsidRPr="002D7034" w:rsidRDefault="00A36028" w:rsidP="00FD102B">
            <w:pPr>
              <w:spacing w:before="60" w:after="60" w:line="220" w:lineRule="atLeast"/>
              <w:ind w:left="57" w:right="57"/>
              <w:jc w:val="center"/>
              <w:rPr>
                <w:sz w:val="18"/>
                <w:szCs w:val="18"/>
                <w:lang w:val="fr-FR"/>
              </w:rPr>
            </w:pPr>
            <w:r w:rsidRPr="002D7034">
              <w:rPr>
                <w:sz w:val="18"/>
                <w:szCs w:val="18"/>
                <w:lang w:val="fr-FR"/>
              </w:rPr>
              <w:t>(7a)</w:t>
            </w:r>
          </w:p>
        </w:tc>
        <w:tc>
          <w:tcPr>
            <w:tcW w:w="531" w:type="dxa"/>
            <w:shd w:val="clear" w:color="auto" w:fill="auto"/>
          </w:tcPr>
          <w:p w:rsidR="00A36028" w:rsidRPr="002D7034" w:rsidRDefault="00A36028" w:rsidP="00FD102B">
            <w:pPr>
              <w:spacing w:before="60" w:after="60" w:line="220" w:lineRule="atLeast"/>
              <w:ind w:left="57" w:right="57"/>
              <w:jc w:val="center"/>
              <w:rPr>
                <w:sz w:val="18"/>
                <w:szCs w:val="18"/>
                <w:lang w:val="fr-FR"/>
              </w:rPr>
            </w:pPr>
            <w:r w:rsidRPr="002D7034">
              <w:rPr>
                <w:sz w:val="18"/>
                <w:szCs w:val="18"/>
                <w:lang w:val="fr-FR"/>
              </w:rPr>
              <w:t>(7b)</w:t>
            </w:r>
          </w:p>
        </w:tc>
        <w:tc>
          <w:tcPr>
            <w:tcW w:w="925" w:type="dxa"/>
            <w:shd w:val="clear" w:color="auto" w:fill="auto"/>
          </w:tcPr>
          <w:p w:rsidR="00A36028" w:rsidRPr="002D7034" w:rsidRDefault="00A36028" w:rsidP="00FD102B">
            <w:pPr>
              <w:spacing w:before="60" w:after="60" w:line="220" w:lineRule="atLeast"/>
              <w:ind w:left="57" w:right="57"/>
              <w:jc w:val="center"/>
              <w:rPr>
                <w:sz w:val="18"/>
                <w:szCs w:val="18"/>
                <w:lang w:val="fr-FR"/>
              </w:rPr>
            </w:pPr>
            <w:r w:rsidRPr="002D7034">
              <w:rPr>
                <w:sz w:val="18"/>
                <w:szCs w:val="18"/>
                <w:lang w:val="fr-FR"/>
              </w:rPr>
              <w:t>(8)</w:t>
            </w:r>
          </w:p>
        </w:tc>
        <w:tc>
          <w:tcPr>
            <w:tcW w:w="814" w:type="dxa"/>
            <w:gridSpan w:val="2"/>
            <w:shd w:val="clear" w:color="auto" w:fill="auto"/>
          </w:tcPr>
          <w:p w:rsidR="00A36028" w:rsidRPr="002D7034" w:rsidRDefault="00A36028" w:rsidP="00FD102B">
            <w:pPr>
              <w:spacing w:before="60" w:after="60" w:line="220" w:lineRule="atLeast"/>
              <w:ind w:left="57" w:right="57"/>
              <w:jc w:val="center"/>
              <w:rPr>
                <w:sz w:val="18"/>
                <w:szCs w:val="18"/>
                <w:lang w:val="fr-FR"/>
              </w:rPr>
            </w:pPr>
            <w:r w:rsidRPr="002D7034">
              <w:rPr>
                <w:sz w:val="18"/>
                <w:szCs w:val="18"/>
                <w:lang w:val="fr-FR"/>
              </w:rPr>
              <w:t>(9)</w:t>
            </w:r>
          </w:p>
        </w:tc>
        <w:tc>
          <w:tcPr>
            <w:tcW w:w="816" w:type="dxa"/>
            <w:shd w:val="clear" w:color="auto" w:fill="auto"/>
          </w:tcPr>
          <w:p w:rsidR="00A36028" w:rsidRPr="002D7034" w:rsidRDefault="00A36028" w:rsidP="00FD102B">
            <w:pPr>
              <w:spacing w:before="60" w:after="60" w:line="220" w:lineRule="atLeast"/>
              <w:ind w:left="57" w:right="57"/>
              <w:jc w:val="center"/>
              <w:rPr>
                <w:sz w:val="18"/>
                <w:szCs w:val="18"/>
                <w:lang w:val="fr-FR"/>
              </w:rPr>
            </w:pPr>
            <w:r w:rsidRPr="002D7034">
              <w:rPr>
                <w:sz w:val="18"/>
                <w:szCs w:val="18"/>
                <w:lang w:val="fr-FR"/>
              </w:rPr>
              <w:t>(10)</w:t>
            </w:r>
          </w:p>
        </w:tc>
        <w:tc>
          <w:tcPr>
            <w:tcW w:w="739" w:type="dxa"/>
            <w:shd w:val="clear" w:color="auto" w:fill="auto"/>
          </w:tcPr>
          <w:p w:rsidR="00A36028" w:rsidRPr="002D7034" w:rsidRDefault="00A36028" w:rsidP="00FD102B">
            <w:pPr>
              <w:spacing w:before="60" w:after="60" w:line="220" w:lineRule="atLeast"/>
              <w:ind w:left="57" w:right="57"/>
              <w:jc w:val="center"/>
              <w:rPr>
                <w:iCs/>
                <w:sz w:val="18"/>
                <w:szCs w:val="18"/>
                <w:lang w:val="fr-FR"/>
              </w:rPr>
            </w:pPr>
            <w:r w:rsidRPr="002D7034">
              <w:rPr>
                <w:iCs/>
                <w:sz w:val="18"/>
                <w:szCs w:val="18"/>
                <w:lang w:val="fr-FR"/>
              </w:rPr>
              <w:t>(11)</w:t>
            </w:r>
          </w:p>
        </w:tc>
      </w:tr>
      <w:tr w:rsidR="008E394E" w:rsidRPr="002D7034" w:rsidTr="008E394E">
        <w:trPr>
          <w:cantSplit/>
        </w:trPr>
        <w:tc>
          <w:tcPr>
            <w:tcW w:w="635" w:type="dxa"/>
            <w:shd w:val="clear" w:color="auto" w:fill="auto"/>
          </w:tcPr>
          <w:p w:rsidR="00A36028" w:rsidRPr="002D7034" w:rsidRDefault="00A36028" w:rsidP="00FD102B">
            <w:pPr>
              <w:spacing w:before="60" w:after="60" w:line="220" w:lineRule="atLeast"/>
              <w:ind w:left="57" w:right="57"/>
              <w:jc w:val="center"/>
              <w:rPr>
                <w:sz w:val="18"/>
                <w:szCs w:val="18"/>
                <w:lang w:val="fr-FR"/>
              </w:rPr>
            </w:pPr>
            <w:r w:rsidRPr="002D7034">
              <w:rPr>
                <w:sz w:val="18"/>
                <w:szCs w:val="18"/>
                <w:lang w:val="fr-FR"/>
              </w:rPr>
              <w:t>35CD</w:t>
            </w:r>
          </w:p>
        </w:tc>
        <w:tc>
          <w:tcPr>
            <w:tcW w:w="1484" w:type="dxa"/>
            <w:shd w:val="clear" w:color="auto" w:fill="auto"/>
          </w:tcPr>
          <w:p w:rsidR="00A36028" w:rsidRPr="002D7034" w:rsidRDefault="00A36028" w:rsidP="00FD102B">
            <w:pPr>
              <w:spacing w:before="60" w:after="60" w:line="220" w:lineRule="atLeast"/>
              <w:ind w:left="57" w:right="57"/>
              <w:jc w:val="center"/>
              <w:rPr>
                <w:sz w:val="18"/>
                <w:szCs w:val="18"/>
                <w:lang w:val="fr-FR"/>
              </w:rPr>
            </w:pPr>
            <w:r w:rsidRPr="002D7034">
              <w:rPr>
                <w:sz w:val="18"/>
                <w:szCs w:val="18"/>
                <w:lang w:val="fr-FR"/>
              </w:rPr>
              <w:t>PILES AU</w:t>
            </w:r>
            <w:r w:rsidR="002D7034">
              <w:rPr>
                <w:sz w:val="18"/>
                <w:szCs w:val="18"/>
                <w:lang w:val="fr-FR"/>
              </w:rPr>
              <w:t> </w:t>
            </w:r>
            <w:r w:rsidRPr="002D7034">
              <w:rPr>
                <w:sz w:val="18"/>
                <w:szCs w:val="18"/>
                <w:lang w:val="fr-FR"/>
              </w:rPr>
              <w:t>LITHIUM MÉTAL DE TYPE BOUTON, y</w:t>
            </w:r>
            <w:r w:rsidR="002D7034">
              <w:rPr>
                <w:sz w:val="18"/>
                <w:szCs w:val="18"/>
                <w:lang w:val="fr-FR"/>
              </w:rPr>
              <w:t> </w:t>
            </w:r>
            <w:r w:rsidRPr="002D7034">
              <w:rPr>
                <w:sz w:val="18"/>
                <w:szCs w:val="18"/>
                <w:lang w:val="fr-FR"/>
              </w:rPr>
              <w:t>compris les</w:t>
            </w:r>
            <w:r w:rsidR="002D7034">
              <w:rPr>
                <w:sz w:val="18"/>
                <w:szCs w:val="18"/>
                <w:lang w:val="fr-FR"/>
              </w:rPr>
              <w:t> </w:t>
            </w:r>
            <w:r w:rsidRPr="002D7034">
              <w:rPr>
                <w:sz w:val="18"/>
                <w:szCs w:val="18"/>
                <w:lang w:val="fr-FR"/>
              </w:rPr>
              <w:t xml:space="preserve">batteries </w:t>
            </w:r>
            <w:r w:rsidR="002D7034">
              <w:rPr>
                <w:sz w:val="18"/>
                <w:szCs w:val="18"/>
                <w:lang w:val="fr-FR"/>
              </w:rPr>
              <w:br/>
            </w:r>
            <w:r w:rsidRPr="002D7034">
              <w:rPr>
                <w:sz w:val="18"/>
                <w:szCs w:val="18"/>
                <w:lang w:val="fr-FR"/>
              </w:rPr>
              <w:t>de type bouton</w:t>
            </w:r>
          </w:p>
        </w:tc>
        <w:tc>
          <w:tcPr>
            <w:tcW w:w="700" w:type="dxa"/>
            <w:shd w:val="clear" w:color="auto" w:fill="auto"/>
          </w:tcPr>
          <w:p w:rsidR="00A36028" w:rsidRPr="002D7034" w:rsidRDefault="00A36028" w:rsidP="00FD102B">
            <w:pPr>
              <w:spacing w:before="60" w:after="60" w:line="220" w:lineRule="atLeast"/>
              <w:ind w:left="57" w:right="57"/>
              <w:jc w:val="center"/>
              <w:rPr>
                <w:sz w:val="18"/>
                <w:szCs w:val="18"/>
                <w:lang w:val="fr-FR"/>
              </w:rPr>
            </w:pPr>
            <w:r w:rsidRPr="002D7034">
              <w:rPr>
                <w:sz w:val="18"/>
                <w:szCs w:val="18"/>
                <w:lang w:val="fr-FR" w:eastAsia="nb-NO"/>
              </w:rPr>
              <w:t>9</w:t>
            </w:r>
          </w:p>
        </w:tc>
        <w:tc>
          <w:tcPr>
            <w:tcW w:w="840" w:type="dxa"/>
            <w:shd w:val="clear" w:color="auto" w:fill="auto"/>
          </w:tcPr>
          <w:p w:rsidR="00A36028" w:rsidRPr="002D7034" w:rsidRDefault="00A36028" w:rsidP="00FD102B">
            <w:pPr>
              <w:spacing w:before="60" w:after="60" w:line="220" w:lineRule="atLeast"/>
              <w:ind w:left="57" w:right="57"/>
              <w:jc w:val="center"/>
              <w:rPr>
                <w:sz w:val="18"/>
                <w:szCs w:val="18"/>
                <w:lang w:val="fr-FR" w:eastAsia="nb-NO"/>
              </w:rPr>
            </w:pPr>
          </w:p>
        </w:tc>
        <w:tc>
          <w:tcPr>
            <w:tcW w:w="910" w:type="dxa"/>
            <w:shd w:val="clear" w:color="auto" w:fill="auto"/>
          </w:tcPr>
          <w:p w:rsidR="00A36028" w:rsidRPr="002D7034" w:rsidRDefault="00A36028" w:rsidP="00FD102B">
            <w:pPr>
              <w:spacing w:before="60" w:after="60" w:line="220" w:lineRule="atLeast"/>
              <w:ind w:left="57" w:right="57"/>
              <w:jc w:val="center"/>
              <w:rPr>
                <w:strike/>
                <w:sz w:val="18"/>
                <w:szCs w:val="18"/>
                <w:lang w:val="fr-FR" w:eastAsia="nb-NO"/>
              </w:rPr>
            </w:pPr>
          </w:p>
        </w:tc>
        <w:tc>
          <w:tcPr>
            <w:tcW w:w="756" w:type="dxa"/>
            <w:shd w:val="clear" w:color="auto" w:fill="auto"/>
          </w:tcPr>
          <w:p w:rsidR="00A36028" w:rsidRPr="002D7034" w:rsidRDefault="00A36028" w:rsidP="00FD102B">
            <w:pPr>
              <w:spacing w:before="60" w:after="60" w:line="220" w:lineRule="atLeast"/>
              <w:ind w:left="57" w:right="57"/>
              <w:jc w:val="center"/>
              <w:rPr>
                <w:sz w:val="18"/>
                <w:szCs w:val="18"/>
                <w:lang w:val="fr-FR" w:eastAsia="nb-NO"/>
              </w:rPr>
            </w:pPr>
            <w:r w:rsidRPr="002D7034">
              <w:rPr>
                <w:sz w:val="18"/>
                <w:szCs w:val="18"/>
                <w:lang w:val="fr-FR" w:eastAsia="nb-NO"/>
              </w:rPr>
              <w:t>188</w:t>
            </w:r>
          </w:p>
          <w:p w:rsidR="00A36028" w:rsidRPr="002D7034" w:rsidRDefault="00A36028" w:rsidP="00FD102B">
            <w:pPr>
              <w:spacing w:before="60" w:after="60" w:line="220" w:lineRule="atLeast"/>
              <w:ind w:left="57" w:right="57"/>
              <w:jc w:val="center"/>
              <w:rPr>
                <w:sz w:val="18"/>
                <w:szCs w:val="18"/>
                <w:lang w:val="fr-FR" w:eastAsia="nb-NO"/>
              </w:rPr>
            </w:pPr>
            <w:r w:rsidRPr="002D7034">
              <w:rPr>
                <w:sz w:val="18"/>
                <w:szCs w:val="18"/>
                <w:lang w:val="fr-FR" w:eastAsia="nb-NO"/>
              </w:rPr>
              <w:t>230</w:t>
            </w:r>
          </w:p>
          <w:p w:rsidR="00A36028" w:rsidRPr="002D7034" w:rsidRDefault="00A36028" w:rsidP="00FD102B">
            <w:pPr>
              <w:spacing w:before="60" w:after="60" w:line="220" w:lineRule="atLeast"/>
              <w:ind w:left="57" w:right="57"/>
              <w:jc w:val="center"/>
              <w:rPr>
                <w:sz w:val="18"/>
                <w:szCs w:val="18"/>
                <w:lang w:val="fr-FR" w:eastAsia="nb-NO"/>
              </w:rPr>
            </w:pPr>
            <w:r w:rsidRPr="002D7034">
              <w:rPr>
                <w:sz w:val="18"/>
                <w:szCs w:val="18"/>
                <w:lang w:val="fr-FR" w:eastAsia="nb-NO"/>
              </w:rPr>
              <w:t>310</w:t>
            </w:r>
          </w:p>
          <w:p w:rsidR="00A36028" w:rsidRPr="002D7034" w:rsidRDefault="00A36028" w:rsidP="00FD102B">
            <w:pPr>
              <w:spacing w:before="60" w:after="60" w:line="220" w:lineRule="atLeast"/>
              <w:ind w:left="57" w:right="57"/>
              <w:jc w:val="center"/>
              <w:rPr>
                <w:sz w:val="18"/>
                <w:szCs w:val="18"/>
                <w:lang w:val="fr-FR" w:eastAsia="nb-NO"/>
              </w:rPr>
            </w:pPr>
            <w:r w:rsidRPr="002D7034">
              <w:rPr>
                <w:sz w:val="18"/>
                <w:szCs w:val="18"/>
                <w:lang w:val="fr-FR" w:eastAsia="nb-NO"/>
              </w:rPr>
              <w:t>376</w:t>
            </w:r>
          </w:p>
          <w:p w:rsidR="00A36028" w:rsidRPr="002D7034" w:rsidRDefault="00A36028" w:rsidP="00FD102B">
            <w:pPr>
              <w:spacing w:before="60" w:after="60" w:line="220" w:lineRule="atLeast"/>
              <w:ind w:left="57" w:right="57"/>
              <w:jc w:val="center"/>
              <w:rPr>
                <w:sz w:val="18"/>
                <w:szCs w:val="18"/>
                <w:lang w:val="fr-FR" w:eastAsia="nb-NO"/>
              </w:rPr>
            </w:pPr>
            <w:r w:rsidRPr="002D7034">
              <w:rPr>
                <w:sz w:val="18"/>
                <w:szCs w:val="18"/>
                <w:lang w:val="fr-FR" w:eastAsia="nb-NO"/>
              </w:rPr>
              <w:t>377</w:t>
            </w:r>
            <w:r w:rsidRPr="002D7034">
              <w:rPr>
                <w:sz w:val="18"/>
                <w:szCs w:val="18"/>
                <w:lang w:val="fr-FR" w:eastAsia="nb-NO"/>
              </w:rPr>
              <w:br/>
              <w:t>384</w:t>
            </w:r>
          </w:p>
        </w:tc>
        <w:tc>
          <w:tcPr>
            <w:tcW w:w="489" w:type="dxa"/>
            <w:shd w:val="clear" w:color="auto" w:fill="auto"/>
          </w:tcPr>
          <w:p w:rsidR="00A36028" w:rsidRPr="002D7034" w:rsidRDefault="00A36028" w:rsidP="00FD102B">
            <w:pPr>
              <w:spacing w:before="60" w:after="60" w:line="220" w:lineRule="atLeast"/>
              <w:ind w:left="57" w:right="57"/>
              <w:jc w:val="center"/>
              <w:rPr>
                <w:sz w:val="18"/>
                <w:szCs w:val="18"/>
                <w:lang w:val="fr-FR" w:eastAsia="nb-NO"/>
              </w:rPr>
            </w:pPr>
            <w:r w:rsidRPr="002D7034">
              <w:rPr>
                <w:sz w:val="18"/>
                <w:szCs w:val="18"/>
                <w:lang w:val="fr-FR"/>
              </w:rPr>
              <w:t>E0</w:t>
            </w:r>
          </w:p>
        </w:tc>
        <w:tc>
          <w:tcPr>
            <w:tcW w:w="531" w:type="dxa"/>
            <w:shd w:val="clear" w:color="auto" w:fill="auto"/>
          </w:tcPr>
          <w:p w:rsidR="00A36028" w:rsidRPr="002D7034" w:rsidRDefault="00A36028" w:rsidP="00FD102B">
            <w:pPr>
              <w:spacing w:before="60" w:after="60" w:line="220" w:lineRule="atLeast"/>
              <w:ind w:left="57" w:right="57"/>
              <w:jc w:val="center"/>
              <w:rPr>
                <w:sz w:val="18"/>
                <w:szCs w:val="18"/>
                <w:lang w:val="fr-FR" w:eastAsia="nb-NO"/>
              </w:rPr>
            </w:pPr>
            <w:r w:rsidRPr="002D7034">
              <w:rPr>
                <w:sz w:val="18"/>
                <w:szCs w:val="18"/>
                <w:lang w:val="fr-FR"/>
              </w:rPr>
              <w:t>0</w:t>
            </w:r>
          </w:p>
        </w:tc>
        <w:tc>
          <w:tcPr>
            <w:tcW w:w="925" w:type="dxa"/>
            <w:shd w:val="clear" w:color="auto" w:fill="auto"/>
          </w:tcPr>
          <w:p w:rsidR="00A36028" w:rsidRPr="002D7034" w:rsidRDefault="00A36028" w:rsidP="00FD102B">
            <w:pPr>
              <w:spacing w:before="60" w:after="60" w:line="220" w:lineRule="atLeast"/>
              <w:ind w:left="57" w:right="57"/>
              <w:jc w:val="center"/>
              <w:rPr>
                <w:sz w:val="18"/>
                <w:szCs w:val="18"/>
                <w:lang w:val="fr-FR" w:eastAsia="nb-NO"/>
              </w:rPr>
            </w:pPr>
            <w:r w:rsidRPr="002D7034">
              <w:rPr>
                <w:sz w:val="18"/>
                <w:szCs w:val="18"/>
                <w:lang w:val="fr-FR" w:eastAsia="nb-NO"/>
              </w:rPr>
              <w:t>P903</w:t>
            </w:r>
          </w:p>
          <w:p w:rsidR="00A36028" w:rsidRPr="002D7034" w:rsidRDefault="00A36028" w:rsidP="00FD102B">
            <w:pPr>
              <w:spacing w:before="60" w:after="60" w:line="220" w:lineRule="atLeast"/>
              <w:ind w:left="57" w:right="57"/>
              <w:jc w:val="center"/>
              <w:rPr>
                <w:sz w:val="18"/>
                <w:szCs w:val="18"/>
                <w:lang w:val="fr-FR" w:eastAsia="nb-NO"/>
              </w:rPr>
            </w:pPr>
            <w:r w:rsidRPr="002D7034">
              <w:rPr>
                <w:sz w:val="18"/>
                <w:szCs w:val="18"/>
                <w:lang w:val="fr-FR" w:eastAsia="nb-NO"/>
              </w:rPr>
              <w:t>P908</w:t>
            </w:r>
          </w:p>
          <w:p w:rsidR="00A36028" w:rsidRPr="002D7034" w:rsidRDefault="00A36028" w:rsidP="00FD102B">
            <w:pPr>
              <w:spacing w:before="60" w:after="60" w:line="220" w:lineRule="atLeast"/>
              <w:ind w:left="57" w:right="57"/>
              <w:jc w:val="center"/>
              <w:rPr>
                <w:sz w:val="18"/>
                <w:szCs w:val="18"/>
                <w:lang w:val="fr-FR" w:eastAsia="nb-NO"/>
              </w:rPr>
            </w:pPr>
            <w:r w:rsidRPr="002D7034">
              <w:rPr>
                <w:sz w:val="18"/>
                <w:szCs w:val="18"/>
                <w:lang w:val="fr-FR" w:eastAsia="nb-NO"/>
              </w:rPr>
              <w:t>P909</w:t>
            </w:r>
          </w:p>
          <w:p w:rsidR="00A36028" w:rsidRPr="002D7034" w:rsidRDefault="00A36028" w:rsidP="00FD102B">
            <w:pPr>
              <w:spacing w:before="60" w:after="60" w:line="220" w:lineRule="atLeast"/>
              <w:ind w:left="57" w:right="57"/>
              <w:jc w:val="center"/>
              <w:rPr>
                <w:sz w:val="18"/>
                <w:szCs w:val="18"/>
                <w:lang w:val="fr-FR" w:eastAsia="nb-NO"/>
              </w:rPr>
            </w:pPr>
            <w:r w:rsidRPr="002D7034">
              <w:rPr>
                <w:sz w:val="18"/>
                <w:szCs w:val="18"/>
                <w:lang w:val="fr-FR" w:eastAsia="nb-NO"/>
              </w:rPr>
              <w:t>P910</w:t>
            </w:r>
          </w:p>
          <w:p w:rsidR="00A36028" w:rsidRPr="002D7034" w:rsidRDefault="00A36028" w:rsidP="00FD102B">
            <w:pPr>
              <w:spacing w:before="60" w:after="60" w:line="220" w:lineRule="atLeast"/>
              <w:ind w:left="57" w:right="57"/>
              <w:jc w:val="center"/>
              <w:rPr>
                <w:sz w:val="18"/>
                <w:szCs w:val="18"/>
                <w:lang w:val="fr-FR" w:eastAsia="nb-NO"/>
              </w:rPr>
            </w:pPr>
            <w:r w:rsidRPr="002D7034">
              <w:rPr>
                <w:sz w:val="18"/>
                <w:szCs w:val="18"/>
                <w:lang w:val="fr-FR" w:eastAsia="nb-NO"/>
              </w:rPr>
              <w:t>LP903</w:t>
            </w:r>
          </w:p>
          <w:p w:rsidR="00A36028" w:rsidRPr="002D7034" w:rsidRDefault="00A36028" w:rsidP="00FD102B">
            <w:pPr>
              <w:spacing w:before="60" w:after="60" w:line="220" w:lineRule="atLeast"/>
              <w:ind w:left="57" w:right="57"/>
              <w:jc w:val="center"/>
              <w:rPr>
                <w:sz w:val="18"/>
                <w:szCs w:val="18"/>
                <w:lang w:val="fr-FR" w:eastAsia="nb-NO"/>
              </w:rPr>
            </w:pPr>
          </w:p>
        </w:tc>
        <w:tc>
          <w:tcPr>
            <w:tcW w:w="814" w:type="dxa"/>
            <w:gridSpan w:val="2"/>
            <w:shd w:val="clear" w:color="auto" w:fill="auto"/>
          </w:tcPr>
          <w:p w:rsidR="00A36028" w:rsidRPr="002D7034" w:rsidRDefault="00A36028" w:rsidP="00FD102B">
            <w:pPr>
              <w:spacing w:before="60" w:after="60" w:line="220" w:lineRule="atLeast"/>
              <w:ind w:left="57" w:right="57"/>
              <w:jc w:val="center"/>
              <w:rPr>
                <w:sz w:val="18"/>
                <w:szCs w:val="18"/>
                <w:lang w:val="fr-FR" w:eastAsia="nb-NO"/>
              </w:rPr>
            </w:pPr>
          </w:p>
        </w:tc>
        <w:tc>
          <w:tcPr>
            <w:tcW w:w="816" w:type="dxa"/>
            <w:shd w:val="clear" w:color="auto" w:fill="auto"/>
          </w:tcPr>
          <w:p w:rsidR="00A36028" w:rsidRPr="002D7034" w:rsidRDefault="00A36028" w:rsidP="00FD102B">
            <w:pPr>
              <w:spacing w:before="60" w:after="60" w:line="220" w:lineRule="atLeast"/>
              <w:ind w:left="57" w:right="57"/>
              <w:jc w:val="center"/>
              <w:rPr>
                <w:sz w:val="18"/>
                <w:szCs w:val="18"/>
                <w:lang w:val="fr-FR" w:eastAsia="nb-NO"/>
              </w:rPr>
            </w:pPr>
          </w:p>
        </w:tc>
        <w:tc>
          <w:tcPr>
            <w:tcW w:w="739" w:type="dxa"/>
            <w:shd w:val="clear" w:color="auto" w:fill="auto"/>
          </w:tcPr>
          <w:p w:rsidR="00A36028" w:rsidRPr="002D7034" w:rsidRDefault="00A36028" w:rsidP="00FD102B">
            <w:pPr>
              <w:spacing w:before="60" w:after="60" w:line="220" w:lineRule="atLeast"/>
              <w:ind w:left="57" w:right="57"/>
              <w:jc w:val="center"/>
              <w:rPr>
                <w:sz w:val="18"/>
                <w:szCs w:val="18"/>
                <w:lang w:val="fr-FR" w:eastAsia="nb-NO"/>
              </w:rPr>
            </w:pPr>
          </w:p>
        </w:tc>
      </w:tr>
    </w:tbl>
    <w:p w:rsidR="00A36028" w:rsidRPr="00494283" w:rsidRDefault="00D0053B" w:rsidP="00D0053B">
      <w:pPr>
        <w:pStyle w:val="HChG"/>
        <w:rPr>
          <w:lang w:val="fr-FR"/>
        </w:rPr>
      </w:pPr>
      <w:r>
        <w:rPr>
          <w:lang w:val="fr-FR"/>
        </w:rPr>
        <w:tab/>
      </w:r>
      <w:r>
        <w:rPr>
          <w:lang w:val="fr-FR"/>
        </w:rPr>
        <w:tab/>
      </w:r>
      <w:r w:rsidR="00A36028" w:rsidRPr="00494283">
        <w:rPr>
          <w:lang w:val="fr-FR"/>
        </w:rPr>
        <w:t>Amendements résultants</w:t>
      </w:r>
    </w:p>
    <w:p w:rsidR="00A36028" w:rsidRDefault="00A36028" w:rsidP="00D0053B">
      <w:pPr>
        <w:pStyle w:val="SingleTxtG"/>
      </w:pPr>
      <w:r w:rsidRPr="00494283">
        <w:rPr>
          <w:lang w:val="fr-FR"/>
        </w:rPr>
        <w:t xml:space="preserve">[À élaborer </w:t>
      </w:r>
      <w:r w:rsidR="00D0053B">
        <w:rPr>
          <w:lang w:val="fr-FR"/>
        </w:rPr>
        <w:t>−</w:t>
      </w:r>
      <w:r w:rsidRPr="00494283">
        <w:rPr>
          <w:lang w:val="fr-FR"/>
        </w:rPr>
        <w:t xml:space="preserve"> </w:t>
      </w:r>
      <w:r>
        <w:rPr>
          <w:lang w:val="fr-FR"/>
        </w:rPr>
        <w:t xml:space="preserve">Au </w:t>
      </w:r>
      <w:r w:rsidRPr="00494283">
        <w:rPr>
          <w:lang w:val="fr-FR"/>
        </w:rPr>
        <w:t xml:space="preserve">2.9.4, etc., inclure les piles de type bouton à rainure dans le </w:t>
      </w:r>
      <w:r w:rsidR="00D0053B">
        <w:rPr>
          <w:lang w:val="fr-FR"/>
        </w:rPr>
        <w:t>No </w:t>
      </w:r>
      <w:r w:rsidRPr="00494283">
        <w:rPr>
          <w:lang w:val="fr-FR"/>
        </w:rPr>
        <w:t>ONU 3091, en ajoutant le cas échéant de nouveaux numéros ONU aux diverses dispositions spéciales et instructions d’emballage.]</w:t>
      </w:r>
    </w:p>
    <w:p w:rsidR="00446FE5" w:rsidRPr="00D0053B" w:rsidRDefault="00D0053B" w:rsidP="00D0053B">
      <w:pPr>
        <w:pStyle w:val="SingleTxtG"/>
        <w:spacing w:before="240" w:after="0"/>
        <w:jc w:val="center"/>
        <w:rPr>
          <w:u w:val="single"/>
        </w:rPr>
      </w:pPr>
      <w:r>
        <w:rPr>
          <w:u w:val="single"/>
        </w:rPr>
        <w:tab/>
      </w:r>
      <w:r>
        <w:rPr>
          <w:u w:val="single"/>
        </w:rPr>
        <w:tab/>
      </w:r>
      <w:r>
        <w:rPr>
          <w:u w:val="single"/>
        </w:rPr>
        <w:tab/>
      </w:r>
    </w:p>
    <w:sectPr w:rsidR="00446FE5" w:rsidRPr="00D0053B" w:rsidSect="00A36028">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DFC" w:rsidRDefault="00903DFC" w:rsidP="00F95C08">
      <w:pPr>
        <w:spacing w:line="240" w:lineRule="auto"/>
      </w:pPr>
    </w:p>
  </w:endnote>
  <w:endnote w:type="continuationSeparator" w:id="0">
    <w:p w:rsidR="00903DFC" w:rsidRPr="00AC3823" w:rsidRDefault="00903DFC" w:rsidP="00AC3823">
      <w:pPr>
        <w:pStyle w:val="Footer"/>
      </w:pPr>
    </w:p>
  </w:endnote>
  <w:endnote w:type="continuationNotice" w:id="1">
    <w:p w:rsidR="00903DFC" w:rsidRDefault="00903D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28" w:rsidRPr="00A36028" w:rsidRDefault="00A36028" w:rsidP="00A36028">
    <w:pPr>
      <w:pStyle w:val="Footer"/>
      <w:tabs>
        <w:tab w:val="right" w:pos="9638"/>
      </w:tabs>
    </w:pPr>
    <w:r w:rsidRPr="00A36028">
      <w:rPr>
        <w:b/>
        <w:sz w:val="18"/>
      </w:rPr>
      <w:fldChar w:fldCharType="begin"/>
    </w:r>
    <w:r w:rsidRPr="00A36028">
      <w:rPr>
        <w:b/>
        <w:sz w:val="18"/>
      </w:rPr>
      <w:instrText xml:space="preserve"> PAGE  \* MERGEFORMAT </w:instrText>
    </w:r>
    <w:r w:rsidRPr="00A36028">
      <w:rPr>
        <w:b/>
        <w:sz w:val="18"/>
      </w:rPr>
      <w:fldChar w:fldCharType="separate"/>
    </w:r>
    <w:r w:rsidR="00D30186">
      <w:rPr>
        <w:b/>
        <w:noProof/>
        <w:sz w:val="18"/>
      </w:rPr>
      <w:t>2</w:t>
    </w:r>
    <w:r w:rsidRPr="00A36028">
      <w:rPr>
        <w:b/>
        <w:sz w:val="18"/>
      </w:rPr>
      <w:fldChar w:fldCharType="end"/>
    </w:r>
    <w:r>
      <w:rPr>
        <w:b/>
        <w:sz w:val="18"/>
      </w:rPr>
      <w:tab/>
    </w:r>
    <w:r>
      <w:t>GE.16-06040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28" w:rsidRPr="00A36028" w:rsidRDefault="00A36028" w:rsidP="00A36028">
    <w:pPr>
      <w:pStyle w:val="Footer"/>
      <w:tabs>
        <w:tab w:val="right" w:pos="9638"/>
      </w:tabs>
      <w:rPr>
        <w:b/>
        <w:sz w:val="18"/>
      </w:rPr>
    </w:pPr>
    <w:r>
      <w:t>GE.16-06040</w:t>
    </w:r>
    <w:r>
      <w:tab/>
    </w:r>
    <w:r w:rsidRPr="00A36028">
      <w:rPr>
        <w:b/>
        <w:sz w:val="18"/>
      </w:rPr>
      <w:fldChar w:fldCharType="begin"/>
    </w:r>
    <w:r w:rsidRPr="00A36028">
      <w:rPr>
        <w:b/>
        <w:sz w:val="18"/>
      </w:rPr>
      <w:instrText xml:space="preserve"> PAGE  \* MERGEFORMAT </w:instrText>
    </w:r>
    <w:r w:rsidRPr="00A36028">
      <w:rPr>
        <w:b/>
        <w:sz w:val="18"/>
      </w:rPr>
      <w:fldChar w:fldCharType="separate"/>
    </w:r>
    <w:r w:rsidR="00D30186">
      <w:rPr>
        <w:b/>
        <w:noProof/>
        <w:sz w:val="18"/>
      </w:rPr>
      <w:t>3</w:t>
    </w:r>
    <w:r w:rsidRPr="00A3602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A36028" w:rsidRDefault="00A36028" w:rsidP="00A36028">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7FA1805C" wp14:editId="71C65875">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16-06040  (F)    200516    230516</w:t>
    </w:r>
    <w:r>
      <w:rPr>
        <w:sz w:val="20"/>
      </w:rPr>
      <w:br/>
    </w:r>
    <w:r w:rsidRPr="00A36028">
      <w:rPr>
        <w:rFonts w:ascii="C39T30Lfz" w:hAnsi="C39T30Lfz"/>
        <w:sz w:val="56"/>
      </w:rPr>
      <w:t></w:t>
    </w:r>
    <w:r w:rsidRPr="00A36028">
      <w:rPr>
        <w:rFonts w:ascii="C39T30Lfz" w:hAnsi="C39T30Lfz"/>
        <w:sz w:val="56"/>
      </w:rPr>
      <w:t></w:t>
    </w:r>
    <w:r w:rsidRPr="00A36028">
      <w:rPr>
        <w:rFonts w:ascii="C39T30Lfz" w:hAnsi="C39T30Lfz"/>
        <w:sz w:val="56"/>
      </w:rPr>
      <w:t></w:t>
    </w:r>
    <w:r w:rsidRPr="00A36028">
      <w:rPr>
        <w:rFonts w:ascii="C39T30Lfz" w:hAnsi="C39T30Lfz"/>
        <w:sz w:val="56"/>
      </w:rPr>
      <w:t></w:t>
    </w:r>
    <w:r w:rsidRPr="00A36028">
      <w:rPr>
        <w:rFonts w:ascii="C39T30Lfz" w:hAnsi="C39T30Lfz"/>
        <w:sz w:val="56"/>
      </w:rPr>
      <w:t></w:t>
    </w:r>
    <w:r w:rsidRPr="00A36028">
      <w:rPr>
        <w:rFonts w:ascii="C39T30Lfz" w:hAnsi="C39T30Lfz"/>
        <w:sz w:val="56"/>
      </w:rPr>
      <w:t></w:t>
    </w:r>
    <w:r w:rsidRPr="00A36028">
      <w:rPr>
        <w:rFonts w:ascii="C39T30Lfz" w:hAnsi="C39T30Lfz"/>
        <w:sz w:val="56"/>
      </w:rPr>
      <w:t></w:t>
    </w:r>
    <w:r w:rsidRPr="00A36028">
      <w:rPr>
        <w:rFonts w:ascii="C39T30Lfz" w:hAnsi="C39T30Lfz"/>
        <w:sz w:val="56"/>
      </w:rPr>
      <w:t></w:t>
    </w:r>
    <w:r w:rsidRPr="00A36028">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ST/SG/AC.10/C.3/2016/4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4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DFC" w:rsidRPr="00AC3823" w:rsidRDefault="00903DFC" w:rsidP="00AC3823">
      <w:pPr>
        <w:pStyle w:val="Footer"/>
        <w:tabs>
          <w:tab w:val="right" w:pos="2155"/>
        </w:tabs>
        <w:spacing w:after="80" w:line="240" w:lineRule="atLeast"/>
        <w:ind w:left="680"/>
        <w:rPr>
          <w:u w:val="single"/>
        </w:rPr>
      </w:pPr>
      <w:r>
        <w:rPr>
          <w:u w:val="single"/>
        </w:rPr>
        <w:tab/>
      </w:r>
    </w:p>
  </w:footnote>
  <w:footnote w:type="continuationSeparator" w:id="0">
    <w:p w:rsidR="00903DFC" w:rsidRPr="00AC3823" w:rsidRDefault="00903DFC" w:rsidP="00AC3823">
      <w:pPr>
        <w:pStyle w:val="Footer"/>
        <w:tabs>
          <w:tab w:val="right" w:pos="2155"/>
        </w:tabs>
        <w:spacing w:after="80" w:line="240" w:lineRule="atLeast"/>
        <w:ind w:left="680"/>
        <w:rPr>
          <w:u w:val="single"/>
        </w:rPr>
      </w:pPr>
      <w:r>
        <w:rPr>
          <w:u w:val="single"/>
        </w:rPr>
        <w:tab/>
      </w:r>
    </w:p>
  </w:footnote>
  <w:footnote w:type="continuationNotice" w:id="1">
    <w:p w:rsidR="00903DFC" w:rsidRPr="00AC3823" w:rsidRDefault="00903DFC">
      <w:pPr>
        <w:spacing w:line="240" w:lineRule="auto"/>
        <w:rPr>
          <w:sz w:val="2"/>
          <w:szCs w:val="2"/>
        </w:rPr>
      </w:pPr>
    </w:p>
  </w:footnote>
  <w:footnote w:id="2">
    <w:p w:rsidR="00A36028" w:rsidRPr="00BC1744" w:rsidRDefault="00A36028" w:rsidP="00A36028">
      <w:pPr>
        <w:pStyle w:val="FootnoteText"/>
        <w:rPr>
          <w:lang w:val="fr-FR"/>
        </w:rPr>
      </w:pPr>
      <w:r>
        <w:rPr>
          <w:lang w:val="fr-FR"/>
        </w:rPr>
        <w:tab/>
      </w:r>
      <w:r w:rsidRPr="00C810F4">
        <w:rPr>
          <w:rStyle w:val="FootnoteReference"/>
        </w:rPr>
        <w:footnoteRef/>
      </w:r>
      <w:r w:rsidRPr="00093387">
        <w:rPr>
          <w:lang w:val="fr-FR"/>
        </w:rPr>
        <w:tab/>
      </w:r>
      <w:r w:rsidRPr="00BC1744">
        <w:rPr>
          <w:lang w:val="fr-FR"/>
        </w:rPr>
        <w:t>Conformé</w:t>
      </w:r>
      <w:r>
        <w:rPr>
          <w:lang w:val="fr-FR"/>
        </w:rPr>
        <w:t xml:space="preserve">ment au programme de travail de </w:t>
      </w:r>
      <w:r w:rsidRPr="00BC1744">
        <w:rPr>
          <w:lang w:val="fr-FR"/>
        </w:rPr>
        <w:t>2015-2016 du Sous-comité, que le Comité a approuvé lors de sa septième session (voir ST/SG/AC.10/C.3/92, par. 95</w:t>
      </w:r>
      <w:r w:rsidR="005C37B9">
        <w:rPr>
          <w:lang w:val="fr-FR"/>
        </w:rPr>
        <w:t>,</w:t>
      </w:r>
      <w:r w:rsidRPr="00BC1744">
        <w:rPr>
          <w:lang w:val="fr-FR"/>
        </w:rPr>
        <w:t xml:space="preserve"> et 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28" w:rsidRPr="00A36028" w:rsidRDefault="00A36028">
    <w:pPr>
      <w:pStyle w:val="Header"/>
    </w:pPr>
    <w:r>
      <w:t>ST/SG/AC.10/C.3/2016/45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28" w:rsidRPr="00A36028" w:rsidRDefault="00A36028" w:rsidP="00A36028">
    <w:pPr>
      <w:pStyle w:val="Header"/>
      <w:jc w:val="right"/>
    </w:pPr>
    <w:r>
      <w:t>ST/SG/AC.10/C.3/2016/45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FC"/>
    <w:rsid w:val="00017F94"/>
    <w:rsid w:val="00023842"/>
    <w:rsid w:val="000305D3"/>
    <w:rsid w:val="000334F9"/>
    <w:rsid w:val="0007796D"/>
    <w:rsid w:val="000B7790"/>
    <w:rsid w:val="00111F2F"/>
    <w:rsid w:val="00132EA9"/>
    <w:rsid w:val="0014365E"/>
    <w:rsid w:val="00176178"/>
    <w:rsid w:val="001F525A"/>
    <w:rsid w:val="00223272"/>
    <w:rsid w:val="0024779E"/>
    <w:rsid w:val="00283190"/>
    <w:rsid w:val="002832AC"/>
    <w:rsid w:val="002D7034"/>
    <w:rsid w:val="002D7C93"/>
    <w:rsid w:val="0043481A"/>
    <w:rsid w:val="00441C3B"/>
    <w:rsid w:val="00446FE5"/>
    <w:rsid w:val="00452396"/>
    <w:rsid w:val="004C4F09"/>
    <w:rsid w:val="004E468C"/>
    <w:rsid w:val="005505B7"/>
    <w:rsid w:val="00573BE5"/>
    <w:rsid w:val="00586ED3"/>
    <w:rsid w:val="00596AA9"/>
    <w:rsid w:val="005C37B9"/>
    <w:rsid w:val="0068456F"/>
    <w:rsid w:val="0071601D"/>
    <w:rsid w:val="007A62E6"/>
    <w:rsid w:val="0080684C"/>
    <w:rsid w:val="00871C75"/>
    <w:rsid w:val="008776DC"/>
    <w:rsid w:val="008E394E"/>
    <w:rsid w:val="00903DFC"/>
    <w:rsid w:val="009705C8"/>
    <w:rsid w:val="009C1CF4"/>
    <w:rsid w:val="00A30353"/>
    <w:rsid w:val="00A36028"/>
    <w:rsid w:val="00AC3823"/>
    <w:rsid w:val="00AE323C"/>
    <w:rsid w:val="00B00181"/>
    <w:rsid w:val="00B00B0D"/>
    <w:rsid w:val="00B765F7"/>
    <w:rsid w:val="00BA0CA9"/>
    <w:rsid w:val="00C02897"/>
    <w:rsid w:val="00D0053B"/>
    <w:rsid w:val="00D30186"/>
    <w:rsid w:val="00D3439C"/>
    <w:rsid w:val="00D84B01"/>
    <w:rsid w:val="00DB1831"/>
    <w:rsid w:val="00DD3BFD"/>
    <w:rsid w:val="00DF6678"/>
    <w:rsid w:val="00EF2E22"/>
    <w:rsid w:val="00F660DF"/>
    <w:rsid w:val="00F730C8"/>
    <w:rsid w:val="00F95C08"/>
    <w:rsid w:val="00FD102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rsid w:val="00A36028"/>
    <w:rPr>
      <w:rFonts w:ascii="Times New Roman" w:hAnsi="Times New Roman" w:cs="Times New Roman"/>
      <w:sz w:val="20"/>
      <w:szCs w:val="20"/>
      <w:lang w:eastAsia="en-US"/>
    </w:rPr>
  </w:style>
  <w:style w:type="character" w:customStyle="1" w:styleId="apple-converted-space">
    <w:name w:val="apple-converted-space"/>
    <w:basedOn w:val="DefaultParagraphFont"/>
    <w:uiPriority w:val="99"/>
    <w:rsid w:val="00A3602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rsid w:val="00A36028"/>
    <w:rPr>
      <w:rFonts w:ascii="Times New Roman" w:hAnsi="Times New Roman" w:cs="Times New Roman"/>
      <w:sz w:val="20"/>
      <w:szCs w:val="20"/>
      <w:lang w:eastAsia="en-US"/>
    </w:rPr>
  </w:style>
  <w:style w:type="character" w:customStyle="1" w:styleId="apple-converted-space">
    <w:name w:val="apple-converted-space"/>
    <w:basedOn w:val="DefaultParagraphFont"/>
    <w:uiPriority w:val="99"/>
    <w:rsid w:val="00A3602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7633</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ST/SG/AC.10/C.3/2016/45</vt:lpstr>
      <vt:lpstr>ST/SG/AC.10/C.3/2016/45</vt:lpstr>
    </vt:vector>
  </TitlesOfParts>
  <Company>DCM</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ST/SG/AC.10/C.3/2016/45</dc:title>
  <dc:subject>final</dc:subject>
  <dc:creator>Nath V.</dc:creator>
  <cp:lastModifiedBy>Laurence Berthet</cp:lastModifiedBy>
  <cp:revision>2</cp:revision>
  <cp:lastPrinted>2016-05-23T13:54:00Z</cp:lastPrinted>
  <dcterms:created xsi:type="dcterms:W3CDTF">2016-05-23T13:54:00Z</dcterms:created>
  <dcterms:modified xsi:type="dcterms:W3CDTF">2016-05-23T13:54:00Z</dcterms:modified>
</cp:coreProperties>
</file>