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A32D41">
        <w:trPr>
          <w:trHeight w:val="851"/>
        </w:trPr>
        <w:tc>
          <w:tcPr>
            <w:tcW w:w="1259" w:type="dxa"/>
            <w:tcBorders>
              <w:top w:val="nil"/>
              <w:left w:val="nil"/>
              <w:bottom w:val="single" w:sz="4" w:space="0" w:color="auto"/>
              <w:right w:val="nil"/>
            </w:tcBorders>
          </w:tcPr>
          <w:p w:rsidR="00446DE4" w:rsidRPr="006500BA" w:rsidRDefault="00446DE4" w:rsidP="00A32D41">
            <w:pPr>
              <w:spacing w:after="80" w:line="340" w:lineRule="exact"/>
            </w:pPr>
          </w:p>
        </w:tc>
        <w:tc>
          <w:tcPr>
            <w:tcW w:w="2236" w:type="dxa"/>
            <w:tcBorders>
              <w:top w:val="nil"/>
              <w:left w:val="nil"/>
              <w:bottom w:val="single" w:sz="4" w:space="0" w:color="auto"/>
              <w:right w:val="nil"/>
            </w:tcBorders>
            <w:vAlign w:val="bottom"/>
          </w:tcPr>
          <w:p w:rsidR="00446DE4" w:rsidRPr="00A32D41" w:rsidRDefault="00B3317B" w:rsidP="00A32D41">
            <w:pPr>
              <w:spacing w:after="80" w:line="340" w:lineRule="exact"/>
              <w:rPr>
                <w:sz w:val="28"/>
                <w:szCs w:val="28"/>
              </w:rPr>
            </w:pPr>
            <w:r w:rsidRPr="00A32D41">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9461DD" w:rsidP="00BC2DE0">
            <w:pPr>
              <w:jc w:val="right"/>
            </w:pPr>
            <w:r w:rsidRPr="00A32D41">
              <w:rPr>
                <w:sz w:val="40"/>
              </w:rPr>
              <w:t>ST</w:t>
            </w:r>
            <w:r w:rsidR="003466AC">
              <w:t>/</w:t>
            </w:r>
            <w:r>
              <w:t>SG</w:t>
            </w:r>
            <w:r w:rsidR="003466AC">
              <w:t>/</w:t>
            </w:r>
            <w:r>
              <w:t>AC.10/C</w:t>
            </w:r>
            <w:r w:rsidR="003466AC">
              <w:t>.3/</w:t>
            </w:r>
            <w:r w:rsidR="00BD10E7">
              <w:t>201</w:t>
            </w:r>
            <w:r w:rsidR="005279D0">
              <w:t>6</w:t>
            </w:r>
            <w:r w:rsidR="003466AC">
              <w:t>/</w:t>
            </w:r>
            <w:r w:rsidR="00783D97">
              <w:t>30</w:t>
            </w:r>
            <w:r w:rsidR="00BC2DE0">
              <w:t>-</w:t>
            </w:r>
            <w:r w:rsidR="00BC2DE0" w:rsidRPr="00A32D41">
              <w:rPr>
                <w:sz w:val="40"/>
              </w:rPr>
              <w:t xml:space="preserve"> ST</w:t>
            </w:r>
            <w:r w:rsidR="00BC2DE0">
              <w:t>/SG/AC.10/C.4/2016/6</w:t>
            </w:r>
          </w:p>
        </w:tc>
      </w:tr>
      <w:tr w:rsidR="003107FA" w:rsidRPr="006500BA" w:rsidTr="00A32D41">
        <w:trPr>
          <w:trHeight w:val="2835"/>
        </w:trPr>
        <w:tc>
          <w:tcPr>
            <w:tcW w:w="1259" w:type="dxa"/>
            <w:tcBorders>
              <w:top w:val="single" w:sz="4" w:space="0" w:color="auto"/>
              <w:left w:val="nil"/>
              <w:bottom w:val="single" w:sz="12" w:space="0" w:color="auto"/>
              <w:right w:val="nil"/>
            </w:tcBorders>
          </w:tcPr>
          <w:p w:rsidR="003107FA" w:rsidRPr="006500BA" w:rsidRDefault="005132B7" w:rsidP="00A32D41">
            <w:pPr>
              <w:spacing w:before="120"/>
              <w:jc w:val="center"/>
            </w:pPr>
            <w:r>
              <w:rPr>
                <w:noProof/>
                <w:lang w:eastAsia="en-GB"/>
              </w:rPr>
              <w:drawing>
                <wp:inline distT="0" distB="0" distL="0" distR="0" wp14:anchorId="5B1AB55C" wp14:editId="2AAC7E6A">
                  <wp:extent cx="711200" cy="58928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A32D41" w:rsidRDefault="00D96CC5" w:rsidP="00A32D41">
            <w:pPr>
              <w:spacing w:before="120" w:line="420" w:lineRule="exact"/>
              <w:rPr>
                <w:b/>
                <w:sz w:val="40"/>
                <w:szCs w:val="40"/>
              </w:rPr>
            </w:pPr>
            <w:r w:rsidRPr="00A32D41">
              <w:rPr>
                <w:b/>
                <w:sz w:val="40"/>
                <w:szCs w:val="40"/>
              </w:rPr>
              <w:t>Secretariat</w:t>
            </w:r>
          </w:p>
        </w:tc>
        <w:tc>
          <w:tcPr>
            <w:tcW w:w="2930" w:type="dxa"/>
            <w:tcBorders>
              <w:top w:val="single" w:sz="4" w:space="0" w:color="auto"/>
              <w:left w:val="nil"/>
              <w:bottom w:val="single" w:sz="12" w:space="0" w:color="auto"/>
              <w:right w:val="nil"/>
            </w:tcBorders>
          </w:tcPr>
          <w:p w:rsidR="003466AC" w:rsidRDefault="003466AC" w:rsidP="00A32D41">
            <w:pPr>
              <w:spacing w:before="240" w:line="240" w:lineRule="exact"/>
            </w:pPr>
            <w:r>
              <w:t>Distr.: General</w:t>
            </w:r>
          </w:p>
          <w:p w:rsidR="003466AC" w:rsidRDefault="00495D1C" w:rsidP="00A32D41">
            <w:pPr>
              <w:spacing w:line="240" w:lineRule="exact"/>
            </w:pPr>
            <w:r>
              <w:t>7</w:t>
            </w:r>
            <w:r w:rsidR="001415A7">
              <w:t xml:space="preserve"> April</w:t>
            </w:r>
            <w:r w:rsidR="00B757DF">
              <w:t xml:space="preserve"> </w:t>
            </w:r>
            <w:r w:rsidR="00230AFE">
              <w:t>201</w:t>
            </w:r>
            <w:r w:rsidR="00870CE1">
              <w:t>6</w:t>
            </w:r>
          </w:p>
          <w:p w:rsidR="003466AC" w:rsidRDefault="003466AC" w:rsidP="00A32D41">
            <w:pPr>
              <w:spacing w:line="240" w:lineRule="exact"/>
            </w:pPr>
          </w:p>
          <w:p w:rsidR="003107FA" w:rsidRPr="006500BA" w:rsidRDefault="003466AC" w:rsidP="00A32D41">
            <w:pPr>
              <w:spacing w:line="240" w:lineRule="exact"/>
            </w:pPr>
            <w:r>
              <w:t>Original: English</w:t>
            </w:r>
          </w:p>
        </w:tc>
      </w:tr>
    </w:tbl>
    <w:p w:rsidR="00D35506" w:rsidRDefault="009F0F06" w:rsidP="005176CD">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202D5F" w:rsidRPr="00B32E71" w:rsidTr="00A96C14">
        <w:tc>
          <w:tcPr>
            <w:tcW w:w="4644" w:type="dxa"/>
            <w:shd w:val="clear" w:color="auto" w:fill="auto"/>
          </w:tcPr>
          <w:p w:rsidR="00202D5F" w:rsidRPr="00B32E71" w:rsidRDefault="00202D5F" w:rsidP="00A96C14">
            <w:pPr>
              <w:spacing w:before="120" w:after="240"/>
              <w:rPr>
                <w:b/>
              </w:rPr>
            </w:pPr>
            <w:r w:rsidRPr="00B32E71">
              <w:rPr>
                <w:b/>
              </w:rPr>
              <w:t xml:space="preserve">Sub-Committee of Experts on the Transport </w:t>
            </w:r>
            <w:r w:rsidRPr="00B32E71">
              <w:rPr>
                <w:b/>
              </w:rPr>
              <w:br/>
              <w:t xml:space="preserve">of Dangerous Goods </w:t>
            </w:r>
          </w:p>
        </w:tc>
        <w:tc>
          <w:tcPr>
            <w:tcW w:w="5103" w:type="dxa"/>
            <w:shd w:val="clear" w:color="auto" w:fill="auto"/>
          </w:tcPr>
          <w:p w:rsidR="00202D5F" w:rsidRPr="00B32E71" w:rsidRDefault="00202D5F" w:rsidP="00495D1C">
            <w:pPr>
              <w:spacing w:before="120"/>
              <w:ind w:left="113"/>
              <w:rPr>
                <w:b/>
              </w:rPr>
            </w:pPr>
            <w:r w:rsidRPr="00B32E71">
              <w:rPr>
                <w:b/>
              </w:rPr>
              <w:t xml:space="preserve">Sub-Committee of Experts on the Globally Harmonized System of Classification and Labelling of Chemicals </w:t>
            </w:r>
          </w:p>
        </w:tc>
      </w:tr>
      <w:tr w:rsidR="00202D5F" w:rsidRPr="00B32E71" w:rsidTr="00A96C14">
        <w:tc>
          <w:tcPr>
            <w:tcW w:w="4644" w:type="dxa"/>
            <w:shd w:val="clear" w:color="auto" w:fill="auto"/>
          </w:tcPr>
          <w:p w:rsidR="00202D5F" w:rsidRPr="00B32E71" w:rsidRDefault="00202D5F" w:rsidP="00A96C14">
            <w:pPr>
              <w:spacing w:after="120"/>
              <w:rPr>
                <w:b/>
              </w:rPr>
            </w:pPr>
            <w:r>
              <w:rPr>
                <w:b/>
              </w:rPr>
              <w:t>Forty-ninth session</w:t>
            </w:r>
          </w:p>
        </w:tc>
        <w:tc>
          <w:tcPr>
            <w:tcW w:w="5103" w:type="dxa"/>
            <w:shd w:val="clear" w:color="auto" w:fill="auto"/>
          </w:tcPr>
          <w:p w:rsidR="00202D5F" w:rsidRPr="00B32E71" w:rsidRDefault="00202D5F" w:rsidP="00495D1C">
            <w:pPr>
              <w:ind w:left="113"/>
              <w:rPr>
                <w:b/>
              </w:rPr>
            </w:pPr>
            <w:r w:rsidRPr="00FA5827">
              <w:rPr>
                <w:b/>
              </w:rPr>
              <w:t>Thirt</w:t>
            </w:r>
            <w:r>
              <w:rPr>
                <w:b/>
              </w:rPr>
              <w:t>y-first</w:t>
            </w:r>
            <w:r w:rsidRPr="00FA5827">
              <w:rPr>
                <w:b/>
              </w:rPr>
              <w:t xml:space="preserve"> session</w:t>
            </w:r>
          </w:p>
        </w:tc>
      </w:tr>
      <w:tr w:rsidR="00202D5F" w:rsidRPr="00B32E71" w:rsidTr="00A96C14">
        <w:tc>
          <w:tcPr>
            <w:tcW w:w="4644" w:type="dxa"/>
            <w:shd w:val="clear" w:color="auto" w:fill="auto"/>
          </w:tcPr>
          <w:p w:rsidR="00202D5F" w:rsidRDefault="00202D5F" w:rsidP="00A96C14">
            <w:pPr>
              <w:rPr>
                <w:sz w:val="19"/>
                <w:szCs w:val="19"/>
                <w:lang w:val="en-US"/>
              </w:rPr>
            </w:pPr>
            <w:r>
              <w:rPr>
                <w:sz w:val="19"/>
                <w:szCs w:val="19"/>
                <w:lang w:val="en-US"/>
              </w:rPr>
              <w:t xml:space="preserve">Geneva, </w:t>
            </w:r>
            <w:r w:rsidRPr="00A22A58">
              <w:rPr>
                <w:sz w:val="19"/>
                <w:szCs w:val="19"/>
                <w:lang w:val="en-US"/>
              </w:rPr>
              <w:t>27 June – 6 July 2016</w:t>
            </w:r>
          </w:p>
          <w:p w:rsidR="00202D5F" w:rsidRPr="0051274C" w:rsidRDefault="00202D5F" w:rsidP="00A96C14">
            <w:r w:rsidRPr="0051274C">
              <w:t xml:space="preserve">Item </w:t>
            </w:r>
            <w:r>
              <w:t>10 (</w:t>
            </w:r>
            <w:proofErr w:type="spellStart"/>
            <w:r>
              <w:t>i</w:t>
            </w:r>
            <w:proofErr w:type="spellEnd"/>
            <w:r>
              <w:t>)</w:t>
            </w:r>
            <w:r w:rsidRPr="0051274C">
              <w:t xml:space="preserve"> of the provisional agenda</w:t>
            </w:r>
          </w:p>
          <w:p w:rsidR="00202D5F" w:rsidRPr="00E16699" w:rsidRDefault="00202D5F" w:rsidP="00495D1C">
            <w:pPr>
              <w:spacing w:after="120"/>
              <w:rPr>
                <w:b/>
              </w:rPr>
            </w:pPr>
            <w:r w:rsidRPr="00465050">
              <w:rPr>
                <w:b/>
              </w:rPr>
              <w:t xml:space="preserve">Issues relating to the Globally Harmonized System of </w:t>
            </w:r>
            <w:r>
              <w:rPr>
                <w:b/>
              </w:rPr>
              <w:br/>
            </w:r>
            <w:r w:rsidRPr="00465050">
              <w:rPr>
                <w:b/>
              </w:rPr>
              <w:t xml:space="preserve">Classification and Labelling of Chemicals: </w:t>
            </w:r>
            <w:r w:rsidR="00495D1C">
              <w:rPr>
                <w:b/>
              </w:rPr>
              <w:t>m</w:t>
            </w:r>
            <w:r>
              <w:rPr>
                <w:b/>
              </w:rPr>
              <w:t>iscellaneous</w:t>
            </w:r>
          </w:p>
        </w:tc>
        <w:tc>
          <w:tcPr>
            <w:tcW w:w="5103" w:type="dxa"/>
            <w:shd w:val="clear" w:color="auto" w:fill="auto"/>
          </w:tcPr>
          <w:p w:rsidR="00202D5F" w:rsidRPr="003C655D" w:rsidRDefault="00202D5F" w:rsidP="00495D1C">
            <w:pPr>
              <w:ind w:left="113"/>
            </w:pPr>
            <w:r w:rsidRPr="003C655D">
              <w:t xml:space="preserve">Geneva, </w:t>
            </w:r>
            <w:r>
              <w:t>5-8 July 2016</w:t>
            </w:r>
          </w:p>
          <w:p w:rsidR="00202D5F" w:rsidRPr="00B32E71" w:rsidRDefault="00202D5F" w:rsidP="00495D1C">
            <w:pPr>
              <w:ind w:left="113"/>
              <w:rPr>
                <w:b/>
              </w:rPr>
            </w:pPr>
            <w:r w:rsidRPr="003C655D">
              <w:t xml:space="preserve">Item </w:t>
            </w:r>
            <w:r>
              <w:t xml:space="preserve">3 (f) </w:t>
            </w:r>
            <w:r w:rsidRPr="003C655D">
              <w:t>of the provisional agenda</w:t>
            </w:r>
            <w:r>
              <w:br/>
            </w:r>
            <w:r w:rsidRPr="00202D5F">
              <w:rPr>
                <w:b/>
              </w:rPr>
              <w:t>Classification criteria and related hazard communication</w:t>
            </w:r>
            <w:r>
              <w:rPr>
                <w:b/>
              </w:rPr>
              <w:t>: miscellaneous</w:t>
            </w:r>
          </w:p>
        </w:tc>
      </w:tr>
    </w:tbl>
    <w:p w:rsidR="00783D97" w:rsidRPr="00091304" w:rsidRDefault="007656AE" w:rsidP="00783D97">
      <w:pPr>
        <w:pStyle w:val="HChG"/>
        <w:rPr>
          <w:lang w:val="en-AU"/>
        </w:rPr>
      </w:pPr>
      <w:r w:rsidRPr="002D128B">
        <w:rPr>
          <w:rFonts w:eastAsia="MS Mincho"/>
          <w:lang w:eastAsia="ja-JP"/>
        </w:rPr>
        <w:tab/>
      </w:r>
      <w:r w:rsidRPr="002D128B">
        <w:rPr>
          <w:rFonts w:eastAsia="MS Mincho"/>
          <w:lang w:eastAsia="ja-JP"/>
        </w:rPr>
        <w:tab/>
      </w:r>
      <w:r w:rsidR="00783D97" w:rsidRPr="00091304">
        <w:rPr>
          <w:lang w:val="en-AU"/>
        </w:rPr>
        <w:t xml:space="preserve">Clarification of the </w:t>
      </w:r>
      <w:r w:rsidR="00253D10">
        <w:rPr>
          <w:lang w:val="en-AU"/>
        </w:rPr>
        <w:t>c</w:t>
      </w:r>
      <w:r w:rsidR="00783D97" w:rsidRPr="00091304">
        <w:rPr>
          <w:lang w:val="en-AU"/>
        </w:rPr>
        <w:t xml:space="preserve">lassification </w:t>
      </w:r>
      <w:r w:rsidR="00253D10">
        <w:rPr>
          <w:lang w:val="en-AU"/>
        </w:rPr>
        <w:t>c</w:t>
      </w:r>
      <w:r w:rsidR="00783D97" w:rsidRPr="00091304">
        <w:rPr>
          <w:lang w:val="en-AU"/>
        </w:rPr>
        <w:t xml:space="preserve">riteria for </w:t>
      </w:r>
      <w:r w:rsidR="00253D10">
        <w:rPr>
          <w:lang w:val="en-AU"/>
        </w:rPr>
        <w:t>d</w:t>
      </w:r>
      <w:r w:rsidR="00783D97" w:rsidRPr="00091304">
        <w:rPr>
          <w:lang w:val="en-AU"/>
        </w:rPr>
        <w:t xml:space="preserve">esensitised </w:t>
      </w:r>
      <w:r w:rsidR="00253D10">
        <w:rPr>
          <w:lang w:val="en-AU"/>
        </w:rPr>
        <w:t>e</w:t>
      </w:r>
      <w:r w:rsidR="00783D97" w:rsidRPr="00091304">
        <w:rPr>
          <w:lang w:val="en-AU"/>
        </w:rPr>
        <w:t>xplosives in GHS</w:t>
      </w:r>
    </w:p>
    <w:p w:rsidR="00783D97" w:rsidRDefault="00783D97" w:rsidP="00783D97">
      <w:pPr>
        <w:pStyle w:val="H1G"/>
        <w:rPr>
          <w:rFonts w:eastAsia="MS Mincho"/>
        </w:rPr>
      </w:pPr>
      <w:r>
        <w:rPr>
          <w:lang w:val="en-AU"/>
        </w:rPr>
        <w:tab/>
      </w:r>
      <w:r>
        <w:rPr>
          <w:lang w:val="en-AU"/>
        </w:rPr>
        <w:tab/>
      </w:r>
      <w:r w:rsidRPr="00091304">
        <w:rPr>
          <w:lang w:val="en-AU"/>
        </w:rPr>
        <w:t>Transmitted by the Australian Explosives Industry and Safety Group (AEISG)</w:t>
      </w:r>
      <w:r>
        <w:rPr>
          <w:lang w:val="en-AU"/>
        </w:rPr>
        <w:t xml:space="preserve"> and the Sporting</w:t>
      </w:r>
      <w:r w:rsidRPr="0078150A">
        <w:t xml:space="preserve"> Arms &amp; Ammunition Manufacturers’ Institute (SAAMI)</w:t>
      </w:r>
      <w:r w:rsidRPr="00783D97">
        <w:rPr>
          <w:rStyle w:val="FootnoteReference"/>
          <w:rFonts w:eastAsia="MS Mincho"/>
        </w:rPr>
        <w:t xml:space="preserve"> </w:t>
      </w:r>
      <w:r>
        <w:rPr>
          <w:rStyle w:val="FootnoteReference"/>
          <w:rFonts w:eastAsia="MS Mincho"/>
        </w:rPr>
        <w:footnoteReference w:id="2"/>
      </w:r>
    </w:p>
    <w:p w:rsidR="00EC7EF8" w:rsidRPr="00202D5F" w:rsidRDefault="00EC7EF8" w:rsidP="00253D10">
      <w:pPr>
        <w:ind w:left="1134" w:right="1134" w:hanging="1134"/>
        <w:jc w:val="both"/>
      </w:pPr>
      <w:r>
        <w:rPr>
          <w:b/>
          <w:sz w:val="24"/>
          <w:lang w:val="en-AU"/>
        </w:rPr>
        <w:tab/>
      </w:r>
      <w:r w:rsidRPr="00202D5F">
        <w:rPr>
          <w:lang w:val="en-AU"/>
        </w:rPr>
        <w:t>Note by AEISG and SAAMI: Although this proposal is mainly intended for the GHS Sub-Committee, it is suggested that it should first be reviewed by the Working Group on Explosives of the TDG Sub-Committee</w:t>
      </w:r>
      <w:r w:rsidR="00495D1C">
        <w:rPr>
          <w:lang w:val="en-AU"/>
        </w:rPr>
        <w:t>.</w:t>
      </w:r>
    </w:p>
    <w:p w:rsidR="00783D97" w:rsidRPr="0078150A" w:rsidRDefault="00783D97" w:rsidP="00783D97">
      <w:pPr>
        <w:pStyle w:val="HChG"/>
        <w:rPr>
          <w:lang w:val="en-AU"/>
        </w:rPr>
      </w:pPr>
      <w:r>
        <w:rPr>
          <w:lang w:val="en-AU"/>
        </w:rPr>
        <w:tab/>
      </w:r>
      <w:r>
        <w:rPr>
          <w:lang w:val="en-AU"/>
        </w:rPr>
        <w:tab/>
      </w:r>
      <w:r w:rsidRPr="0078150A">
        <w:rPr>
          <w:lang w:val="en-AU"/>
        </w:rPr>
        <w:t>Introduction</w:t>
      </w:r>
    </w:p>
    <w:p w:rsidR="00783D97" w:rsidRDefault="00783D97" w:rsidP="00783D97">
      <w:pPr>
        <w:pStyle w:val="SingleTxtG"/>
        <w:rPr>
          <w:lang w:val="en-AU"/>
        </w:rPr>
      </w:pPr>
      <w:r>
        <w:rPr>
          <w:lang w:val="en-AU"/>
        </w:rPr>
        <w:t>1.</w:t>
      </w:r>
      <w:r>
        <w:rPr>
          <w:lang w:val="en-AU"/>
        </w:rPr>
        <w:tab/>
        <w:t>A new Chapter 2.17 covering Desensitised Explosives was added in the sixth revised edition of the GHS.</w:t>
      </w:r>
    </w:p>
    <w:p w:rsidR="00783D97" w:rsidRDefault="00783D97" w:rsidP="00783D97">
      <w:pPr>
        <w:pStyle w:val="SingleTxtG"/>
        <w:rPr>
          <w:lang w:val="en-AU"/>
        </w:rPr>
      </w:pPr>
      <w:r>
        <w:rPr>
          <w:lang w:val="en-AU"/>
        </w:rPr>
        <w:t>2.</w:t>
      </w:r>
      <w:r>
        <w:rPr>
          <w:lang w:val="en-AU"/>
        </w:rPr>
        <w:tab/>
        <w:t>Section 2.17.2 of the GHS currently states:</w:t>
      </w:r>
    </w:p>
    <w:p w:rsidR="00783D97" w:rsidRPr="00783D97" w:rsidRDefault="00783D97" w:rsidP="00783D97">
      <w:pPr>
        <w:suppressAutoHyphens w:val="0"/>
        <w:spacing w:after="160" w:line="259" w:lineRule="auto"/>
        <w:ind w:left="900"/>
        <w:rPr>
          <w:b/>
          <w:lang w:val="en-AU"/>
        </w:rPr>
      </w:pPr>
      <w:r>
        <w:rPr>
          <w:b/>
          <w:lang w:val="en-AU"/>
        </w:rPr>
        <w:tab/>
      </w:r>
      <w:r>
        <w:rPr>
          <w:b/>
          <w:lang w:val="en-AU"/>
        </w:rPr>
        <w:tab/>
        <w:t>2.17.2</w:t>
      </w:r>
      <w:r>
        <w:rPr>
          <w:b/>
          <w:lang w:val="en-AU"/>
        </w:rPr>
        <w:tab/>
      </w:r>
      <w:r>
        <w:rPr>
          <w:b/>
          <w:lang w:val="en-AU"/>
        </w:rPr>
        <w:tab/>
      </w:r>
      <w:r w:rsidRPr="00783D97">
        <w:rPr>
          <w:b/>
          <w:lang w:val="en-AU"/>
        </w:rPr>
        <w:t>Classification criteria</w:t>
      </w:r>
    </w:p>
    <w:p w:rsidR="00783D97" w:rsidRPr="00783D97" w:rsidRDefault="00783D97" w:rsidP="00783D97">
      <w:pPr>
        <w:suppressAutoHyphens w:val="0"/>
        <w:spacing w:after="160" w:line="259" w:lineRule="auto"/>
        <w:ind w:left="900" w:right="1134"/>
        <w:jc w:val="both"/>
        <w:rPr>
          <w:lang w:val="en-AU"/>
        </w:rPr>
      </w:pPr>
      <w:r>
        <w:rPr>
          <w:lang w:val="en-AU"/>
        </w:rPr>
        <w:lastRenderedPageBreak/>
        <w:tab/>
      </w:r>
      <w:r>
        <w:rPr>
          <w:lang w:val="en-AU"/>
        </w:rPr>
        <w:tab/>
        <w:t>2.17.2.1</w:t>
      </w:r>
      <w:r>
        <w:rPr>
          <w:lang w:val="en-AU"/>
        </w:rPr>
        <w:tab/>
      </w:r>
      <w:r w:rsidRPr="00783D97">
        <w:rPr>
          <w:lang w:val="en-AU"/>
        </w:rPr>
        <w:t xml:space="preserve">Any explosive which is desensitized shall be considered in this class, </w:t>
      </w:r>
      <w:r>
        <w:rPr>
          <w:lang w:val="en-AU"/>
        </w:rPr>
        <w:tab/>
      </w:r>
      <w:r>
        <w:rPr>
          <w:lang w:val="en-AU"/>
        </w:rPr>
        <w:tab/>
      </w:r>
      <w:r>
        <w:rPr>
          <w:lang w:val="en-AU"/>
        </w:rPr>
        <w:tab/>
      </w:r>
      <w:r>
        <w:rPr>
          <w:lang w:val="en-AU"/>
        </w:rPr>
        <w:tab/>
      </w:r>
      <w:r w:rsidRPr="00783D97">
        <w:rPr>
          <w:lang w:val="en-AU"/>
        </w:rPr>
        <w:t>unless:</w:t>
      </w:r>
    </w:p>
    <w:p w:rsidR="00783D97" w:rsidRPr="00783D97" w:rsidRDefault="00783D97" w:rsidP="00783D97">
      <w:pPr>
        <w:suppressAutoHyphens w:val="0"/>
        <w:spacing w:after="160" w:line="259" w:lineRule="auto"/>
        <w:ind w:left="2835" w:right="1134" w:hanging="855"/>
        <w:jc w:val="both"/>
        <w:rPr>
          <w:lang w:val="en-AU"/>
        </w:rPr>
      </w:pPr>
      <w:r>
        <w:rPr>
          <w:lang w:val="en-AU"/>
        </w:rPr>
        <w:tab/>
      </w:r>
      <w:r>
        <w:rPr>
          <w:lang w:val="en-AU"/>
        </w:rPr>
        <w:tab/>
        <w:t>(a)</w:t>
      </w:r>
      <w:r>
        <w:rPr>
          <w:lang w:val="en-AU"/>
        </w:rPr>
        <w:tab/>
      </w:r>
      <w:r w:rsidRPr="00783D97">
        <w:rPr>
          <w:lang w:val="en-AU"/>
        </w:rPr>
        <w:t>It is manufactured with the view to producing a practical, explosive or pyrotechnic effect; or</w:t>
      </w:r>
    </w:p>
    <w:p w:rsidR="00783D97" w:rsidRDefault="00783D97" w:rsidP="00783D97">
      <w:pPr>
        <w:suppressAutoHyphens w:val="0"/>
        <w:spacing w:after="160" w:line="259" w:lineRule="auto"/>
        <w:ind w:left="2835" w:right="1134" w:hanging="855"/>
        <w:jc w:val="both"/>
        <w:rPr>
          <w:lang w:val="en-AU"/>
        </w:rPr>
      </w:pPr>
      <w:r>
        <w:rPr>
          <w:lang w:val="en-AU"/>
        </w:rPr>
        <w:tab/>
        <w:t>(b)</w:t>
      </w:r>
      <w:r>
        <w:rPr>
          <w:lang w:val="en-AU"/>
        </w:rPr>
        <w:tab/>
        <w:t xml:space="preserve">It has a mass explosion hazard according to test series 6 (a) or 6 (b) or their corrected burning rate according to the burning rate test described in part V, subsection 51.4 </w:t>
      </w:r>
      <w:r>
        <w:rPr>
          <w:i/>
          <w:lang w:val="en-AU"/>
        </w:rPr>
        <w:t>of the United Nations Recommendations on the Transport of Dangerous Goods, Manual of Tests and Criteria</w:t>
      </w:r>
      <w:r>
        <w:rPr>
          <w:lang w:val="en-AU"/>
        </w:rPr>
        <w:t xml:space="preserve"> is greater than 1200kg/min; or</w:t>
      </w:r>
    </w:p>
    <w:p w:rsidR="00783D97" w:rsidRPr="00783D97" w:rsidRDefault="00783D97" w:rsidP="001415A7">
      <w:pPr>
        <w:suppressAutoHyphens w:val="0"/>
        <w:spacing w:beforeLines="120" w:before="288" w:afterLines="120" w:after="288"/>
        <w:ind w:left="2835" w:right="1134" w:hanging="855"/>
        <w:jc w:val="both"/>
        <w:rPr>
          <w:lang w:val="en-AU"/>
        </w:rPr>
      </w:pPr>
      <w:r>
        <w:rPr>
          <w:lang w:val="en-AU"/>
        </w:rPr>
        <w:t>(c)</w:t>
      </w:r>
      <w:r>
        <w:rPr>
          <w:lang w:val="en-AU"/>
        </w:rPr>
        <w:tab/>
      </w:r>
      <w:r w:rsidRPr="00783D97">
        <w:rPr>
          <w:lang w:val="en-AU"/>
        </w:rPr>
        <w:t>Their exothermic decomposition energy is less than 300J/g.</w:t>
      </w:r>
    </w:p>
    <w:p w:rsidR="00783D97" w:rsidRDefault="00783D97" w:rsidP="001415A7">
      <w:pPr>
        <w:pStyle w:val="ListParagraph"/>
        <w:spacing w:beforeLines="120" w:before="288" w:afterLines="120" w:after="288"/>
        <w:ind w:left="2835" w:right="1134"/>
        <w:jc w:val="both"/>
        <w:rPr>
          <w:i/>
          <w:lang w:val="en-AU"/>
        </w:rPr>
      </w:pPr>
      <w:r>
        <w:rPr>
          <w:b/>
          <w:i/>
          <w:lang w:val="en-AU"/>
        </w:rPr>
        <w:t xml:space="preserve">NOTE 1: </w:t>
      </w:r>
      <w:r>
        <w:rPr>
          <w:i/>
          <w:lang w:val="en-AU"/>
        </w:rPr>
        <w:t xml:space="preserve">Substances or mixtures which meet the criterion (a) or (b) shall be classified as </w:t>
      </w:r>
      <w:proofErr w:type="gramStart"/>
      <w:r>
        <w:rPr>
          <w:i/>
          <w:lang w:val="en-AU"/>
        </w:rPr>
        <w:t>explosives,</w:t>
      </w:r>
      <w:proofErr w:type="gramEnd"/>
      <w:r>
        <w:rPr>
          <w:i/>
          <w:lang w:val="en-AU"/>
        </w:rPr>
        <w:t xml:space="preserve"> see chapter 2.1. Substances or mixtures which meet the criterion (c) may fall within the scope of other physical hazard classes.</w:t>
      </w:r>
    </w:p>
    <w:p w:rsidR="00783D97" w:rsidRDefault="00783D97" w:rsidP="001415A7">
      <w:pPr>
        <w:pStyle w:val="ListParagraph"/>
        <w:spacing w:beforeLines="120" w:before="288" w:afterLines="120" w:after="288"/>
        <w:ind w:left="2835" w:right="1134"/>
        <w:jc w:val="both"/>
        <w:rPr>
          <w:i/>
          <w:lang w:val="en-AU"/>
        </w:rPr>
      </w:pPr>
    </w:p>
    <w:p w:rsidR="00783D97" w:rsidRDefault="00783D97" w:rsidP="001415A7">
      <w:pPr>
        <w:pStyle w:val="ListParagraph"/>
        <w:spacing w:beforeLines="120" w:before="288" w:afterLines="120" w:after="288"/>
        <w:ind w:left="2835" w:right="1134"/>
        <w:jc w:val="both"/>
        <w:rPr>
          <w:i/>
          <w:lang w:val="en-AU"/>
        </w:rPr>
      </w:pPr>
      <w:r>
        <w:rPr>
          <w:b/>
          <w:i/>
          <w:lang w:val="en-AU"/>
        </w:rPr>
        <w:t>NOTE 2:</w:t>
      </w:r>
      <w:r>
        <w:rPr>
          <w:i/>
          <w:lang w:val="en-AU"/>
        </w:rPr>
        <w:t xml:space="preserve"> The exothermic decomposition energy may be estimated using a suitable calorimetric technique (see section 20, sub-section 20.3.3.3 in Part II of the United Nations Recommendations on the Transport of Dangerous Goods, Manual of Tests and Criteria).</w:t>
      </w:r>
    </w:p>
    <w:p w:rsidR="00783D97" w:rsidRPr="0078150A" w:rsidRDefault="00783D97" w:rsidP="00783D97">
      <w:pPr>
        <w:pStyle w:val="HChG"/>
      </w:pPr>
      <w:r>
        <w:rPr>
          <w:lang w:val="en-AU"/>
        </w:rPr>
        <w:tab/>
      </w:r>
      <w:r>
        <w:rPr>
          <w:lang w:val="en-AU"/>
        </w:rPr>
        <w:tab/>
      </w:r>
      <w:r w:rsidRPr="0078150A">
        <w:rPr>
          <w:lang w:val="en-AU"/>
        </w:rPr>
        <w:t>Discussion</w:t>
      </w:r>
    </w:p>
    <w:p w:rsidR="00783D97" w:rsidRDefault="00783D97" w:rsidP="00783D97">
      <w:pPr>
        <w:pStyle w:val="SingleTxtG"/>
      </w:pPr>
      <w:r>
        <w:t>3.</w:t>
      </w:r>
      <w:r>
        <w:tab/>
        <w:t xml:space="preserve">Varying interpretations of this paragraph have been experienced by industry, with some regulatory authorities believing that </w:t>
      </w:r>
      <w:proofErr w:type="gramStart"/>
      <w:r>
        <w:t>the criteria (a), (b) and (c) above</w:t>
      </w:r>
      <w:proofErr w:type="gramEnd"/>
      <w:r>
        <w:t xml:space="preserve"> refer to the explosive in its non-desensitised state. For example, paragraph (a) has been interpreted that </w:t>
      </w:r>
      <w:r>
        <w:rPr>
          <w:lang w:val="en-AU"/>
        </w:rPr>
        <w:t>wet TNT (UN 1356)</w:t>
      </w:r>
      <w:r w:rsidRPr="0078150A">
        <w:rPr>
          <w:lang w:val="en-AU"/>
        </w:rPr>
        <w:t xml:space="preserve"> </w:t>
      </w:r>
      <w:r>
        <w:t>that meets the test criteria must nevertheless be classified as an explosive because the intent is to later remove the desensitiser and use the material as an explosive. The same potential for misinterpretation also applies to paragraphs (b) and (c).</w:t>
      </w:r>
    </w:p>
    <w:p w:rsidR="00783D97" w:rsidRDefault="00783D97" w:rsidP="00783D97">
      <w:pPr>
        <w:pStyle w:val="SingleTxtG"/>
      </w:pPr>
      <w:r>
        <w:rPr>
          <w:lang w:val="en-AU"/>
        </w:rPr>
        <w:t>4.</w:t>
      </w:r>
      <w:r>
        <w:rPr>
          <w:lang w:val="en-AU"/>
        </w:rPr>
        <w:tab/>
        <w:t>Last December</w:t>
      </w:r>
      <w:r>
        <w:t xml:space="preserve"> the </w:t>
      </w:r>
      <w:r w:rsidR="00EC7EF8">
        <w:t>Working Group on Explosives of the TDG Sub-Committee</w:t>
      </w:r>
      <w:r>
        <w:t xml:space="preserve"> met in formal and informal sessions to discuss the review of GHS Chapter 2.1 (refer Report of the </w:t>
      </w:r>
      <w:r w:rsidR="00495D1C">
        <w:t>W</w:t>
      </w:r>
      <w:r>
        <w:t xml:space="preserve">orking Group on Explosives, </w:t>
      </w:r>
      <w:r w:rsidR="00EC7EF8">
        <w:t>informal document INF.53 (TDG Sub-Committee, 48</w:t>
      </w:r>
      <w:r w:rsidR="00EC7EF8" w:rsidRPr="00EC7EF8">
        <w:rPr>
          <w:vertAlign w:val="superscript"/>
        </w:rPr>
        <w:t>th</w:t>
      </w:r>
      <w:r w:rsidR="00EC7EF8">
        <w:t xml:space="preserve"> session)</w:t>
      </w:r>
      <w:r w:rsidR="00495D1C">
        <w:t>)</w:t>
      </w:r>
      <w:bookmarkStart w:id="0" w:name="_GoBack"/>
      <w:bookmarkEnd w:id="0"/>
      <w:r>
        <w:t>.</w:t>
      </w:r>
      <w:r w:rsidRPr="00004563">
        <w:t xml:space="preserve"> </w:t>
      </w:r>
      <w:r>
        <w:t xml:space="preserve">The issue of interpreting section 2.17.2.1 was raised by AEISG during the informal session of the </w:t>
      </w:r>
      <w:r w:rsidR="00EC7EF8">
        <w:t>Working Group on Explosives</w:t>
      </w:r>
      <w:r>
        <w:t xml:space="preserve">. The members of that group were of the opinion that the criteria in (a), (b) and (c) only apply to the explosive </w:t>
      </w:r>
      <w:r w:rsidRPr="00D77C51">
        <w:rPr>
          <w:b/>
          <w:u w:val="single"/>
        </w:rPr>
        <w:t>in its desensitized state</w:t>
      </w:r>
      <w:r>
        <w:t xml:space="preserve"> and that the interpretation discussed above was not valid. However, there was no objection to further clarifying this section to ensure consistency of application.</w:t>
      </w:r>
    </w:p>
    <w:p w:rsidR="00783D97" w:rsidRDefault="00783D97" w:rsidP="00783D97">
      <w:pPr>
        <w:pStyle w:val="SingleTxtG"/>
        <w:rPr>
          <w:lang w:val="en-AU"/>
        </w:rPr>
      </w:pPr>
      <w:r>
        <w:rPr>
          <w:lang w:val="en-AU"/>
        </w:rPr>
        <w:t>5.</w:t>
      </w:r>
      <w:r>
        <w:rPr>
          <w:lang w:val="en-AU"/>
        </w:rPr>
        <w:tab/>
      </w:r>
      <w:r w:rsidRPr="004D409A">
        <w:rPr>
          <w:lang w:val="en-AU"/>
        </w:rPr>
        <w:t xml:space="preserve">AEISG believes this section of Chapter 2.17 of GHS </w:t>
      </w:r>
      <w:r>
        <w:rPr>
          <w:lang w:val="en-AU"/>
        </w:rPr>
        <w:t>should</w:t>
      </w:r>
      <w:r w:rsidRPr="004D409A">
        <w:rPr>
          <w:lang w:val="en-AU"/>
        </w:rPr>
        <w:t xml:space="preserve"> be amended, and makes the following proposal.</w:t>
      </w:r>
      <w:r>
        <w:rPr>
          <w:lang w:val="en-AU"/>
        </w:rPr>
        <w:t xml:space="preserve"> Also, </w:t>
      </w:r>
      <w:r w:rsidRPr="004D409A">
        <w:rPr>
          <w:lang w:val="en-AU"/>
        </w:rPr>
        <w:t>a few typographical errors were noted, where “their” should be “the”, and these have been corrected in the proposed text.</w:t>
      </w:r>
    </w:p>
    <w:p w:rsidR="00783D97" w:rsidRPr="0078150A" w:rsidRDefault="00783D97" w:rsidP="00783D97">
      <w:pPr>
        <w:pStyle w:val="HChG"/>
        <w:rPr>
          <w:lang w:val="en-AU"/>
        </w:rPr>
      </w:pPr>
      <w:r>
        <w:rPr>
          <w:lang w:val="en-AU"/>
        </w:rPr>
        <w:tab/>
      </w:r>
      <w:r>
        <w:rPr>
          <w:lang w:val="en-AU"/>
        </w:rPr>
        <w:tab/>
      </w:r>
      <w:r w:rsidRPr="0078150A">
        <w:rPr>
          <w:lang w:val="en-AU"/>
        </w:rPr>
        <w:t>Proposal</w:t>
      </w:r>
    </w:p>
    <w:p w:rsidR="00783D97" w:rsidRDefault="00783D97" w:rsidP="00783D97">
      <w:pPr>
        <w:pStyle w:val="SingleTxtG"/>
        <w:rPr>
          <w:lang w:val="en-AU"/>
        </w:rPr>
      </w:pPr>
      <w:r>
        <w:rPr>
          <w:lang w:val="en-AU"/>
        </w:rPr>
        <w:t>6.</w:t>
      </w:r>
      <w:r>
        <w:rPr>
          <w:lang w:val="en-AU"/>
        </w:rPr>
        <w:tab/>
        <w:t>It is proposed to amend 2.17.2.1 of the GHS as follows:</w:t>
      </w:r>
    </w:p>
    <w:p w:rsidR="00783D97" w:rsidRPr="00A22A28" w:rsidRDefault="00783D97" w:rsidP="00783D97">
      <w:pPr>
        <w:pStyle w:val="ListParagraph"/>
        <w:numPr>
          <w:ilvl w:val="2"/>
          <w:numId w:val="42"/>
        </w:numPr>
        <w:suppressAutoHyphens w:val="0"/>
        <w:spacing w:after="160" w:line="259" w:lineRule="auto"/>
        <w:ind w:firstLine="81"/>
        <w:rPr>
          <w:b/>
          <w:lang w:val="en-AU"/>
        </w:rPr>
      </w:pPr>
      <w:r>
        <w:rPr>
          <w:b/>
          <w:lang w:val="en-AU"/>
        </w:rPr>
        <w:tab/>
      </w:r>
      <w:r w:rsidRPr="00A22A28">
        <w:rPr>
          <w:b/>
          <w:lang w:val="en-AU"/>
        </w:rPr>
        <w:t>Classification criteria</w:t>
      </w:r>
    </w:p>
    <w:p w:rsidR="00783D97" w:rsidRPr="00A22A28" w:rsidRDefault="00783D97" w:rsidP="001415A7">
      <w:pPr>
        <w:ind w:left="2835" w:right="1134" w:hanging="1134"/>
        <w:jc w:val="both"/>
        <w:rPr>
          <w:lang w:val="en-AU"/>
        </w:rPr>
      </w:pPr>
      <w:r>
        <w:rPr>
          <w:lang w:val="en-AU"/>
        </w:rPr>
        <w:lastRenderedPageBreak/>
        <w:t>2.17.2.1</w:t>
      </w:r>
      <w:r>
        <w:rPr>
          <w:lang w:val="en-AU"/>
        </w:rPr>
        <w:tab/>
      </w:r>
      <w:r w:rsidRPr="00A22A28">
        <w:rPr>
          <w:lang w:val="en-AU"/>
        </w:rPr>
        <w:t>Any explosive which is desensitized shall be considered in this class</w:t>
      </w:r>
      <w:r w:rsidRPr="005F51C4">
        <w:rPr>
          <w:u w:val="single"/>
          <w:lang w:val="en-AU"/>
        </w:rPr>
        <w:t>, regardless</w:t>
      </w:r>
      <w:r>
        <w:rPr>
          <w:u w:val="single"/>
          <w:lang w:val="en-AU"/>
        </w:rPr>
        <w:t xml:space="preserve"> of</w:t>
      </w:r>
      <w:r w:rsidRPr="005F51C4">
        <w:rPr>
          <w:u w:val="single"/>
          <w:lang w:val="en-AU"/>
        </w:rPr>
        <w:t xml:space="preserve"> whether it may be later re-sensitized and re-classified for explosive use, </w:t>
      </w:r>
      <w:r w:rsidRPr="00A22A28">
        <w:rPr>
          <w:lang w:val="en-AU"/>
        </w:rPr>
        <w:t>unless</w:t>
      </w:r>
      <w:r>
        <w:rPr>
          <w:lang w:val="en-AU"/>
        </w:rPr>
        <w:t xml:space="preserve"> </w:t>
      </w:r>
      <w:r w:rsidRPr="00A20FAE">
        <w:rPr>
          <w:u w:val="single"/>
          <w:lang w:val="en-AU"/>
        </w:rPr>
        <w:t>any of the following are true in its desensitised state</w:t>
      </w:r>
      <w:r w:rsidRPr="00A22A28">
        <w:rPr>
          <w:lang w:val="en-AU"/>
        </w:rPr>
        <w:t>:</w:t>
      </w:r>
    </w:p>
    <w:p w:rsidR="00783D97" w:rsidRPr="00783D97" w:rsidRDefault="00783D97" w:rsidP="00783D97">
      <w:pPr>
        <w:suppressAutoHyphens w:val="0"/>
        <w:spacing w:before="120" w:after="120"/>
        <w:ind w:left="2835" w:right="1134"/>
        <w:jc w:val="both"/>
        <w:rPr>
          <w:lang w:val="en-AU"/>
        </w:rPr>
      </w:pPr>
      <w:r>
        <w:rPr>
          <w:lang w:val="en-AU"/>
        </w:rPr>
        <w:t>(a)</w:t>
      </w:r>
      <w:r>
        <w:rPr>
          <w:lang w:val="en-AU"/>
        </w:rPr>
        <w:tab/>
      </w:r>
      <w:r w:rsidRPr="00783D97">
        <w:rPr>
          <w:lang w:val="en-AU"/>
        </w:rPr>
        <w:t>It is manufactured with the view to producing a practical, explosive or pyrotechnic effect; or</w:t>
      </w:r>
    </w:p>
    <w:p w:rsidR="00783D97" w:rsidRDefault="001415A7" w:rsidP="00783D97">
      <w:pPr>
        <w:suppressAutoHyphens w:val="0"/>
        <w:spacing w:before="120" w:after="120"/>
        <w:ind w:left="2835" w:right="1134"/>
        <w:jc w:val="both"/>
        <w:rPr>
          <w:lang w:val="en-AU"/>
        </w:rPr>
      </w:pPr>
      <w:r>
        <w:rPr>
          <w:lang w:val="en-AU"/>
        </w:rPr>
        <w:t>(b)</w:t>
      </w:r>
      <w:r>
        <w:rPr>
          <w:lang w:val="en-AU"/>
        </w:rPr>
        <w:tab/>
      </w:r>
      <w:r w:rsidR="00783D97">
        <w:rPr>
          <w:lang w:val="en-AU"/>
        </w:rPr>
        <w:t xml:space="preserve">It has a mass explosion hazard according to test series 6 (a) or 6 (b) or </w:t>
      </w:r>
      <w:r w:rsidR="00783D97" w:rsidRPr="005F51C4">
        <w:rPr>
          <w:strike/>
          <w:lang w:val="en-AU"/>
        </w:rPr>
        <w:t>their</w:t>
      </w:r>
      <w:r w:rsidR="00783D97">
        <w:rPr>
          <w:lang w:val="en-AU"/>
        </w:rPr>
        <w:t xml:space="preserve"> </w:t>
      </w:r>
      <w:r w:rsidR="00783D97">
        <w:rPr>
          <w:u w:val="single"/>
          <w:lang w:val="en-AU"/>
        </w:rPr>
        <w:t>the</w:t>
      </w:r>
      <w:r w:rsidR="00783D97">
        <w:rPr>
          <w:lang w:val="en-AU"/>
        </w:rPr>
        <w:t xml:space="preserve"> corrected burning rate according to the burning rate test described in part V, subsection 51.4 </w:t>
      </w:r>
      <w:r w:rsidR="00783D97">
        <w:rPr>
          <w:i/>
          <w:lang w:val="en-AU"/>
        </w:rPr>
        <w:t>of the United Nations Recommendations on the Transport of Dangerous Goods, Manual of Tests and Criteria</w:t>
      </w:r>
      <w:r w:rsidR="00783D97">
        <w:rPr>
          <w:lang w:val="en-AU"/>
        </w:rPr>
        <w:t xml:space="preserve"> is greater than 1200kg/min; or</w:t>
      </w:r>
    </w:p>
    <w:p w:rsidR="00783D97" w:rsidRPr="0078150A" w:rsidRDefault="001415A7" w:rsidP="00783D97">
      <w:pPr>
        <w:suppressAutoHyphens w:val="0"/>
        <w:spacing w:before="120" w:after="120"/>
        <w:ind w:left="2835" w:right="1134"/>
        <w:jc w:val="both"/>
        <w:rPr>
          <w:lang w:val="en-AU"/>
        </w:rPr>
      </w:pPr>
      <w:r w:rsidRPr="001415A7">
        <w:rPr>
          <w:lang w:val="en-AU"/>
        </w:rPr>
        <w:t>(c)</w:t>
      </w:r>
      <w:r w:rsidRPr="001415A7">
        <w:rPr>
          <w:lang w:val="en-AU"/>
        </w:rPr>
        <w:tab/>
      </w:r>
      <w:r w:rsidR="00783D97" w:rsidRPr="005F51C4">
        <w:rPr>
          <w:strike/>
          <w:lang w:val="en-AU"/>
        </w:rPr>
        <w:t>Their</w:t>
      </w:r>
      <w:r w:rsidR="00783D97">
        <w:rPr>
          <w:lang w:val="en-AU"/>
        </w:rPr>
        <w:t xml:space="preserve"> </w:t>
      </w:r>
      <w:proofErr w:type="gramStart"/>
      <w:r w:rsidR="00783D97" w:rsidRPr="00A20FAE">
        <w:rPr>
          <w:u w:val="single"/>
          <w:lang w:val="en-AU"/>
        </w:rPr>
        <w:t>The</w:t>
      </w:r>
      <w:proofErr w:type="gramEnd"/>
      <w:r w:rsidR="00783D97" w:rsidRPr="0078150A">
        <w:rPr>
          <w:lang w:val="en-AU"/>
        </w:rPr>
        <w:t xml:space="preserve"> exothermic decomposition energy is less than 300J/g.</w:t>
      </w:r>
    </w:p>
    <w:p w:rsidR="00783D97" w:rsidRPr="00A20FAE" w:rsidRDefault="00783D97" w:rsidP="001415A7">
      <w:pPr>
        <w:spacing w:beforeLines="120" w:before="288" w:afterLines="120" w:after="288"/>
        <w:ind w:left="2340" w:right="1134"/>
        <w:jc w:val="both"/>
        <w:rPr>
          <w:i/>
          <w:lang w:val="en-AU"/>
        </w:rPr>
      </w:pPr>
      <w:r w:rsidRPr="00A20FAE">
        <w:rPr>
          <w:b/>
          <w:i/>
          <w:lang w:val="en-AU"/>
        </w:rPr>
        <w:t xml:space="preserve">NOTE 1: </w:t>
      </w:r>
      <w:r w:rsidRPr="00A20FAE">
        <w:rPr>
          <w:i/>
          <w:lang w:val="en-AU"/>
        </w:rPr>
        <w:t xml:space="preserve">Substances or mixtures which meet the criterion (a) or (b) shall be classified as </w:t>
      </w:r>
      <w:proofErr w:type="gramStart"/>
      <w:r w:rsidRPr="00A20FAE">
        <w:rPr>
          <w:i/>
          <w:lang w:val="en-AU"/>
        </w:rPr>
        <w:t>explosives,</w:t>
      </w:r>
      <w:proofErr w:type="gramEnd"/>
      <w:r w:rsidRPr="00A20FAE">
        <w:rPr>
          <w:i/>
          <w:lang w:val="en-AU"/>
        </w:rPr>
        <w:t xml:space="preserve"> see chapter 2.1. Substances or mixtures which meet the criterion (c) may fall within the scope of other physical hazard classes.</w:t>
      </w:r>
    </w:p>
    <w:p w:rsidR="00783D97" w:rsidRDefault="00783D97" w:rsidP="001415A7">
      <w:pPr>
        <w:spacing w:beforeLines="120" w:before="288" w:afterLines="120" w:after="288"/>
        <w:ind w:left="2340" w:right="1134"/>
        <w:jc w:val="both"/>
        <w:rPr>
          <w:i/>
          <w:lang w:val="en-AU"/>
        </w:rPr>
      </w:pPr>
      <w:r w:rsidRPr="00A20FAE">
        <w:rPr>
          <w:b/>
          <w:i/>
          <w:lang w:val="en-AU"/>
        </w:rPr>
        <w:t>NOTE 2:</w:t>
      </w:r>
      <w:r w:rsidRPr="00A20FAE">
        <w:rPr>
          <w:i/>
          <w:lang w:val="en-AU"/>
        </w:rPr>
        <w:t xml:space="preserve"> The exothermic decomposition energy may be estimated using a suitable calorimetric technique (see section 20, sub-section 20.3.3.3 in Part II of the United Nations Recommendations on the Transport of Dangerous Goods, Manual of Tests and Criteria).</w:t>
      </w:r>
    </w:p>
    <w:p w:rsidR="001415A7" w:rsidRPr="001415A7" w:rsidRDefault="001415A7" w:rsidP="001415A7">
      <w:pPr>
        <w:spacing w:before="288" w:after="288"/>
        <w:ind w:left="1134" w:right="1134"/>
        <w:jc w:val="center"/>
        <w:rPr>
          <w:u w:val="single"/>
          <w:lang w:val="en-AU"/>
        </w:rPr>
      </w:pPr>
      <w:r>
        <w:rPr>
          <w:b/>
          <w:i/>
          <w:u w:val="single"/>
          <w:lang w:val="en-AU"/>
        </w:rPr>
        <w:tab/>
      </w:r>
      <w:r>
        <w:rPr>
          <w:b/>
          <w:i/>
          <w:u w:val="single"/>
          <w:lang w:val="en-AU"/>
        </w:rPr>
        <w:tab/>
      </w:r>
      <w:r>
        <w:rPr>
          <w:b/>
          <w:i/>
          <w:u w:val="single"/>
          <w:lang w:val="en-AU"/>
        </w:rPr>
        <w:tab/>
      </w:r>
    </w:p>
    <w:sectPr w:rsidR="001415A7" w:rsidRPr="001415A7" w:rsidSect="003466AC">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97" w:rsidRDefault="00783D97"/>
  </w:endnote>
  <w:endnote w:type="continuationSeparator" w:id="0">
    <w:p w:rsidR="00783D97" w:rsidRDefault="00783D97"/>
  </w:endnote>
  <w:endnote w:type="continuationNotice" w:id="1">
    <w:p w:rsidR="00783D97" w:rsidRDefault="00783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7" w:rsidRPr="003466AC" w:rsidRDefault="00783D97" w:rsidP="003466AC">
    <w:pPr>
      <w:pStyle w:val="Footer"/>
      <w:tabs>
        <w:tab w:val="right" w:pos="9638"/>
      </w:tabs>
      <w:rPr>
        <w:sz w:val="18"/>
      </w:rPr>
    </w:pPr>
    <w:r w:rsidRPr="003466AC">
      <w:rPr>
        <w:b/>
        <w:sz w:val="18"/>
      </w:rPr>
      <w:fldChar w:fldCharType="begin"/>
    </w:r>
    <w:r w:rsidRPr="003466AC">
      <w:rPr>
        <w:b/>
        <w:sz w:val="18"/>
      </w:rPr>
      <w:instrText xml:space="preserve"> PAGE  \* MERGEFORMAT </w:instrText>
    </w:r>
    <w:r w:rsidRPr="003466AC">
      <w:rPr>
        <w:b/>
        <w:sz w:val="18"/>
      </w:rPr>
      <w:fldChar w:fldCharType="separate"/>
    </w:r>
    <w:r w:rsidR="00495D1C">
      <w:rPr>
        <w:b/>
        <w:noProof/>
        <w:sz w:val="18"/>
      </w:rPr>
      <w:t>2</w:t>
    </w:r>
    <w:r w:rsidRPr="003466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7" w:rsidRPr="003466AC" w:rsidRDefault="00783D97" w:rsidP="003466AC">
    <w:pPr>
      <w:pStyle w:val="Footer"/>
      <w:tabs>
        <w:tab w:val="right" w:pos="9638"/>
      </w:tabs>
      <w:rPr>
        <w:b/>
        <w:sz w:val="18"/>
      </w:rPr>
    </w:pPr>
    <w:r>
      <w:tab/>
    </w:r>
    <w:r w:rsidRPr="003466AC">
      <w:rPr>
        <w:b/>
        <w:sz w:val="18"/>
      </w:rPr>
      <w:fldChar w:fldCharType="begin"/>
    </w:r>
    <w:r w:rsidRPr="003466AC">
      <w:rPr>
        <w:b/>
        <w:sz w:val="18"/>
      </w:rPr>
      <w:instrText xml:space="preserve"> PAGE  \* MERGEFORMAT </w:instrText>
    </w:r>
    <w:r w:rsidRPr="003466AC">
      <w:rPr>
        <w:b/>
        <w:sz w:val="18"/>
      </w:rPr>
      <w:fldChar w:fldCharType="separate"/>
    </w:r>
    <w:r w:rsidR="00495D1C">
      <w:rPr>
        <w:b/>
        <w:noProof/>
        <w:sz w:val="18"/>
      </w:rPr>
      <w:t>3</w:t>
    </w:r>
    <w:r w:rsidRPr="003466A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97" w:rsidRPr="000B175B" w:rsidRDefault="00783D97" w:rsidP="000B175B">
      <w:pPr>
        <w:tabs>
          <w:tab w:val="right" w:pos="2155"/>
        </w:tabs>
        <w:spacing w:after="80"/>
        <w:ind w:left="680"/>
        <w:rPr>
          <w:u w:val="single"/>
        </w:rPr>
      </w:pPr>
      <w:r>
        <w:rPr>
          <w:u w:val="single"/>
        </w:rPr>
        <w:tab/>
      </w:r>
    </w:p>
  </w:footnote>
  <w:footnote w:type="continuationSeparator" w:id="0">
    <w:p w:rsidR="00783D97" w:rsidRPr="00FC68B7" w:rsidRDefault="00783D97" w:rsidP="00FC68B7">
      <w:pPr>
        <w:tabs>
          <w:tab w:val="left" w:pos="2155"/>
        </w:tabs>
        <w:spacing w:after="80"/>
        <w:ind w:left="680"/>
        <w:rPr>
          <w:u w:val="single"/>
        </w:rPr>
      </w:pPr>
      <w:r>
        <w:rPr>
          <w:u w:val="single"/>
        </w:rPr>
        <w:tab/>
      </w:r>
    </w:p>
  </w:footnote>
  <w:footnote w:type="continuationNotice" w:id="1">
    <w:p w:rsidR="00783D97" w:rsidRDefault="00783D97"/>
  </w:footnote>
  <w:footnote w:id="2">
    <w:p w:rsidR="00783D97" w:rsidRPr="00EC7EF8" w:rsidRDefault="00783D97" w:rsidP="00783D97">
      <w:pPr>
        <w:pStyle w:val="FootnoteText"/>
        <w:ind w:firstLine="0"/>
      </w:pPr>
      <w:r>
        <w:rPr>
          <w:rStyle w:val="FootnoteReference"/>
        </w:rPr>
        <w:footnoteRef/>
      </w:r>
      <w:r>
        <w:t xml:space="preserve"> </w:t>
      </w:r>
      <w:r w:rsidRPr="00554D27">
        <w:t xml:space="preserve">In accordance </w:t>
      </w:r>
      <w:r w:rsidRPr="00221AA5">
        <w:t>with</w:t>
      </w:r>
      <w:r w:rsidRPr="00554D27">
        <w:t xml:space="preserve"> the programme of wo</w:t>
      </w:r>
      <w:r>
        <w:t xml:space="preserve">rk of the </w:t>
      </w:r>
      <w:r w:rsidR="00EC7EF8">
        <w:t>subcommittees</w:t>
      </w:r>
      <w:r>
        <w:t xml:space="preserv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rsidR="00EC7EF8">
        <w:t>,</w:t>
      </w:r>
      <w:r w:rsidR="00253D10">
        <w:t xml:space="preserve"> ST/SG/AC.10/C.4/60, annex III </w:t>
      </w:r>
      <w:r>
        <w:t>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7" w:rsidRDefault="00783D97">
    <w:pPr>
      <w:pStyle w:val="Header"/>
    </w:pPr>
    <w:r>
      <w:t>ST/SG/AC.10/C.3/2016/30</w:t>
    </w:r>
  </w:p>
  <w:p w:rsidR="00BC2DE0" w:rsidRPr="003466AC" w:rsidRDefault="00BC2DE0">
    <w:pPr>
      <w:pStyle w:val="Header"/>
    </w:pPr>
    <w:r w:rsidRPr="00BC2DE0">
      <w:t>ST</w:t>
    </w:r>
    <w:r>
      <w:t>/SG/AC.10/C.4/2016/6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7" w:rsidRDefault="00783D97" w:rsidP="004A7B6C">
    <w:pPr>
      <w:pStyle w:val="Header"/>
      <w:jc w:val="right"/>
    </w:pPr>
    <w:r>
      <w:t>ST/SG/AC.10/C.3/2016/30</w:t>
    </w:r>
  </w:p>
  <w:p w:rsidR="00BC2DE0" w:rsidRPr="004A7B6C" w:rsidRDefault="00BC2DE0" w:rsidP="004A7B6C">
    <w:pPr>
      <w:pStyle w:val="Header"/>
      <w:jc w:val="right"/>
    </w:pPr>
    <w:r w:rsidRPr="00BC2DE0">
      <w:t>ST</w:t>
    </w:r>
    <w:r>
      <w:t>/SG/AC.10/C.4/2016/6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483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lowerLetter"/>
      <w:lvlText w:val="(%1)"/>
      <w:lvlJc w:val="left"/>
      <w:pPr>
        <w:tabs>
          <w:tab w:val="num" w:pos="0"/>
        </w:tabs>
        <w:ind w:left="450" w:hanging="360"/>
      </w:pPr>
    </w:lvl>
  </w:abstractNum>
  <w:abstractNum w:abstractNumId="12">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rPr>
    </w:lvl>
  </w:abstractNum>
  <w:abstractNum w:abstractNumId="13">
    <w:nsid w:val="015D053B"/>
    <w:multiLevelType w:val="multilevel"/>
    <w:tmpl w:val="5B180B92"/>
    <w:lvl w:ilvl="0">
      <w:start w:val="1"/>
      <w:numFmt w:val="decimal"/>
      <w:lvlText w:val="%1."/>
      <w:lvlJc w:val="left"/>
      <w:pPr>
        <w:ind w:left="720" w:hanging="360"/>
      </w:pPr>
    </w:lvl>
    <w:lvl w:ilvl="1">
      <w:start w:val="17"/>
      <w:numFmt w:val="decimal"/>
      <w:isLgl/>
      <w:lvlText w:val="%1.%2"/>
      <w:lvlJc w:val="left"/>
      <w:pPr>
        <w:ind w:left="1260" w:hanging="72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05A07B90"/>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0C5E20DA"/>
    <w:multiLevelType w:val="multilevel"/>
    <w:tmpl w:val="126C4072"/>
    <w:lvl w:ilvl="0">
      <w:start w:val="2"/>
      <w:numFmt w:val="decimal"/>
      <w:lvlText w:val="%1"/>
      <w:lvlJc w:val="left"/>
      <w:pPr>
        <w:ind w:left="540" w:hanging="540"/>
      </w:pPr>
      <w:rPr>
        <w:rFonts w:hint="default"/>
      </w:rPr>
    </w:lvl>
    <w:lvl w:ilvl="1">
      <w:start w:val="17"/>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8">
    <w:nsid w:val="0C8B70F0"/>
    <w:multiLevelType w:val="hybridMultilevel"/>
    <w:tmpl w:val="0A80230C"/>
    <w:lvl w:ilvl="0" w:tplc="0409001B">
      <w:start w:val="1"/>
      <w:numFmt w:val="lowerRoman"/>
      <w:lvlText w:val="%1."/>
      <w:lvlJc w:val="righ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2F1098"/>
    <w:multiLevelType w:val="hybridMultilevel"/>
    <w:tmpl w:val="697C368C"/>
    <w:lvl w:ilvl="0" w:tplc="CBBEDD4C">
      <w:numFmt w:val="bullet"/>
      <w:lvlText w:val="-"/>
      <w:lvlJc w:val="left"/>
      <w:pPr>
        <w:ind w:left="2061" w:hanging="360"/>
      </w:pPr>
      <w:rPr>
        <w:rFonts w:ascii="Times New Roman" w:eastAsia="Times New Roman" w:hAnsi="Times New Roman"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1">
    <w:nsid w:val="1B954D07"/>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1CC9072E"/>
    <w:multiLevelType w:val="hybridMultilevel"/>
    <w:tmpl w:val="4D146DCA"/>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291DD6"/>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214A588D"/>
    <w:multiLevelType w:val="hybridMultilevel"/>
    <w:tmpl w:val="24C894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256978A4"/>
    <w:multiLevelType w:val="hybridMultilevel"/>
    <w:tmpl w:val="E6B8C4C0"/>
    <w:lvl w:ilvl="0" w:tplc="DB889090">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287945"/>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43F68DB"/>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471778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46501C9C"/>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584400F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A303AF2"/>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5E3C5B9C"/>
    <w:multiLevelType w:val="hybridMultilevel"/>
    <w:tmpl w:val="560EC916"/>
    <w:lvl w:ilvl="0" w:tplc="0C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5E7744C0"/>
    <w:multiLevelType w:val="hybridMultilevel"/>
    <w:tmpl w:val="6EB8E4BC"/>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3D24C61"/>
    <w:multiLevelType w:val="hybridMultilevel"/>
    <w:tmpl w:val="F8E03DD2"/>
    <w:lvl w:ilvl="0" w:tplc="123A79A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641E1D98"/>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67E2A3D"/>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6E95084E"/>
    <w:multiLevelType w:val="hybridMultilevel"/>
    <w:tmpl w:val="80B2A538"/>
    <w:lvl w:ilvl="0" w:tplc="E9C0F21A">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4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A805E51"/>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7B303461"/>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34"/>
  </w:num>
  <w:num w:numId="12">
    <w:abstractNumId w:val="19"/>
  </w:num>
  <w:num w:numId="13">
    <w:abstractNumId w:val="15"/>
  </w:num>
  <w:num w:numId="14">
    <w:abstractNumId w:val="37"/>
  </w:num>
  <w:num w:numId="15">
    <w:abstractNumId w:val="40"/>
  </w:num>
  <w:num w:numId="16">
    <w:abstractNumId w:val="11"/>
  </w:num>
  <w:num w:numId="17">
    <w:abstractNumId w:val="12"/>
  </w:num>
  <w:num w:numId="18">
    <w:abstractNumId w:val="16"/>
  </w:num>
  <w:num w:numId="19">
    <w:abstractNumId w:val="27"/>
  </w:num>
  <w:num w:numId="20">
    <w:abstractNumId w:val="38"/>
  </w:num>
  <w:num w:numId="21">
    <w:abstractNumId w:val="35"/>
  </w:num>
  <w:num w:numId="22">
    <w:abstractNumId w:val="33"/>
  </w:num>
  <w:num w:numId="23">
    <w:abstractNumId w:val="22"/>
  </w:num>
  <w:num w:numId="24">
    <w:abstractNumId w:val="26"/>
  </w:num>
  <w:num w:numId="25">
    <w:abstractNumId w:val="28"/>
  </w:num>
  <w:num w:numId="26">
    <w:abstractNumId w:val="0"/>
  </w:num>
  <w:num w:numId="27">
    <w:abstractNumId w:val="29"/>
  </w:num>
  <w:num w:numId="28">
    <w:abstractNumId w:val="23"/>
  </w:num>
  <w:num w:numId="29">
    <w:abstractNumId w:val="14"/>
  </w:num>
  <w:num w:numId="30">
    <w:abstractNumId w:val="41"/>
  </w:num>
  <w:num w:numId="31">
    <w:abstractNumId w:val="36"/>
  </w:num>
  <w:num w:numId="32">
    <w:abstractNumId w:val="30"/>
  </w:num>
  <w:num w:numId="33">
    <w:abstractNumId w:val="39"/>
  </w:num>
  <w:num w:numId="34">
    <w:abstractNumId w:val="18"/>
  </w:num>
  <w:num w:numId="35">
    <w:abstractNumId w:val="21"/>
  </w:num>
  <w:num w:numId="36">
    <w:abstractNumId w:val="20"/>
  </w:num>
  <w:num w:numId="37">
    <w:abstractNumId w:val="42"/>
  </w:num>
  <w:num w:numId="38">
    <w:abstractNumId w:val="31"/>
  </w:num>
  <w:num w:numId="39">
    <w:abstractNumId w:val="24"/>
  </w:num>
  <w:num w:numId="40">
    <w:abstractNumId w:val="13"/>
  </w:num>
  <w:num w:numId="41">
    <w:abstractNumId w:val="32"/>
  </w:num>
  <w:num w:numId="42">
    <w:abstractNumId w:val="17"/>
  </w:num>
  <w:num w:numId="4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5930"/>
    <w:rsid w:val="00005D07"/>
    <w:rsid w:val="000136A3"/>
    <w:rsid w:val="0001795F"/>
    <w:rsid w:val="000214D7"/>
    <w:rsid w:val="000226D5"/>
    <w:rsid w:val="00026E95"/>
    <w:rsid w:val="00034900"/>
    <w:rsid w:val="00041765"/>
    <w:rsid w:val="00041E8E"/>
    <w:rsid w:val="00043A96"/>
    <w:rsid w:val="00043CD1"/>
    <w:rsid w:val="00046C4F"/>
    <w:rsid w:val="00050F6B"/>
    <w:rsid w:val="0005114D"/>
    <w:rsid w:val="000551EC"/>
    <w:rsid w:val="000669BF"/>
    <w:rsid w:val="00072C8C"/>
    <w:rsid w:val="000765A2"/>
    <w:rsid w:val="00091419"/>
    <w:rsid w:val="000931C0"/>
    <w:rsid w:val="000933F0"/>
    <w:rsid w:val="00097227"/>
    <w:rsid w:val="000A626F"/>
    <w:rsid w:val="000B175B"/>
    <w:rsid w:val="000B2297"/>
    <w:rsid w:val="000B3A0F"/>
    <w:rsid w:val="000B5B37"/>
    <w:rsid w:val="000C2AF9"/>
    <w:rsid w:val="000C3CA0"/>
    <w:rsid w:val="000C6232"/>
    <w:rsid w:val="000D7AAB"/>
    <w:rsid w:val="000E0415"/>
    <w:rsid w:val="000E0662"/>
    <w:rsid w:val="000E6BA2"/>
    <w:rsid w:val="000F38EF"/>
    <w:rsid w:val="000F55F3"/>
    <w:rsid w:val="000F6A97"/>
    <w:rsid w:val="001026FB"/>
    <w:rsid w:val="00113A17"/>
    <w:rsid w:val="0011420F"/>
    <w:rsid w:val="00115106"/>
    <w:rsid w:val="00117787"/>
    <w:rsid w:val="00123FB1"/>
    <w:rsid w:val="001311AD"/>
    <w:rsid w:val="00131D42"/>
    <w:rsid w:val="00133B0D"/>
    <w:rsid w:val="0013619A"/>
    <w:rsid w:val="001415A7"/>
    <w:rsid w:val="00144D36"/>
    <w:rsid w:val="00150BD0"/>
    <w:rsid w:val="0015105B"/>
    <w:rsid w:val="00151EB2"/>
    <w:rsid w:val="0015303B"/>
    <w:rsid w:val="00153FB7"/>
    <w:rsid w:val="001551D6"/>
    <w:rsid w:val="00162B16"/>
    <w:rsid w:val="001633FB"/>
    <w:rsid w:val="00175631"/>
    <w:rsid w:val="00176B7E"/>
    <w:rsid w:val="001779D9"/>
    <w:rsid w:val="0018094B"/>
    <w:rsid w:val="00180C03"/>
    <w:rsid w:val="00184A9C"/>
    <w:rsid w:val="0019568D"/>
    <w:rsid w:val="001A13D6"/>
    <w:rsid w:val="001A425A"/>
    <w:rsid w:val="001B4B04"/>
    <w:rsid w:val="001B7130"/>
    <w:rsid w:val="001C6663"/>
    <w:rsid w:val="001C75BA"/>
    <w:rsid w:val="001C7895"/>
    <w:rsid w:val="001D174F"/>
    <w:rsid w:val="001D26DF"/>
    <w:rsid w:val="001D2FDC"/>
    <w:rsid w:val="001D40D7"/>
    <w:rsid w:val="001D4439"/>
    <w:rsid w:val="001E0287"/>
    <w:rsid w:val="001E2486"/>
    <w:rsid w:val="001E3506"/>
    <w:rsid w:val="001E3D5E"/>
    <w:rsid w:val="001F3705"/>
    <w:rsid w:val="001F592F"/>
    <w:rsid w:val="001F5FA3"/>
    <w:rsid w:val="00202D5F"/>
    <w:rsid w:val="0020326C"/>
    <w:rsid w:val="00211E0B"/>
    <w:rsid w:val="002141E2"/>
    <w:rsid w:val="002168A8"/>
    <w:rsid w:val="00223481"/>
    <w:rsid w:val="002309A7"/>
    <w:rsid w:val="00230AFE"/>
    <w:rsid w:val="00237785"/>
    <w:rsid w:val="00241466"/>
    <w:rsid w:val="00244717"/>
    <w:rsid w:val="00244943"/>
    <w:rsid w:val="00244EF4"/>
    <w:rsid w:val="00245539"/>
    <w:rsid w:val="00253D10"/>
    <w:rsid w:val="00256D47"/>
    <w:rsid w:val="00260303"/>
    <w:rsid w:val="00266C29"/>
    <w:rsid w:val="00266FF9"/>
    <w:rsid w:val="002725CA"/>
    <w:rsid w:val="00274CF5"/>
    <w:rsid w:val="00280EB7"/>
    <w:rsid w:val="00294F05"/>
    <w:rsid w:val="002965C6"/>
    <w:rsid w:val="002A04A5"/>
    <w:rsid w:val="002A1361"/>
    <w:rsid w:val="002A30C2"/>
    <w:rsid w:val="002B0D4A"/>
    <w:rsid w:val="002B1CDA"/>
    <w:rsid w:val="002B2DF4"/>
    <w:rsid w:val="002B4B44"/>
    <w:rsid w:val="002C4E7D"/>
    <w:rsid w:val="002C6766"/>
    <w:rsid w:val="002D22E5"/>
    <w:rsid w:val="002D503D"/>
    <w:rsid w:val="002D7539"/>
    <w:rsid w:val="002E0746"/>
    <w:rsid w:val="002E4861"/>
    <w:rsid w:val="002E75F6"/>
    <w:rsid w:val="003006DC"/>
    <w:rsid w:val="003107FA"/>
    <w:rsid w:val="0031424A"/>
    <w:rsid w:val="00320D32"/>
    <w:rsid w:val="003229D8"/>
    <w:rsid w:val="00323571"/>
    <w:rsid w:val="00326928"/>
    <w:rsid w:val="00326B64"/>
    <w:rsid w:val="003307EB"/>
    <w:rsid w:val="00330D2E"/>
    <w:rsid w:val="00334502"/>
    <w:rsid w:val="003346C5"/>
    <w:rsid w:val="00334988"/>
    <w:rsid w:val="00337F27"/>
    <w:rsid w:val="003466AC"/>
    <w:rsid w:val="003540F1"/>
    <w:rsid w:val="00354971"/>
    <w:rsid w:val="003671E7"/>
    <w:rsid w:val="00371D23"/>
    <w:rsid w:val="0037312F"/>
    <w:rsid w:val="00373698"/>
    <w:rsid w:val="00382BB1"/>
    <w:rsid w:val="00387614"/>
    <w:rsid w:val="00390028"/>
    <w:rsid w:val="00390D3D"/>
    <w:rsid w:val="0039277A"/>
    <w:rsid w:val="003972E0"/>
    <w:rsid w:val="003A077E"/>
    <w:rsid w:val="003A3F7F"/>
    <w:rsid w:val="003B1D06"/>
    <w:rsid w:val="003C1755"/>
    <w:rsid w:val="003C1832"/>
    <w:rsid w:val="003C2CC4"/>
    <w:rsid w:val="003C750C"/>
    <w:rsid w:val="003D1000"/>
    <w:rsid w:val="003D39F8"/>
    <w:rsid w:val="003D4B23"/>
    <w:rsid w:val="004043B5"/>
    <w:rsid w:val="00423D3D"/>
    <w:rsid w:val="00424EDD"/>
    <w:rsid w:val="004325CB"/>
    <w:rsid w:val="00437F3F"/>
    <w:rsid w:val="00444524"/>
    <w:rsid w:val="00446DE4"/>
    <w:rsid w:val="00454036"/>
    <w:rsid w:val="0045652B"/>
    <w:rsid w:val="0046419A"/>
    <w:rsid w:val="00473948"/>
    <w:rsid w:val="00484E32"/>
    <w:rsid w:val="0049147A"/>
    <w:rsid w:val="00491634"/>
    <w:rsid w:val="004925FF"/>
    <w:rsid w:val="00493BDC"/>
    <w:rsid w:val="0049434E"/>
    <w:rsid w:val="00495D1C"/>
    <w:rsid w:val="00496C2B"/>
    <w:rsid w:val="004A1AAA"/>
    <w:rsid w:val="004A7B6C"/>
    <w:rsid w:val="004B2C9D"/>
    <w:rsid w:val="004B550A"/>
    <w:rsid w:val="004C110B"/>
    <w:rsid w:val="004C48D9"/>
    <w:rsid w:val="004C4C63"/>
    <w:rsid w:val="004D0BAA"/>
    <w:rsid w:val="004D3BA2"/>
    <w:rsid w:val="004D4071"/>
    <w:rsid w:val="004D4993"/>
    <w:rsid w:val="004D5B50"/>
    <w:rsid w:val="004E4B59"/>
    <w:rsid w:val="004F1403"/>
    <w:rsid w:val="004F511C"/>
    <w:rsid w:val="004F5ADD"/>
    <w:rsid w:val="00505080"/>
    <w:rsid w:val="005113BE"/>
    <w:rsid w:val="0051274C"/>
    <w:rsid w:val="005132B7"/>
    <w:rsid w:val="00513567"/>
    <w:rsid w:val="005176CD"/>
    <w:rsid w:val="00517A3F"/>
    <w:rsid w:val="0052254F"/>
    <w:rsid w:val="00523525"/>
    <w:rsid w:val="00527910"/>
    <w:rsid w:val="005279BF"/>
    <w:rsid w:val="005279D0"/>
    <w:rsid w:val="00531781"/>
    <w:rsid w:val="005420F2"/>
    <w:rsid w:val="00542A15"/>
    <w:rsid w:val="0055467D"/>
    <w:rsid w:val="005644BC"/>
    <w:rsid w:val="005666F6"/>
    <w:rsid w:val="00573908"/>
    <w:rsid w:val="0057643F"/>
    <w:rsid w:val="0058227C"/>
    <w:rsid w:val="00590144"/>
    <w:rsid w:val="00591F7A"/>
    <w:rsid w:val="00593B86"/>
    <w:rsid w:val="005A4F15"/>
    <w:rsid w:val="005A5811"/>
    <w:rsid w:val="005A6C02"/>
    <w:rsid w:val="005B3DB3"/>
    <w:rsid w:val="005D04B3"/>
    <w:rsid w:val="005D0EBF"/>
    <w:rsid w:val="005D3656"/>
    <w:rsid w:val="005E178F"/>
    <w:rsid w:val="005E5115"/>
    <w:rsid w:val="0060435F"/>
    <w:rsid w:val="00604C8E"/>
    <w:rsid w:val="0060709C"/>
    <w:rsid w:val="00611FC4"/>
    <w:rsid w:val="006176FB"/>
    <w:rsid w:val="00624237"/>
    <w:rsid w:val="006246A3"/>
    <w:rsid w:val="00633B43"/>
    <w:rsid w:val="0063419C"/>
    <w:rsid w:val="00640B26"/>
    <w:rsid w:val="00642EDA"/>
    <w:rsid w:val="00645121"/>
    <w:rsid w:val="00645A1A"/>
    <w:rsid w:val="006500BA"/>
    <w:rsid w:val="00651D6C"/>
    <w:rsid w:val="00651DCB"/>
    <w:rsid w:val="00652193"/>
    <w:rsid w:val="006524E0"/>
    <w:rsid w:val="00653001"/>
    <w:rsid w:val="00663491"/>
    <w:rsid w:val="00672E30"/>
    <w:rsid w:val="00675A95"/>
    <w:rsid w:val="0067677C"/>
    <w:rsid w:val="006837D8"/>
    <w:rsid w:val="006927B6"/>
    <w:rsid w:val="006A24C7"/>
    <w:rsid w:val="006A3B7F"/>
    <w:rsid w:val="006A4E98"/>
    <w:rsid w:val="006A66FA"/>
    <w:rsid w:val="006A6E59"/>
    <w:rsid w:val="006A7392"/>
    <w:rsid w:val="006B18DD"/>
    <w:rsid w:val="006C0D34"/>
    <w:rsid w:val="006C2985"/>
    <w:rsid w:val="006C7C4D"/>
    <w:rsid w:val="006C7E11"/>
    <w:rsid w:val="006D0270"/>
    <w:rsid w:val="006D10CC"/>
    <w:rsid w:val="006D3D21"/>
    <w:rsid w:val="006D6FB3"/>
    <w:rsid w:val="006E4A58"/>
    <w:rsid w:val="006E564B"/>
    <w:rsid w:val="006E603B"/>
    <w:rsid w:val="006E7ABF"/>
    <w:rsid w:val="006F585C"/>
    <w:rsid w:val="007016BE"/>
    <w:rsid w:val="0071032E"/>
    <w:rsid w:val="00716EAD"/>
    <w:rsid w:val="0072632A"/>
    <w:rsid w:val="0073035D"/>
    <w:rsid w:val="007321DB"/>
    <w:rsid w:val="007332E8"/>
    <w:rsid w:val="00736305"/>
    <w:rsid w:val="00736D0A"/>
    <w:rsid w:val="00736E1D"/>
    <w:rsid w:val="007478B0"/>
    <w:rsid w:val="00750CB8"/>
    <w:rsid w:val="00753561"/>
    <w:rsid w:val="00753641"/>
    <w:rsid w:val="00755DDF"/>
    <w:rsid w:val="0076317E"/>
    <w:rsid w:val="007656AE"/>
    <w:rsid w:val="00767DC6"/>
    <w:rsid w:val="007832B8"/>
    <w:rsid w:val="00783D97"/>
    <w:rsid w:val="00790791"/>
    <w:rsid w:val="00795FD2"/>
    <w:rsid w:val="007B33F4"/>
    <w:rsid w:val="007B345B"/>
    <w:rsid w:val="007B4CF7"/>
    <w:rsid w:val="007B5CA0"/>
    <w:rsid w:val="007B6BA5"/>
    <w:rsid w:val="007C3390"/>
    <w:rsid w:val="007C4F4B"/>
    <w:rsid w:val="007D087E"/>
    <w:rsid w:val="007E110F"/>
    <w:rsid w:val="007F52DF"/>
    <w:rsid w:val="007F6611"/>
    <w:rsid w:val="00802ED5"/>
    <w:rsid w:val="008037E8"/>
    <w:rsid w:val="0080388F"/>
    <w:rsid w:val="0080400A"/>
    <w:rsid w:val="00805746"/>
    <w:rsid w:val="00805C8D"/>
    <w:rsid w:val="00811AE2"/>
    <w:rsid w:val="00814F39"/>
    <w:rsid w:val="008175E9"/>
    <w:rsid w:val="008242D7"/>
    <w:rsid w:val="008417F8"/>
    <w:rsid w:val="00845287"/>
    <w:rsid w:val="008454E6"/>
    <w:rsid w:val="00847959"/>
    <w:rsid w:val="00850488"/>
    <w:rsid w:val="00851253"/>
    <w:rsid w:val="0085445A"/>
    <w:rsid w:val="00860261"/>
    <w:rsid w:val="00860F29"/>
    <w:rsid w:val="008639E6"/>
    <w:rsid w:val="00870CE1"/>
    <w:rsid w:val="00871FD5"/>
    <w:rsid w:val="00874585"/>
    <w:rsid w:val="00875DBB"/>
    <w:rsid w:val="00887592"/>
    <w:rsid w:val="008979B1"/>
    <w:rsid w:val="008A04A8"/>
    <w:rsid w:val="008A12EC"/>
    <w:rsid w:val="008A289B"/>
    <w:rsid w:val="008A2B22"/>
    <w:rsid w:val="008A4052"/>
    <w:rsid w:val="008A5A71"/>
    <w:rsid w:val="008A6B25"/>
    <w:rsid w:val="008A6C4F"/>
    <w:rsid w:val="008C22A0"/>
    <w:rsid w:val="008C3CB0"/>
    <w:rsid w:val="008C542B"/>
    <w:rsid w:val="008D1274"/>
    <w:rsid w:val="008E01C8"/>
    <w:rsid w:val="008E0613"/>
    <w:rsid w:val="008E0E46"/>
    <w:rsid w:val="008F5E8D"/>
    <w:rsid w:val="009043BF"/>
    <w:rsid w:val="0091608D"/>
    <w:rsid w:val="00916D07"/>
    <w:rsid w:val="0092475B"/>
    <w:rsid w:val="009341E2"/>
    <w:rsid w:val="00941F06"/>
    <w:rsid w:val="00942C4F"/>
    <w:rsid w:val="00945A5D"/>
    <w:rsid w:val="009461DD"/>
    <w:rsid w:val="00960C04"/>
    <w:rsid w:val="00963CBA"/>
    <w:rsid w:val="00965120"/>
    <w:rsid w:val="009674E4"/>
    <w:rsid w:val="00976767"/>
    <w:rsid w:val="00977E87"/>
    <w:rsid w:val="00982D5E"/>
    <w:rsid w:val="00987BC5"/>
    <w:rsid w:val="0099124E"/>
    <w:rsid w:val="00991261"/>
    <w:rsid w:val="009951EC"/>
    <w:rsid w:val="00995726"/>
    <w:rsid w:val="009A5A0D"/>
    <w:rsid w:val="009A6899"/>
    <w:rsid w:val="009B1A1B"/>
    <w:rsid w:val="009B4D27"/>
    <w:rsid w:val="009B6E3B"/>
    <w:rsid w:val="009B7D51"/>
    <w:rsid w:val="009C0CE1"/>
    <w:rsid w:val="009C2400"/>
    <w:rsid w:val="009C3671"/>
    <w:rsid w:val="009D3C39"/>
    <w:rsid w:val="009D3D51"/>
    <w:rsid w:val="009D4BA2"/>
    <w:rsid w:val="009E190F"/>
    <w:rsid w:val="009E67D4"/>
    <w:rsid w:val="009F0F06"/>
    <w:rsid w:val="009F2FAA"/>
    <w:rsid w:val="009F66A7"/>
    <w:rsid w:val="00A02F78"/>
    <w:rsid w:val="00A1341E"/>
    <w:rsid w:val="00A1427D"/>
    <w:rsid w:val="00A1568F"/>
    <w:rsid w:val="00A22A58"/>
    <w:rsid w:val="00A24F0D"/>
    <w:rsid w:val="00A32D41"/>
    <w:rsid w:val="00A40A95"/>
    <w:rsid w:val="00A46896"/>
    <w:rsid w:val="00A51C77"/>
    <w:rsid w:val="00A60A6D"/>
    <w:rsid w:val="00A64846"/>
    <w:rsid w:val="00A70548"/>
    <w:rsid w:val="00A70D0E"/>
    <w:rsid w:val="00A72F22"/>
    <w:rsid w:val="00A748A6"/>
    <w:rsid w:val="00A74C22"/>
    <w:rsid w:val="00A75EC9"/>
    <w:rsid w:val="00A7692C"/>
    <w:rsid w:val="00A879A4"/>
    <w:rsid w:val="00A901F7"/>
    <w:rsid w:val="00A91217"/>
    <w:rsid w:val="00A925A6"/>
    <w:rsid w:val="00A952EC"/>
    <w:rsid w:val="00A96774"/>
    <w:rsid w:val="00AB340F"/>
    <w:rsid w:val="00AC4748"/>
    <w:rsid w:val="00AC52CF"/>
    <w:rsid w:val="00AC7C65"/>
    <w:rsid w:val="00AD1098"/>
    <w:rsid w:val="00AD145B"/>
    <w:rsid w:val="00AE1A69"/>
    <w:rsid w:val="00AE1BDD"/>
    <w:rsid w:val="00AE5C8F"/>
    <w:rsid w:val="00AE7E01"/>
    <w:rsid w:val="00AF09CC"/>
    <w:rsid w:val="00AF6F99"/>
    <w:rsid w:val="00B138BE"/>
    <w:rsid w:val="00B16BD4"/>
    <w:rsid w:val="00B22191"/>
    <w:rsid w:val="00B3008F"/>
    <w:rsid w:val="00B30179"/>
    <w:rsid w:val="00B3317B"/>
    <w:rsid w:val="00B4216B"/>
    <w:rsid w:val="00B457A8"/>
    <w:rsid w:val="00B45B5C"/>
    <w:rsid w:val="00B50E21"/>
    <w:rsid w:val="00B54FC4"/>
    <w:rsid w:val="00B56239"/>
    <w:rsid w:val="00B56D93"/>
    <w:rsid w:val="00B57529"/>
    <w:rsid w:val="00B610FD"/>
    <w:rsid w:val="00B6216D"/>
    <w:rsid w:val="00B625CD"/>
    <w:rsid w:val="00B74EEC"/>
    <w:rsid w:val="00B757DF"/>
    <w:rsid w:val="00B81E12"/>
    <w:rsid w:val="00B93068"/>
    <w:rsid w:val="00B96BB9"/>
    <w:rsid w:val="00BA0311"/>
    <w:rsid w:val="00BA1EA9"/>
    <w:rsid w:val="00BA7B65"/>
    <w:rsid w:val="00BB4145"/>
    <w:rsid w:val="00BB66A8"/>
    <w:rsid w:val="00BC1657"/>
    <w:rsid w:val="00BC2DE0"/>
    <w:rsid w:val="00BC309B"/>
    <w:rsid w:val="00BC5E5C"/>
    <w:rsid w:val="00BC74E9"/>
    <w:rsid w:val="00BD10E7"/>
    <w:rsid w:val="00BD21C4"/>
    <w:rsid w:val="00BD60DD"/>
    <w:rsid w:val="00BE618E"/>
    <w:rsid w:val="00C179A3"/>
    <w:rsid w:val="00C25F5C"/>
    <w:rsid w:val="00C26E34"/>
    <w:rsid w:val="00C414AF"/>
    <w:rsid w:val="00C41B4A"/>
    <w:rsid w:val="00C41E3D"/>
    <w:rsid w:val="00C43318"/>
    <w:rsid w:val="00C44F0B"/>
    <w:rsid w:val="00C45CEB"/>
    <w:rsid w:val="00C463DD"/>
    <w:rsid w:val="00C4753A"/>
    <w:rsid w:val="00C5346F"/>
    <w:rsid w:val="00C5779A"/>
    <w:rsid w:val="00C620C6"/>
    <w:rsid w:val="00C62F76"/>
    <w:rsid w:val="00C63172"/>
    <w:rsid w:val="00C66B28"/>
    <w:rsid w:val="00C709F7"/>
    <w:rsid w:val="00C70FB3"/>
    <w:rsid w:val="00C73898"/>
    <w:rsid w:val="00C745C3"/>
    <w:rsid w:val="00C81A91"/>
    <w:rsid w:val="00C91393"/>
    <w:rsid w:val="00C97310"/>
    <w:rsid w:val="00CA123A"/>
    <w:rsid w:val="00CA12AA"/>
    <w:rsid w:val="00CA46AE"/>
    <w:rsid w:val="00CB06EC"/>
    <w:rsid w:val="00CB4D07"/>
    <w:rsid w:val="00CB6EE8"/>
    <w:rsid w:val="00CB6FB4"/>
    <w:rsid w:val="00CC1247"/>
    <w:rsid w:val="00CC2AA5"/>
    <w:rsid w:val="00CC3494"/>
    <w:rsid w:val="00CC58CB"/>
    <w:rsid w:val="00CD1364"/>
    <w:rsid w:val="00CD3225"/>
    <w:rsid w:val="00CD3B29"/>
    <w:rsid w:val="00CD5CA5"/>
    <w:rsid w:val="00CE2508"/>
    <w:rsid w:val="00CE4A8F"/>
    <w:rsid w:val="00CE5D72"/>
    <w:rsid w:val="00CE6891"/>
    <w:rsid w:val="00CF18E6"/>
    <w:rsid w:val="00CF520A"/>
    <w:rsid w:val="00D10D4D"/>
    <w:rsid w:val="00D1673B"/>
    <w:rsid w:val="00D2031B"/>
    <w:rsid w:val="00D21B90"/>
    <w:rsid w:val="00D22FAA"/>
    <w:rsid w:val="00D2426E"/>
    <w:rsid w:val="00D25FE2"/>
    <w:rsid w:val="00D317E0"/>
    <w:rsid w:val="00D3259D"/>
    <w:rsid w:val="00D341A4"/>
    <w:rsid w:val="00D35506"/>
    <w:rsid w:val="00D429FC"/>
    <w:rsid w:val="00D43252"/>
    <w:rsid w:val="00D47F6D"/>
    <w:rsid w:val="00D55608"/>
    <w:rsid w:val="00D62D60"/>
    <w:rsid w:val="00D65926"/>
    <w:rsid w:val="00D715EE"/>
    <w:rsid w:val="00D71928"/>
    <w:rsid w:val="00D753D8"/>
    <w:rsid w:val="00D803CC"/>
    <w:rsid w:val="00D87CDE"/>
    <w:rsid w:val="00D92A4E"/>
    <w:rsid w:val="00D94FCC"/>
    <w:rsid w:val="00D96CC5"/>
    <w:rsid w:val="00D978C6"/>
    <w:rsid w:val="00DA1AB9"/>
    <w:rsid w:val="00DA307A"/>
    <w:rsid w:val="00DA67AD"/>
    <w:rsid w:val="00DB021E"/>
    <w:rsid w:val="00DB2FD3"/>
    <w:rsid w:val="00DB37C7"/>
    <w:rsid w:val="00DC14A6"/>
    <w:rsid w:val="00DC1C9C"/>
    <w:rsid w:val="00DC2CED"/>
    <w:rsid w:val="00DC62E4"/>
    <w:rsid w:val="00DD4F93"/>
    <w:rsid w:val="00DD601F"/>
    <w:rsid w:val="00DE6659"/>
    <w:rsid w:val="00DF0345"/>
    <w:rsid w:val="00DF1E95"/>
    <w:rsid w:val="00DF40BC"/>
    <w:rsid w:val="00E030E1"/>
    <w:rsid w:val="00E12E23"/>
    <w:rsid w:val="00E130AB"/>
    <w:rsid w:val="00E2294B"/>
    <w:rsid w:val="00E25793"/>
    <w:rsid w:val="00E33A7D"/>
    <w:rsid w:val="00E36504"/>
    <w:rsid w:val="00E44B05"/>
    <w:rsid w:val="00E50BEB"/>
    <w:rsid w:val="00E5189E"/>
    <w:rsid w:val="00E549AA"/>
    <w:rsid w:val="00E5644E"/>
    <w:rsid w:val="00E57356"/>
    <w:rsid w:val="00E63FF3"/>
    <w:rsid w:val="00E64AEB"/>
    <w:rsid w:val="00E7260F"/>
    <w:rsid w:val="00E7609D"/>
    <w:rsid w:val="00E845AE"/>
    <w:rsid w:val="00E8535A"/>
    <w:rsid w:val="00E8656C"/>
    <w:rsid w:val="00E86DFE"/>
    <w:rsid w:val="00E877F7"/>
    <w:rsid w:val="00E96630"/>
    <w:rsid w:val="00EA772F"/>
    <w:rsid w:val="00EB0430"/>
    <w:rsid w:val="00EB226B"/>
    <w:rsid w:val="00EB6832"/>
    <w:rsid w:val="00EC1092"/>
    <w:rsid w:val="00EC18CA"/>
    <w:rsid w:val="00EC76A6"/>
    <w:rsid w:val="00EC7EF8"/>
    <w:rsid w:val="00ED67B4"/>
    <w:rsid w:val="00ED7A2A"/>
    <w:rsid w:val="00EE228C"/>
    <w:rsid w:val="00EF1D7F"/>
    <w:rsid w:val="00EF2C6C"/>
    <w:rsid w:val="00F00672"/>
    <w:rsid w:val="00F11769"/>
    <w:rsid w:val="00F13CAD"/>
    <w:rsid w:val="00F1540D"/>
    <w:rsid w:val="00F2273C"/>
    <w:rsid w:val="00F2538A"/>
    <w:rsid w:val="00F27C06"/>
    <w:rsid w:val="00F40DB9"/>
    <w:rsid w:val="00F40E75"/>
    <w:rsid w:val="00F51C2A"/>
    <w:rsid w:val="00F52F38"/>
    <w:rsid w:val="00F54674"/>
    <w:rsid w:val="00F5709A"/>
    <w:rsid w:val="00F60B87"/>
    <w:rsid w:val="00F731E5"/>
    <w:rsid w:val="00F75F55"/>
    <w:rsid w:val="00F7684E"/>
    <w:rsid w:val="00F835C7"/>
    <w:rsid w:val="00F862EF"/>
    <w:rsid w:val="00F871D5"/>
    <w:rsid w:val="00F90E19"/>
    <w:rsid w:val="00F91A6C"/>
    <w:rsid w:val="00F95FC2"/>
    <w:rsid w:val="00FA1207"/>
    <w:rsid w:val="00FA51F0"/>
    <w:rsid w:val="00FA5E57"/>
    <w:rsid w:val="00FB01FC"/>
    <w:rsid w:val="00FB1972"/>
    <w:rsid w:val="00FB57F7"/>
    <w:rsid w:val="00FB6B59"/>
    <w:rsid w:val="00FC0F6F"/>
    <w:rsid w:val="00FC68B7"/>
    <w:rsid w:val="00FD6B2B"/>
    <w:rsid w:val="00FE1B9F"/>
    <w:rsid w:val="00FF03BB"/>
    <w:rsid w:val="00FF1E74"/>
    <w:rsid w:val="00FF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1344">
      <w:bodyDiv w:val="1"/>
      <w:marLeft w:val="0"/>
      <w:marRight w:val="0"/>
      <w:marTop w:val="0"/>
      <w:marBottom w:val="0"/>
      <w:divBdr>
        <w:top w:val="none" w:sz="0" w:space="0" w:color="auto"/>
        <w:left w:val="none" w:sz="0" w:space="0" w:color="auto"/>
        <w:bottom w:val="none" w:sz="0" w:space="0" w:color="auto"/>
        <w:right w:val="none" w:sz="0" w:space="0" w:color="auto"/>
      </w:divBdr>
    </w:div>
    <w:div w:id="2039694152">
      <w:bodyDiv w:val="1"/>
      <w:marLeft w:val="0"/>
      <w:marRight w:val="0"/>
      <w:marTop w:val="0"/>
      <w:marBottom w:val="0"/>
      <w:divBdr>
        <w:top w:val="none" w:sz="0" w:space="0" w:color="auto"/>
        <w:left w:val="none" w:sz="0" w:space="0" w:color="auto"/>
        <w:bottom w:val="none" w:sz="0" w:space="0" w:color="auto"/>
        <w:right w:val="none" w:sz="0" w:space="0" w:color="auto"/>
      </w:divBdr>
    </w:div>
    <w:div w:id="2068528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6054-E869-4C25-B042-E90E494B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786</Words>
  <Characters>4483</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5259</CharactersWithSpaces>
  <SharedDoc>false</SharedDoc>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barrio-champeau</cp:lastModifiedBy>
  <cp:revision>9</cp:revision>
  <cp:lastPrinted>2016-04-06T12:41:00Z</cp:lastPrinted>
  <dcterms:created xsi:type="dcterms:W3CDTF">2016-04-01T09:56:00Z</dcterms:created>
  <dcterms:modified xsi:type="dcterms:W3CDTF">2016-04-07T11:53:00Z</dcterms:modified>
</cp:coreProperties>
</file>