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132EA9" w:rsidRPr="00DB58B5" w:rsidTr="000305D3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132EA9" w:rsidRPr="00DB58B5" w:rsidRDefault="00132EA9" w:rsidP="00804E87"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132EA9" w:rsidRPr="00DB58B5" w:rsidRDefault="00132EA9" w:rsidP="009C312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132EA9" w:rsidRPr="00DB58B5" w:rsidRDefault="00804E87" w:rsidP="00804E87">
            <w:pPr>
              <w:jc w:val="right"/>
            </w:pPr>
            <w:r w:rsidRPr="00804E87">
              <w:rPr>
                <w:sz w:val="40"/>
              </w:rPr>
              <w:t>ST</w:t>
            </w:r>
            <w:r>
              <w:t>/SG/AC.10/C.3/2016/2</w:t>
            </w:r>
          </w:p>
        </w:tc>
      </w:tr>
      <w:tr w:rsidR="00132EA9" w:rsidRPr="00DB58B5" w:rsidTr="009C312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132EA9" w:rsidRPr="00DB58B5" w:rsidRDefault="00132EA9" w:rsidP="009C3129">
            <w:pPr>
              <w:spacing w:before="120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195565B8" wp14:editId="7C2C0088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132EA9" w:rsidRPr="00740562" w:rsidRDefault="00132EA9" w:rsidP="009C312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A55C22">
              <w:rPr>
                <w:b/>
                <w:sz w:val="40"/>
                <w:szCs w:val="40"/>
              </w:rPr>
              <w:t>Secrétariat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132EA9" w:rsidRDefault="00804E87" w:rsidP="009C3129">
            <w:pPr>
              <w:spacing w:before="240"/>
            </w:pPr>
            <w:r>
              <w:t>Distr. générale</w:t>
            </w:r>
          </w:p>
          <w:p w:rsidR="00804E87" w:rsidRDefault="00804E87" w:rsidP="00804E87">
            <w:pPr>
              <w:spacing w:line="240" w:lineRule="exact"/>
            </w:pPr>
            <w:r>
              <w:t>11 avril 2016</w:t>
            </w:r>
          </w:p>
          <w:p w:rsidR="00804E87" w:rsidRDefault="00804E87" w:rsidP="00804E87">
            <w:pPr>
              <w:spacing w:line="240" w:lineRule="exact"/>
            </w:pPr>
            <w:r>
              <w:t>Français</w:t>
            </w:r>
          </w:p>
          <w:p w:rsidR="00804E87" w:rsidRPr="00DB58B5" w:rsidRDefault="00804E87" w:rsidP="00804E87">
            <w:pPr>
              <w:spacing w:line="240" w:lineRule="exact"/>
            </w:pPr>
            <w:r>
              <w:t>Original : anglais</w:t>
            </w:r>
          </w:p>
        </w:tc>
      </w:tr>
    </w:tbl>
    <w:p w:rsidR="00804E87" w:rsidRPr="00CA0680" w:rsidRDefault="00804E87" w:rsidP="00804E87">
      <w:pPr>
        <w:spacing w:before="120"/>
        <w:rPr>
          <w:b/>
          <w:sz w:val="24"/>
          <w:szCs w:val="24"/>
        </w:rPr>
      </w:pPr>
      <w:r w:rsidRPr="00CA0680">
        <w:rPr>
          <w:b/>
          <w:sz w:val="24"/>
          <w:szCs w:val="24"/>
        </w:rPr>
        <w:t>Comité d’experts du transport</w:t>
      </w:r>
      <w:r>
        <w:rPr>
          <w:b/>
          <w:sz w:val="24"/>
          <w:szCs w:val="24"/>
        </w:rPr>
        <w:t xml:space="preserve"> </w:t>
      </w:r>
      <w:r w:rsidRPr="00CA0680">
        <w:rPr>
          <w:b/>
          <w:sz w:val="24"/>
          <w:szCs w:val="24"/>
        </w:rPr>
        <w:t>des marchandises dangereuses</w:t>
      </w:r>
      <w:r>
        <w:rPr>
          <w:b/>
          <w:sz w:val="24"/>
          <w:szCs w:val="24"/>
        </w:rPr>
        <w:br/>
      </w:r>
      <w:r w:rsidRPr="00CA0680">
        <w:rPr>
          <w:b/>
          <w:sz w:val="24"/>
          <w:szCs w:val="24"/>
        </w:rPr>
        <w:t>et</w:t>
      </w:r>
      <w:r>
        <w:rPr>
          <w:b/>
          <w:sz w:val="24"/>
          <w:szCs w:val="24"/>
        </w:rPr>
        <w:t xml:space="preserve"> </w:t>
      </w:r>
      <w:r w:rsidRPr="00CA0680">
        <w:rPr>
          <w:b/>
          <w:sz w:val="24"/>
          <w:szCs w:val="24"/>
        </w:rPr>
        <w:t xml:space="preserve">du </w:t>
      </w:r>
      <w:r>
        <w:rPr>
          <w:b/>
          <w:sz w:val="24"/>
          <w:szCs w:val="24"/>
        </w:rPr>
        <w:t>S</w:t>
      </w:r>
      <w:r w:rsidRPr="00CA0680">
        <w:rPr>
          <w:b/>
          <w:sz w:val="24"/>
          <w:szCs w:val="24"/>
        </w:rPr>
        <w:t>ystème général harmonisé</w:t>
      </w:r>
      <w:r>
        <w:rPr>
          <w:b/>
          <w:sz w:val="24"/>
          <w:szCs w:val="24"/>
        </w:rPr>
        <w:t xml:space="preserve"> </w:t>
      </w:r>
      <w:r w:rsidRPr="00CA0680">
        <w:rPr>
          <w:b/>
          <w:sz w:val="24"/>
          <w:szCs w:val="24"/>
        </w:rPr>
        <w:t>de classification</w:t>
      </w:r>
      <w:r>
        <w:rPr>
          <w:b/>
          <w:sz w:val="24"/>
          <w:szCs w:val="24"/>
        </w:rPr>
        <w:br/>
      </w:r>
      <w:r w:rsidRPr="00CA0680">
        <w:rPr>
          <w:b/>
          <w:sz w:val="24"/>
          <w:szCs w:val="24"/>
        </w:rPr>
        <w:t>et d’étiquetage</w:t>
      </w:r>
      <w:r>
        <w:rPr>
          <w:b/>
          <w:sz w:val="24"/>
          <w:szCs w:val="24"/>
        </w:rPr>
        <w:t xml:space="preserve"> </w:t>
      </w:r>
      <w:r w:rsidRPr="00CA0680">
        <w:rPr>
          <w:b/>
          <w:sz w:val="24"/>
          <w:szCs w:val="24"/>
        </w:rPr>
        <w:t>des produits chimiques</w:t>
      </w:r>
    </w:p>
    <w:p w:rsidR="00804E87" w:rsidRPr="00CA0680" w:rsidRDefault="00804E87" w:rsidP="00804E87">
      <w:pPr>
        <w:spacing w:before="120"/>
        <w:rPr>
          <w:b/>
        </w:rPr>
      </w:pPr>
      <w:r w:rsidRPr="00CA0680">
        <w:rPr>
          <w:b/>
        </w:rPr>
        <w:t>Sous</w:t>
      </w:r>
      <w:r>
        <w:rPr>
          <w:b/>
        </w:rPr>
        <w:t>-</w:t>
      </w:r>
      <w:r w:rsidRPr="00CA0680">
        <w:rPr>
          <w:b/>
        </w:rPr>
        <w:t>Comité d’experts du transport des marchandises dangereuses</w:t>
      </w:r>
    </w:p>
    <w:p w:rsidR="00804E87" w:rsidRPr="007444F8" w:rsidRDefault="00804E87" w:rsidP="00804E87">
      <w:pPr>
        <w:spacing w:before="120"/>
        <w:rPr>
          <w:b/>
        </w:rPr>
      </w:pPr>
      <w:r w:rsidRPr="007444F8">
        <w:rPr>
          <w:b/>
          <w:bCs/>
        </w:rPr>
        <w:t>Quarante-neuvième</w:t>
      </w:r>
      <w:r w:rsidRPr="007444F8">
        <w:rPr>
          <w:b/>
        </w:rPr>
        <w:t xml:space="preserve"> session</w:t>
      </w:r>
    </w:p>
    <w:p w:rsidR="00804E87" w:rsidRPr="007444F8" w:rsidRDefault="00804E87" w:rsidP="00804E87">
      <w:pPr>
        <w:rPr>
          <w:sz w:val="19"/>
          <w:szCs w:val="19"/>
        </w:rPr>
      </w:pPr>
      <w:r>
        <w:t>Genève, 27 juin-</w:t>
      </w:r>
      <w:r w:rsidRPr="007444F8">
        <w:t>6 juillet 2016</w:t>
      </w:r>
    </w:p>
    <w:p w:rsidR="00804E87" w:rsidRPr="007444F8" w:rsidRDefault="00804E87" w:rsidP="00804E87">
      <w:r w:rsidRPr="007444F8">
        <w:t xml:space="preserve">Point </w:t>
      </w:r>
      <w:r>
        <w:t>6 e)</w:t>
      </w:r>
      <w:r w:rsidRPr="007444F8">
        <w:t xml:space="preserve"> de l’ordre du jour provisoire</w:t>
      </w:r>
    </w:p>
    <w:p w:rsidR="00804E87" w:rsidRDefault="00804E87" w:rsidP="00AC3823">
      <w:r w:rsidRPr="00BE150A">
        <w:rPr>
          <w:b/>
        </w:rPr>
        <w:t xml:space="preserve">Propositions diverses d’amendements au Règlement type </w:t>
      </w:r>
      <w:r>
        <w:rPr>
          <w:b/>
        </w:rPr>
        <w:br/>
      </w:r>
      <w:r w:rsidRPr="00BE150A">
        <w:rPr>
          <w:b/>
        </w:rPr>
        <w:t>pour le transport des marchandises dangereuses</w:t>
      </w:r>
      <w:r>
        <w:rPr>
          <w:b/>
        </w:rPr>
        <w:t> :</w:t>
      </w:r>
      <w:r w:rsidRPr="00BE150A">
        <w:rPr>
          <w:b/>
        </w:rPr>
        <w:t xml:space="preserve"> </w:t>
      </w:r>
      <w:r>
        <w:rPr>
          <w:b/>
        </w:rPr>
        <w:br/>
        <w:t>A</w:t>
      </w:r>
      <w:r w:rsidRPr="00BE150A">
        <w:rPr>
          <w:b/>
        </w:rPr>
        <w:t>utres propositions diverses</w:t>
      </w:r>
    </w:p>
    <w:p w:rsidR="00804E87" w:rsidRPr="00BE150A" w:rsidRDefault="00804E87" w:rsidP="00804E87">
      <w:pPr>
        <w:pStyle w:val="HChG"/>
        <w:rPr>
          <w:lang w:eastAsia="ru-RU"/>
        </w:rPr>
      </w:pPr>
      <w:r w:rsidRPr="00BE150A">
        <w:rPr>
          <w:lang w:eastAsia="ru-RU"/>
        </w:rPr>
        <w:tab/>
      </w:r>
      <w:r w:rsidRPr="00BE150A">
        <w:rPr>
          <w:lang w:eastAsia="ru-RU"/>
        </w:rPr>
        <w:tab/>
        <w:t xml:space="preserve">Propositions d’amendements aux dispositions spéciales, </w:t>
      </w:r>
      <w:r w:rsidR="00D300C6">
        <w:rPr>
          <w:lang w:eastAsia="ru-RU"/>
        </w:rPr>
        <w:br/>
      </w:r>
      <w:r w:rsidRPr="00BE150A">
        <w:rPr>
          <w:lang w:eastAsia="ru-RU"/>
        </w:rPr>
        <w:t xml:space="preserve">aux instructions emballages et aux sections y relatives </w:t>
      </w:r>
      <w:r w:rsidR="00D300C6">
        <w:rPr>
          <w:lang w:eastAsia="ru-RU"/>
        </w:rPr>
        <w:br/>
      </w:r>
      <w:r w:rsidRPr="00BE150A">
        <w:rPr>
          <w:lang w:eastAsia="ru-RU"/>
        </w:rPr>
        <w:t>du Règlement type</w:t>
      </w:r>
    </w:p>
    <w:p w:rsidR="00804E87" w:rsidRPr="00BE150A" w:rsidRDefault="00804E87" w:rsidP="00804E87">
      <w:pPr>
        <w:pStyle w:val="H1G"/>
        <w:rPr>
          <w:sz w:val="27"/>
          <w:szCs w:val="27"/>
          <w:lang w:eastAsia="ru-RU"/>
        </w:rPr>
      </w:pPr>
      <w:r w:rsidRPr="00BE150A">
        <w:rPr>
          <w:lang w:eastAsia="ru-RU"/>
        </w:rPr>
        <w:tab/>
      </w:r>
      <w:r w:rsidRPr="00BE150A">
        <w:rPr>
          <w:lang w:eastAsia="ru-RU"/>
        </w:rPr>
        <w:tab/>
        <w:t>Communication de l’expert de la Fédération de Russie</w:t>
      </w:r>
      <w:r w:rsidRPr="00D300C6">
        <w:rPr>
          <w:rStyle w:val="FootnoteReference"/>
          <w:b w:val="0"/>
        </w:rPr>
        <w:footnoteReference w:id="2"/>
      </w:r>
    </w:p>
    <w:p w:rsidR="00804E87" w:rsidRPr="00BE150A" w:rsidRDefault="00804E87" w:rsidP="00804E87">
      <w:pPr>
        <w:pStyle w:val="HChG"/>
        <w:rPr>
          <w:highlight w:val="yellow"/>
        </w:rPr>
      </w:pPr>
      <w:r w:rsidRPr="00BE150A">
        <w:rPr>
          <w:lang w:eastAsia="ru-RU"/>
        </w:rPr>
        <w:tab/>
      </w:r>
      <w:r w:rsidRPr="00BE150A">
        <w:rPr>
          <w:lang w:eastAsia="ru-RU"/>
        </w:rPr>
        <w:tab/>
        <w:t>Introduction</w:t>
      </w:r>
    </w:p>
    <w:p w:rsidR="00804E87" w:rsidRPr="00BE150A" w:rsidRDefault="00804E87" w:rsidP="00804E87">
      <w:pPr>
        <w:pStyle w:val="ParNoG"/>
      </w:pPr>
      <w:r w:rsidRPr="00BE150A">
        <w:t xml:space="preserve">La session </w:t>
      </w:r>
      <w:r w:rsidR="00AE5B31">
        <w:t>d</w:t>
      </w:r>
      <w:r w:rsidRPr="00BE150A">
        <w:t xml:space="preserve">’automne de la Réunion commune de la Commission d’experts du RID et du Groupe de travail des transports de marchandises dangereuses s’est tenue à Genève du 15 au </w:t>
      </w:r>
      <w:r>
        <w:t>25 </w:t>
      </w:r>
      <w:r w:rsidRPr="00BE150A">
        <w:t>septembre 2015. Au cours de l’examen de l’harmonisation du RID/ADR/ADN avec les Recommandations de l’ONU relatives au transport des marchandises dangereuses (Règlement type), dix-neuvième édition révisée, et plus particulièrement s’agissant de la nouvelle instruction d’emballage P910, la délégation russe a attiré l’attention sur la nécessité de mieux préciser les prescriptions concernant l’emballage des batteries. En plus d’une isolation thermique, une isolation électrique (non-conductivité électrique) doit être assurée. Plusieurs participants ont souscrit au point de vue de la Fédération de Russie. La</w:t>
      </w:r>
      <w:r w:rsidR="00AE5B31">
        <w:t> </w:t>
      </w:r>
      <w:r w:rsidRPr="00BE150A">
        <w:t>Réunion commune ayant estimé que la question devrait être traitée au préalable par le Sous-Comité d’experts, l’expert de la Fédération de Russie a soumis une proposition, contenue dans le document informel INF.14, à la session précédente de cet organe. Cependant, le Sous-Comité a prié l’expert de la Fédération de Russie de soumettre une proposition officielle (voir ST/SG/AC.10/C.3/96, par. 79).</w:t>
      </w:r>
    </w:p>
    <w:p w:rsidR="00804E87" w:rsidRPr="00BE150A" w:rsidRDefault="00804E87" w:rsidP="00867535">
      <w:pPr>
        <w:pStyle w:val="ParNoG"/>
      </w:pPr>
      <w:r w:rsidRPr="00BE150A">
        <w:lastRenderedPageBreak/>
        <w:t>Compte tenu de ce qui précède, et ayant à l’esprit la nécessité d’harmoniser à l’avenir les dispositions du Règlement type avec celles du RID/ADR/ADN et de l’annexe 2 de la Convention SMGS, l’expert de la Fédération de Ru</w:t>
      </w:r>
      <w:r w:rsidR="001C0BB3">
        <w:t>ssie propose les amendements ci</w:t>
      </w:r>
      <w:r w:rsidR="001C0BB3">
        <w:noBreakHyphen/>
      </w:r>
      <w:r w:rsidRPr="00BE150A">
        <w:t>après.</w:t>
      </w:r>
    </w:p>
    <w:p w:rsidR="00804E87" w:rsidRPr="00BE150A" w:rsidRDefault="00804E87" w:rsidP="00867535">
      <w:pPr>
        <w:pStyle w:val="SingleTxtG"/>
        <w:keepNext/>
        <w:ind w:left="1701"/>
      </w:pPr>
      <w:r w:rsidRPr="00BE150A">
        <w:t>1.</w:t>
      </w:r>
      <w:r w:rsidRPr="00BE150A">
        <w:tab/>
        <w:t>Chapitre 3.3, disposition spéciale 188</w:t>
      </w:r>
    </w:p>
    <w:p w:rsidR="00804E87" w:rsidRPr="00BE150A" w:rsidRDefault="00804E87" w:rsidP="00867535">
      <w:pPr>
        <w:pStyle w:val="SingleTxtG"/>
        <w:ind w:left="2268"/>
      </w:pPr>
      <w:r w:rsidRPr="00BE150A">
        <w:t xml:space="preserve">À l’alinéa </w:t>
      </w:r>
      <w:r w:rsidRPr="00867535">
        <w:t>d</w:t>
      </w:r>
      <w:r w:rsidR="00867535">
        <w:t>)</w:t>
      </w:r>
      <w:r w:rsidRPr="00BE150A">
        <w:t xml:space="preserve">, remplacer </w:t>
      </w:r>
      <w:r w:rsidR="00867535">
        <w:t>« </w:t>
      </w:r>
      <w:r w:rsidRPr="00BE150A">
        <w:t>protection contre les contacts avec des matériaux conducteurs</w:t>
      </w:r>
      <w:r w:rsidR="00867535">
        <w:t> »</w:t>
      </w:r>
      <w:r w:rsidRPr="00BE150A">
        <w:t xml:space="preserve"> par </w:t>
      </w:r>
      <w:r w:rsidR="00867535">
        <w:t>« </w:t>
      </w:r>
      <w:r w:rsidRPr="00BE150A">
        <w:t>protection contre les contacts électriques avec des matériaux conducteurs</w:t>
      </w:r>
      <w:r w:rsidR="00867535">
        <w:t> »</w:t>
      </w:r>
      <w:r w:rsidRPr="00BE150A">
        <w:t>.</w:t>
      </w:r>
    </w:p>
    <w:p w:rsidR="00804E87" w:rsidRPr="00BE150A" w:rsidRDefault="00804E87" w:rsidP="00867535">
      <w:pPr>
        <w:pStyle w:val="SingleTxtG"/>
        <w:keepNext/>
        <w:ind w:left="1701"/>
      </w:pPr>
      <w:r w:rsidRPr="00BE150A">
        <w:t>2.</w:t>
      </w:r>
      <w:r w:rsidRPr="00BE150A">
        <w:tab/>
        <w:t>Chapitre 4.1</w:t>
      </w:r>
    </w:p>
    <w:p w:rsidR="00804E87" w:rsidRPr="00BE150A" w:rsidRDefault="00804E87" w:rsidP="006C2110">
      <w:pPr>
        <w:pStyle w:val="SingleTxtG"/>
        <w:ind w:left="2268"/>
      </w:pPr>
      <w:r w:rsidRPr="00BE150A">
        <w:tab/>
        <w:t>Instruction d’emballage P801, disposition supplémentaire 2 :</w:t>
      </w:r>
    </w:p>
    <w:p w:rsidR="00804E87" w:rsidRPr="00BE150A" w:rsidRDefault="00804E87" w:rsidP="006C2110">
      <w:pPr>
        <w:pStyle w:val="SingleTxtG"/>
        <w:ind w:left="2268"/>
      </w:pPr>
      <w:r w:rsidRPr="00BE150A">
        <w:tab/>
        <w:t>Ajouter « électrique » après « isolant ».</w:t>
      </w:r>
    </w:p>
    <w:p w:rsidR="00804E87" w:rsidRPr="00BE150A" w:rsidRDefault="00B445F2" w:rsidP="006C2110">
      <w:pPr>
        <w:pStyle w:val="SingleTxtG"/>
        <w:ind w:left="2268"/>
      </w:pPr>
      <w:r w:rsidRPr="00BE150A">
        <w:rPr>
          <w:noProof/>
          <w:sz w:val="16"/>
          <w:szCs w:val="16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83E9AB" wp14:editId="57A8306B">
                <wp:simplePos x="0" y="0"/>
                <wp:positionH relativeFrom="column">
                  <wp:posOffset>1115060</wp:posOffset>
                </wp:positionH>
                <wp:positionV relativeFrom="paragraph">
                  <wp:posOffset>37465</wp:posOffset>
                </wp:positionV>
                <wp:extent cx="215900" cy="1473200"/>
                <wp:effectExtent l="0" t="0" r="12700" b="12700"/>
                <wp:wrapNone/>
                <wp:docPr id="4" name="Left Bra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1473200"/>
                        </a:xfrm>
                        <a:prstGeom prst="leftBrac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Left Brace 1" o:spid="_x0000_s1026" type="#_x0000_t87" style="position:absolute;margin-left:87.8pt;margin-top:2.95pt;width:17pt;height:11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" adj="264" strokecolor="black [3040]"/>
            </w:pict>
          </mc:Fallback>
        </mc:AlternateContent>
      </w:r>
      <w:r w:rsidR="00804E87" w:rsidRPr="00BE150A">
        <w:tab/>
        <w:t>Instruction d’emballage P908, paragraphes 2 et 4</w:t>
      </w:r>
    </w:p>
    <w:p w:rsidR="00804E87" w:rsidRPr="00BE150A" w:rsidRDefault="00804E87" w:rsidP="00804E87">
      <w:pPr>
        <w:pStyle w:val="SingleTxtG"/>
        <w:ind w:left="2268"/>
      </w:pPr>
      <w:r w:rsidRPr="00BE150A">
        <w:t>Instruction d’emballage P909, alinéa</w:t>
      </w:r>
      <w:r w:rsidR="001C0BB3">
        <w:t xml:space="preserve"> c) </w:t>
      </w:r>
      <w:r w:rsidRPr="00BE150A">
        <w:t>du paragraphe 1, alinéa</w:t>
      </w:r>
      <w:r w:rsidR="001C0BB3">
        <w:t> b)</w:t>
      </w:r>
      <w:r w:rsidRPr="00BE150A">
        <w:t xml:space="preserve"> du paragraphe 2, quatrième tiret de la disposition supplémentaire 2 et disposition supplémentaire 3</w:t>
      </w:r>
    </w:p>
    <w:p w:rsidR="00804E87" w:rsidRPr="00BE150A" w:rsidRDefault="00804E87" w:rsidP="00804E87">
      <w:pPr>
        <w:pStyle w:val="SingleTxtG"/>
        <w:ind w:left="2268"/>
      </w:pPr>
      <w:r w:rsidRPr="00BE150A">
        <w:tab/>
        <w:t>Instruction d’emballage P910, alinéas</w:t>
      </w:r>
      <w:r w:rsidR="001C0BB3">
        <w:t> c)</w:t>
      </w:r>
      <w:r w:rsidRPr="00BE150A">
        <w:rPr>
          <w:i/>
        </w:rPr>
        <w:t xml:space="preserve"> </w:t>
      </w:r>
      <w:r w:rsidRPr="00BE150A">
        <w:t xml:space="preserve">et </w:t>
      </w:r>
      <w:r w:rsidR="001C0BB3" w:rsidRPr="00867535">
        <w:t>d</w:t>
      </w:r>
      <w:r w:rsidR="001C0BB3">
        <w:t>)</w:t>
      </w:r>
      <w:r w:rsidRPr="00BE150A">
        <w:rPr>
          <w:i/>
        </w:rPr>
        <w:t xml:space="preserve"> </w:t>
      </w:r>
      <w:r w:rsidRPr="00BE150A">
        <w:t>du paragraphe 1, alinéa</w:t>
      </w:r>
      <w:r w:rsidR="001C0BB3">
        <w:t xml:space="preserve"> c) </w:t>
      </w:r>
      <w:r w:rsidRPr="00BE150A">
        <w:t>du paragraphe 2 et quatrième tiret des dispositions supplémentaires</w:t>
      </w:r>
    </w:p>
    <w:p w:rsidR="00804E87" w:rsidRPr="00BE150A" w:rsidRDefault="00804E87" w:rsidP="00804E87">
      <w:pPr>
        <w:pStyle w:val="SingleTxtG"/>
        <w:ind w:left="2268"/>
      </w:pPr>
      <w:r w:rsidRPr="00BE150A">
        <w:t xml:space="preserve">Instruction d’emballage LP904, paragraphes 2 et </w:t>
      </w:r>
      <w:r w:rsidR="001C0BB3">
        <w:t>4 :</w:t>
      </w:r>
    </w:p>
    <w:p w:rsidR="00804E87" w:rsidRPr="00BE150A" w:rsidRDefault="00804E87" w:rsidP="00804E87">
      <w:pPr>
        <w:pStyle w:val="SingleTxtG"/>
        <w:ind w:left="2268"/>
      </w:pPr>
      <w:r w:rsidRPr="00BE150A">
        <w:tab/>
        <w:t xml:space="preserve">Remplacer </w:t>
      </w:r>
      <w:r w:rsidR="001C0BB3">
        <w:t>« </w:t>
      </w:r>
      <w:r w:rsidRPr="00BE150A">
        <w:t>non conducteur</w:t>
      </w:r>
      <w:r w:rsidR="001C0BB3">
        <w:t> »</w:t>
      </w:r>
      <w:r w:rsidRPr="00BE150A">
        <w:t xml:space="preserve"> par </w:t>
      </w:r>
      <w:r w:rsidR="001C0BB3">
        <w:t>« </w:t>
      </w:r>
      <w:r w:rsidRPr="00BE150A">
        <w:t>non conducteur d’électricité</w:t>
      </w:r>
      <w:r w:rsidR="001C0BB3">
        <w:t> »</w:t>
      </w:r>
      <w:r w:rsidRPr="00BE150A">
        <w:t>.</w:t>
      </w:r>
    </w:p>
    <w:p w:rsidR="00804E87" w:rsidRPr="00BE150A" w:rsidRDefault="00804E87" w:rsidP="008A28D0">
      <w:pPr>
        <w:pStyle w:val="SingleTxtG"/>
        <w:keepNext/>
        <w:ind w:left="1701"/>
      </w:pPr>
      <w:r w:rsidRPr="00BE150A">
        <w:t>3.</w:t>
      </w:r>
      <w:r w:rsidRPr="00BE150A">
        <w:tab/>
        <w:t>Chapitre 4.1, instruction d’emballage P910, deuxième tiret des dispositions supplémentaires</w:t>
      </w:r>
      <w:r w:rsidR="008A28D0">
        <w:t> :</w:t>
      </w:r>
    </w:p>
    <w:p w:rsidR="00804E87" w:rsidRPr="00BE150A" w:rsidRDefault="00804E87" w:rsidP="00E36749">
      <w:pPr>
        <w:pStyle w:val="SingleTxtG"/>
        <w:ind w:left="2268"/>
        <w:rPr>
          <w:highlight w:val="yellow"/>
        </w:rPr>
      </w:pPr>
      <w:r w:rsidRPr="00BE150A">
        <w:tab/>
        <w:t xml:space="preserve">Remplacer </w:t>
      </w:r>
      <w:r w:rsidR="001C0BB3">
        <w:t>« </w:t>
      </w:r>
      <w:r w:rsidRPr="00BE150A">
        <w:t>contact entre les piles et les batteries</w:t>
      </w:r>
      <w:r w:rsidR="001C0BB3">
        <w:t> »</w:t>
      </w:r>
      <w:r w:rsidRPr="00BE150A">
        <w:t xml:space="preserve"> par </w:t>
      </w:r>
      <w:r w:rsidR="001C0BB3">
        <w:t>« </w:t>
      </w:r>
      <w:r w:rsidRPr="00BE150A">
        <w:t>contact électrique entre les piles et les batteries</w:t>
      </w:r>
      <w:r w:rsidR="001C0BB3">
        <w:t> »</w:t>
      </w:r>
      <w:r w:rsidRPr="00BE150A">
        <w:t>.</w:t>
      </w:r>
    </w:p>
    <w:p w:rsidR="00804E87" w:rsidRPr="00BE150A" w:rsidRDefault="00804E87" w:rsidP="008A28D0">
      <w:pPr>
        <w:pStyle w:val="SingleTxtG"/>
        <w:keepNext/>
        <w:ind w:left="1701"/>
      </w:pPr>
      <w:r w:rsidRPr="00BE150A">
        <w:t>4.</w:t>
      </w:r>
      <w:r w:rsidRPr="00BE150A">
        <w:tab/>
        <w:t>Chapitre 6.4, paragraphe 6.4.10.2</w:t>
      </w:r>
    </w:p>
    <w:p w:rsidR="00804E87" w:rsidRPr="00BE150A" w:rsidRDefault="00804E87" w:rsidP="00E36749">
      <w:pPr>
        <w:pStyle w:val="SingleTxtG"/>
        <w:ind w:left="2268"/>
      </w:pPr>
      <w:r w:rsidRPr="00BE150A">
        <w:t xml:space="preserve">Remplacer </w:t>
      </w:r>
      <w:r w:rsidR="001C0BB3">
        <w:t>« </w:t>
      </w:r>
      <w:r w:rsidRPr="00BE150A">
        <w:t>conductivité thermique</w:t>
      </w:r>
      <w:r w:rsidR="001C0BB3">
        <w:t> »</w:t>
      </w:r>
      <w:r w:rsidRPr="00BE150A">
        <w:t xml:space="preserve"> par </w:t>
      </w:r>
      <w:r w:rsidR="001C0BB3">
        <w:t>« </w:t>
      </w:r>
      <w:r w:rsidRPr="00BE150A">
        <w:t>coefficient de conductivité thermique</w:t>
      </w:r>
      <w:r w:rsidR="001C0BB3">
        <w:t> »</w:t>
      </w:r>
      <w:r w:rsidRPr="00BE150A">
        <w:t xml:space="preserve">. </w:t>
      </w:r>
    </w:p>
    <w:p w:rsidR="00804E87" w:rsidRPr="00BE150A" w:rsidRDefault="008A28D0" w:rsidP="008A28D0">
      <w:pPr>
        <w:pStyle w:val="H23G"/>
      </w:pPr>
      <w:r>
        <w:tab/>
      </w:r>
      <w:r>
        <w:tab/>
      </w:r>
      <w:r w:rsidR="00804E87" w:rsidRPr="00BE150A">
        <w:t>Raisonnement</w:t>
      </w:r>
    </w:p>
    <w:p w:rsidR="00446FE5" w:rsidRDefault="00804E87" w:rsidP="008A28D0">
      <w:pPr>
        <w:pStyle w:val="SingleTxtG"/>
      </w:pPr>
      <w:r w:rsidRPr="00BE150A">
        <w:t>[</w:t>
      </w:r>
      <w:r w:rsidRPr="008A28D0">
        <w:t>W</w:t>
      </w:r>
      <w:r w:rsidRPr="00BE150A">
        <w:t>/(</w:t>
      </w:r>
      <w:r w:rsidRPr="008A28D0">
        <w:t>m</w:t>
      </w:r>
      <w:r w:rsidRPr="00BE150A">
        <w:t>·</w:t>
      </w:r>
      <w:r w:rsidRPr="008A28D0">
        <w:t>K</w:t>
      </w:r>
      <w:r w:rsidRPr="00BE150A">
        <w:t>)] est l’unité de mesure du coefficient de conductivité thermique dans le Système international d’unités (SI).</w:t>
      </w:r>
    </w:p>
    <w:p w:rsidR="008A28D0" w:rsidRPr="008A28D0" w:rsidRDefault="008A28D0" w:rsidP="008A28D0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8A28D0" w:rsidRPr="008A28D0" w:rsidSect="00804E87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701" w:right="1134" w:bottom="2268" w:left="1134" w:header="1134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44A2" w:rsidRDefault="00D044A2" w:rsidP="00F95C08">
      <w:pPr>
        <w:spacing w:line="240" w:lineRule="auto"/>
      </w:pPr>
    </w:p>
  </w:endnote>
  <w:endnote w:type="continuationSeparator" w:id="0">
    <w:p w:rsidR="00D044A2" w:rsidRPr="00AC3823" w:rsidRDefault="00D044A2" w:rsidP="00AC3823">
      <w:pPr>
        <w:pStyle w:val="Footer"/>
      </w:pPr>
    </w:p>
  </w:endnote>
  <w:endnote w:type="continuationNotice" w:id="1">
    <w:p w:rsidR="00D044A2" w:rsidRDefault="00D044A2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E87" w:rsidRPr="00804E87" w:rsidRDefault="00804E87" w:rsidP="00804E87">
    <w:pPr>
      <w:pStyle w:val="Footer"/>
      <w:tabs>
        <w:tab w:val="right" w:pos="9638"/>
      </w:tabs>
    </w:pPr>
    <w:r w:rsidRPr="00804E87">
      <w:rPr>
        <w:b/>
        <w:sz w:val="18"/>
      </w:rPr>
      <w:fldChar w:fldCharType="begin"/>
    </w:r>
    <w:r w:rsidRPr="00804E87">
      <w:rPr>
        <w:b/>
        <w:sz w:val="18"/>
      </w:rPr>
      <w:instrText xml:space="preserve"> PAGE  \* MERGEFORMAT </w:instrText>
    </w:r>
    <w:r w:rsidRPr="00804E87">
      <w:rPr>
        <w:b/>
        <w:sz w:val="18"/>
      </w:rPr>
      <w:fldChar w:fldCharType="separate"/>
    </w:r>
    <w:r w:rsidR="00AA37B7">
      <w:rPr>
        <w:b/>
        <w:noProof/>
        <w:sz w:val="18"/>
      </w:rPr>
      <w:t>2</w:t>
    </w:r>
    <w:r w:rsidRPr="00804E87">
      <w:rPr>
        <w:b/>
        <w:sz w:val="18"/>
      </w:rPr>
      <w:fldChar w:fldCharType="end"/>
    </w:r>
    <w:r>
      <w:rPr>
        <w:b/>
        <w:sz w:val="18"/>
      </w:rPr>
      <w:tab/>
    </w:r>
    <w:r>
      <w:t>GE.16-05899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E87" w:rsidRPr="00804E87" w:rsidRDefault="00804E87" w:rsidP="00804E87">
    <w:pPr>
      <w:pStyle w:val="Footer"/>
      <w:tabs>
        <w:tab w:val="right" w:pos="9638"/>
      </w:tabs>
      <w:rPr>
        <w:b/>
        <w:sz w:val="18"/>
      </w:rPr>
    </w:pPr>
    <w:r>
      <w:t>GE.16-05899</w:t>
    </w:r>
    <w:r>
      <w:tab/>
    </w:r>
    <w:r w:rsidRPr="00804E87">
      <w:rPr>
        <w:b/>
        <w:sz w:val="18"/>
      </w:rPr>
      <w:fldChar w:fldCharType="begin"/>
    </w:r>
    <w:r w:rsidRPr="00804E87">
      <w:rPr>
        <w:b/>
        <w:sz w:val="18"/>
      </w:rPr>
      <w:instrText xml:space="preserve"> PAGE  \* MERGEFORMAT </w:instrText>
    </w:r>
    <w:r w:rsidRPr="00804E87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804E87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56F" w:rsidRPr="00804E87" w:rsidRDefault="00804E87" w:rsidP="00804E87">
    <w:pPr>
      <w:pStyle w:val="Footer"/>
      <w:spacing w:before="120"/>
      <w:rPr>
        <w:sz w:val="20"/>
      </w:rPr>
    </w:pPr>
    <w:r>
      <w:rPr>
        <w:sz w:val="20"/>
      </w:rPr>
      <w:t>GE.</w:t>
    </w:r>
    <w:r w:rsidR="0068456F"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0" wp14:anchorId="5285792A" wp14:editId="65861885">
          <wp:simplePos x="0" y="0"/>
          <wp:positionH relativeFrom="margin">
            <wp:posOffset>4319905</wp:posOffset>
          </wp:positionH>
          <wp:positionV relativeFrom="margin">
            <wp:posOffset>8279765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16-05899  (F)    110516    130516</w:t>
    </w:r>
    <w:r>
      <w:rPr>
        <w:sz w:val="20"/>
      </w:rPr>
      <w:br/>
    </w:r>
    <w:r w:rsidRPr="00804E87">
      <w:rPr>
        <w:rFonts w:ascii="C39T30Lfz" w:hAnsi="C39T30Lfz"/>
        <w:sz w:val="56"/>
      </w:rPr>
      <w:t></w:t>
    </w:r>
    <w:r w:rsidRPr="00804E87">
      <w:rPr>
        <w:rFonts w:ascii="C39T30Lfz" w:hAnsi="C39T30Lfz"/>
        <w:sz w:val="56"/>
      </w:rPr>
      <w:t></w:t>
    </w:r>
    <w:r w:rsidRPr="00804E87">
      <w:rPr>
        <w:rFonts w:ascii="C39T30Lfz" w:hAnsi="C39T30Lfz"/>
        <w:sz w:val="56"/>
      </w:rPr>
      <w:t></w:t>
    </w:r>
    <w:r w:rsidRPr="00804E87">
      <w:rPr>
        <w:rFonts w:ascii="C39T30Lfz" w:hAnsi="C39T30Lfz"/>
        <w:sz w:val="56"/>
      </w:rPr>
      <w:t></w:t>
    </w:r>
    <w:r w:rsidRPr="00804E87">
      <w:rPr>
        <w:rFonts w:ascii="C39T30Lfz" w:hAnsi="C39T30Lfz"/>
        <w:sz w:val="56"/>
      </w:rPr>
      <w:t></w:t>
    </w:r>
    <w:r w:rsidRPr="00804E87">
      <w:rPr>
        <w:rFonts w:ascii="C39T30Lfz" w:hAnsi="C39T30Lfz"/>
        <w:sz w:val="56"/>
      </w:rPr>
      <w:t></w:t>
    </w:r>
    <w:r w:rsidRPr="00804E87">
      <w:rPr>
        <w:rFonts w:ascii="C39T30Lfz" w:hAnsi="C39T30Lfz"/>
        <w:sz w:val="56"/>
      </w:rPr>
      <w:t></w:t>
    </w:r>
    <w:r w:rsidRPr="00804E87">
      <w:rPr>
        <w:rFonts w:ascii="C39T30Lfz" w:hAnsi="C39T30Lfz"/>
        <w:sz w:val="56"/>
      </w:rPr>
      <w:t></w:t>
    </w:r>
    <w:r w:rsidRPr="00804E87">
      <w:rPr>
        <w:rFonts w:ascii="C39T30Lfz" w:hAnsi="C39T30Lfz"/>
        <w:sz w:val="56"/>
      </w:rPr>
      <w:t></w:t>
    </w:r>
    <w:r>
      <w:rPr>
        <w:noProof/>
        <w:sz w:val="20"/>
        <w:lang w:val="en-GB" w:eastAsia="en-GB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8027670</wp:posOffset>
          </wp:positionV>
          <wp:extent cx="640080" cy="640080"/>
          <wp:effectExtent l="0" t="0" r="7620" b="7620"/>
          <wp:wrapNone/>
          <wp:docPr id="3" name="Image 1" descr="http://undocs.org/m2/QRCode.ashx?DS=ST/SG/AC.10/C.3/2016/2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undocs.org/m2/QRCode.ashx?DS=ST/SG/AC.10/C.3/2016/2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44A2" w:rsidRPr="00AC3823" w:rsidRDefault="00D044A2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D044A2" w:rsidRPr="00AC3823" w:rsidRDefault="00D044A2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D044A2" w:rsidRPr="00AC3823" w:rsidRDefault="00D044A2">
      <w:pPr>
        <w:spacing w:line="240" w:lineRule="auto"/>
        <w:rPr>
          <w:sz w:val="2"/>
          <w:szCs w:val="2"/>
        </w:rPr>
      </w:pPr>
    </w:p>
  </w:footnote>
  <w:footnote w:id="2">
    <w:p w:rsidR="00804E87" w:rsidRPr="00196B33" w:rsidRDefault="00804E87" w:rsidP="00804E87">
      <w:pPr>
        <w:pStyle w:val="FootnoteText"/>
      </w:pPr>
      <w:r>
        <w:tab/>
      </w:r>
      <w:r w:rsidRPr="005A3AEC">
        <w:rPr>
          <w:rStyle w:val="FootnoteReference"/>
        </w:rPr>
        <w:footnoteRef/>
      </w:r>
      <w:r w:rsidRPr="00196B33">
        <w:tab/>
        <w:t>Conformément au programme de travail du Sous-Comité pour la période 2015-2016 adopté par le Comité à sa septième session (voir ST/SG/AC.10/C.3/92, par. 95, et ST/SG/AC.10/42, par. 15).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E87" w:rsidRPr="00804E87" w:rsidRDefault="00804E87">
    <w:pPr>
      <w:pStyle w:val="Header"/>
    </w:pPr>
    <w:r>
      <w:t>ST/SG/AC.10/C.3/2016/2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E87" w:rsidRPr="00804E87" w:rsidRDefault="00804E87" w:rsidP="00804E87">
    <w:pPr>
      <w:pStyle w:val="Header"/>
      <w:jc w:val="right"/>
    </w:pPr>
    <w:r>
      <w:t>ST/SG/AC.10/C.3/2016/2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567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4A2"/>
    <w:rsid w:val="00017F94"/>
    <w:rsid w:val="00023842"/>
    <w:rsid w:val="000305D3"/>
    <w:rsid w:val="000334F9"/>
    <w:rsid w:val="0007796D"/>
    <w:rsid w:val="000B7790"/>
    <w:rsid w:val="00111F2F"/>
    <w:rsid w:val="00132EA9"/>
    <w:rsid w:val="0014365E"/>
    <w:rsid w:val="00176178"/>
    <w:rsid w:val="001C0BB3"/>
    <w:rsid w:val="001F525A"/>
    <w:rsid w:val="00223272"/>
    <w:rsid w:val="0024779E"/>
    <w:rsid w:val="00283190"/>
    <w:rsid w:val="002832AC"/>
    <w:rsid w:val="002D7C93"/>
    <w:rsid w:val="00441C3B"/>
    <w:rsid w:val="00446FE5"/>
    <w:rsid w:val="00452396"/>
    <w:rsid w:val="004E468C"/>
    <w:rsid w:val="005505B7"/>
    <w:rsid w:val="00573BE5"/>
    <w:rsid w:val="00586ED3"/>
    <w:rsid w:val="00596AA9"/>
    <w:rsid w:val="0068456F"/>
    <w:rsid w:val="006C2110"/>
    <w:rsid w:val="0071601D"/>
    <w:rsid w:val="007A62E6"/>
    <w:rsid w:val="00804E87"/>
    <w:rsid w:val="0080684C"/>
    <w:rsid w:val="00867535"/>
    <w:rsid w:val="00871C75"/>
    <w:rsid w:val="008776DC"/>
    <w:rsid w:val="00883EB7"/>
    <w:rsid w:val="008A28D0"/>
    <w:rsid w:val="009705C8"/>
    <w:rsid w:val="009C1CF4"/>
    <w:rsid w:val="00A30353"/>
    <w:rsid w:val="00AA37B7"/>
    <w:rsid w:val="00AC3823"/>
    <w:rsid w:val="00AE323C"/>
    <w:rsid w:val="00AE5B31"/>
    <w:rsid w:val="00B00181"/>
    <w:rsid w:val="00B00B0D"/>
    <w:rsid w:val="00B34106"/>
    <w:rsid w:val="00B445F2"/>
    <w:rsid w:val="00B765F7"/>
    <w:rsid w:val="00BA0CA9"/>
    <w:rsid w:val="00C02897"/>
    <w:rsid w:val="00D044A2"/>
    <w:rsid w:val="00D300C6"/>
    <w:rsid w:val="00D3439C"/>
    <w:rsid w:val="00DB1831"/>
    <w:rsid w:val="00DD3BFD"/>
    <w:rsid w:val="00DF6678"/>
    <w:rsid w:val="00E36749"/>
    <w:rsid w:val="00EF2E22"/>
    <w:rsid w:val="00F660DF"/>
    <w:rsid w:val="00F730C8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uiPriority="10" w:unhideWhenUsed="0" w:qFormat="1"/>
    <w:lsdException w:name="Default Paragraph Font" w:uiPriority="0"/>
    <w:lsdException w:name="Subtitle" w:uiPriority="11" w:unhideWhenUsed="0" w:qFormat="1"/>
    <w:lsdException w:name="Hyperlink" w:uiPriority="0"/>
    <w:lsdException w:name="FollowedHyperlink" w:uiPriority="0"/>
    <w:lsdException w:name="Strong" w:uiPriority="22" w:unhideWhenUsed="0" w:qFormat="1"/>
    <w:lsdException w:name="Emphasis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2AC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80684C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80684C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80684C"/>
    <w:rPr>
      <w:rFonts w:ascii="Times New Roman" w:eastAsia="Times New Roman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80684C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80684C"/>
    <w:rPr>
      <w:rFonts w:ascii="Times New Roman" w:eastAsia="Times New Roman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80684C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871C7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ar"/>
    <w:qFormat/>
    <w:rsid w:val="0080684C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80684C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80684C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80684C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871C7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80684C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80684C"/>
    <w:pPr>
      <w:numPr>
        <w:numId w:val="2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DF6678"/>
    <w:pPr>
      <w:numPr>
        <w:numId w:val="3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"/>
    <w:basedOn w:val="DefaultParagraphFont"/>
    <w:qFormat/>
    <w:rsid w:val="00023842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023842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023842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283190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283190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80684C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80684C"/>
  </w:style>
  <w:style w:type="character" w:customStyle="1" w:styleId="EndnoteTextChar">
    <w:name w:val="Endnote Text Char"/>
    <w:aliases w:val="2_G Char"/>
    <w:basedOn w:val="DefaultParagraphFont"/>
    <w:link w:val="End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023842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80684C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2EA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EA9"/>
    <w:rPr>
      <w:rFonts w:ascii="Tahoma" w:hAnsi="Tahoma" w:cs="Tahoma"/>
      <w:sz w:val="16"/>
      <w:szCs w:val="16"/>
      <w:lang w:eastAsia="en-US"/>
    </w:rPr>
  </w:style>
  <w:style w:type="character" w:customStyle="1" w:styleId="SingleTxtGCar">
    <w:name w:val="_ Single Txt_G Car"/>
    <w:link w:val="SingleTxtG"/>
    <w:rsid w:val="00804E87"/>
    <w:rPr>
      <w:rFonts w:ascii="Times New Roman" w:hAnsi="Times New Roman" w:cs="Times New Roman"/>
      <w:sz w:val="20"/>
      <w:szCs w:val="20"/>
      <w:lang w:eastAsia="en-US"/>
    </w:rPr>
  </w:style>
  <w:style w:type="character" w:customStyle="1" w:styleId="HChGChar">
    <w:name w:val="_ H _Ch_G Char"/>
    <w:link w:val="HChG"/>
    <w:rsid w:val="00804E87"/>
    <w:rPr>
      <w:rFonts w:ascii="Times New Roman" w:hAnsi="Times New Roman" w:cs="Times New Roman"/>
      <w:b/>
      <w:sz w:val="28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uiPriority="10" w:unhideWhenUsed="0" w:qFormat="1"/>
    <w:lsdException w:name="Default Paragraph Font" w:uiPriority="0"/>
    <w:lsdException w:name="Subtitle" w:uiPriority="11" w:unhideWhenUsed="0" w:qFormat="1"/>
    <w:lsdException w:name="Hyperlink" w:uiPriority="0"/>
    <w:lsdException w:name="FollowedHyperlink" w:uiPriority="0"/>
    <w:lsdException w:name="Strong" w:uiPriority="22" w:unhideWhenUsed="0" w:qFormat="1"/>
    <w:lsdException w:name="Emphasis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2AC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80684C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80684C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80684C"/>
    <w:rPr>
      <w:rFonts w:ascii="Times New Roman" w:eastAsia="Times New Roman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80684C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80684C"/>
    <w:rPr>
      <w:rFonts w:ascii="Times New Roman" w:eastAsia="Times New Roman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80684C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871C7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ar"/>
    <w:qFormat/>
    <w:rsid w:val="0080684C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80684C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80684C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80684C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871C7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80684C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80684C"/>
    <w:pPr>
      <w:numPr>
        <w:numId w:val="2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DF6678"/>
    <w:pPr>
      <w:numPr>
        <w:numId w:val="3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"/>
    <w:basedOn w:val="DefaultParagraphFont"/>
    <w:qFormat/>
    <w:rsid w:val="00023842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023842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023842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283190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283190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80684C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80684C"/>
  </w:style>
  <w:style w:type="character" w:customStyle="1" w:styleId="EndnoteTextChar">
    <w:name w:val="Endnote Text Char"/>
    <w:aliases w:val="2_G Char"/>
    <w:basedOn w:val="DefaultParagraphFont"/>
    <w:link w:val="End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023842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80684C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2EA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EA9"/>
    <w:rPr>
      <w:rFonts w:ascii="Tahoma" w:hAnsi="Tahoma" w:cs="Tahoma"/>
      <w:sz w:val="16"/>
      <w:szCs w:val="16"/>
      <w:lang w:eastAsia="en-US"/>
    </w:rPr>
  </w:style>
  <w:style w:type="character" w:customStyle="1" w:styleId="SingleTxtGCar">
    <w:name w:val="_ Single Txt_G Car"/>
    <w:link w:val="SingleTxtG"/>
    <w:rsid w:val="00804E87"/>
    <w:rPr>
      <w:rFonts w:ascii="Times New Roman" w:hAnsi="Times New Roman" w:cs="Times New Roman"/>
      <w:sz w:val="20"/>
      <w:szCs w:val="20"/>
      <w:lang w:eastAsia="en-US"/>
    </w:rPr>
  </w:style>
  <w:style w:type="character" w:customStyle="1" w:styleId="HChGChar">
    <w:name w:val="_ H _Ch_G Char"/>
    <w:link w:val="HChG"/>
    <w:rsid w:val="00804E87"/>
    <w:rPr>
      <w:rFonts w:ascii="Times New Roman" w:hAnsi="Times New Roman" w:cs="Times New Roman"/>
      <w:b/>
      <w:sz w:val="28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521</Words>
  <Characters>2975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ST/SG/AC.10/C.3/2016/2</vt:lpstr>
      <vt:lpstr>ST/SG/AC.10/C.3/2016/2</vt:lpstr>
    </vt:vector>
  </TitlesOfParts>
  <Company>DCM</Company>
  <LinksUpToDate>false</LinksUpToDate>
  <CharactersWithSpaces>3490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ST/SG/AC.10/C.3/2016/2</dc:title>
  <dc:subject>final</dc:subject>
  <dc:creator>Nath V.</dc:creator>
  <cp:lastModifiedBy>Laurence Berthet</cp:lastModifiedBy>
  <cp:revision>2</cp:revision>
  <cp:lastPrinted>2016-05-13T13:19:00Z</cp:lastPrinted>
  <dcterms:created xsi:type="dcterms:W3CDTF">2016-05-13T13:19:00Z</dcterms:created>
  <dcterms:modified xsi:type="dcterms:W3CDTF">2016-05-13T13:19:00Z</dcterms:modified>
</cp:coreProperties>
</file>