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627699">
            <w:pPr>
              <w:jc w:val="right"/>
            </w:pPr>
            <w:r w:rsidRPr="00A32D41">
              <w:rPr>
                <w:sz w:val="40"/>
              </w:rPr>
              <w:t>ST</w:t>
            </w:r>
            <w:r w:rsidR="003466AC">
              <w:t>/</w:t>
            </w:r>
            <w:r>
              <w:t>SG</w:t>
            </w:r>
            <w:r w:rsidR="003466AC">
              <w:t>/</w:t>
            </w:r>
            <w:r>
              <w:t>AC.10/C</w:t>
            </w:r>
            <w:r w:rsidR="003466AC">
              <w:t>.3/</w:t>
            </w:r>
            <w:r w:rsidR="00BD10E7">
              <w:t>201</w:t>
            </w:r>
            <w:r w:rsidR="005279D0">
              <w:t>6</w:t>
            </w:r>
            <w:r w:rsidR="003466AC">
              <w:t>/</w:t>
            </w:r>
            <w:r w:rsidR="00433545">
              <w:t>2</w:t>
            </w:r>
            <w:r w:rsidR="00627699">
              <w:t>8</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100C77" w:rsidP="00A32D41">
            <w:pPr>
              <w:spacing w:line="240" w:lineRule="exact"/>
            </w:pPr>
            <w:r>
              <w:t>1</w:t>
            </w:r>
            <w:r w:rsidR="00FA7D83">
              <w:t>3</w:t>
            </w:r>
            <w:r w:rsidR="00433545">
              <w:t xml:space="preserve"> April</w:t>
            </w:r>
            <w:r w:rsidR="00B757DF">
              <w:t xml:space="preserve"> </w:t>
            </w:r>
            <w:r w:rsidR="00230AFE">
              <w:t>201</w:t>
            </w:r>
            <w:r w:rsidR="00870CE1">
              <w:t>6</w:t>
            </w:r>
          </w:p>
          <w:p w:rsidR="003466AC" w:rsidRDefault="003466AC" w:rsidP="00A32D41">
            <w:pPr>
              <w:spacing w:line="240" w:lineRule="exact"/>
            </w:pPr>
          </w:p>
          <w:p w:rsidR="00627699" w:rsidRDefault="00627699" w:rsidP="00A32D41">
            <w:pPr>
              <w:spacing w:line="240" w:lineRule="exact"/>
            </w:pPr>
            <w:r>
              <w:t>English</w:t>
            </w:r>
          </w:p>
          <w:p w:rsidR="003107FA" w:rsidRPr="006500BA" w:rsidRDefault="003466AC" w:rsidP="00A32D41">
            <w:pPr>
              <w:spacing w:line="240" w:lineRule="exact"/>
            </w:pPr>
            <w:r>
              <w:t>Original: English</w:t>
            </w:r>
            <w:r w:rsidR="00627699">
              <w:t xml:space="preserve"> and French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041765" w:rsidRDefault="00041765" w:rsidP="00041765">
      <w:pPr>
        <w:spacing w:before="120"/>
        <w:rPr>
          <w:b/>
        </w:rPr>
      </w:pPr>
      <w:r w:rsidRPr="000216CC">
        <w:rPr>
          <w:b/>
        </w:rPr>
        <w:t xml:space="preserve">Sub-Committee of Experts on the Transport </w:t>
      </w:r>
      <w:r w:rsidRPr="000216CC">
        <w:rPr>
          <w:b/>
        </w:rPr>
        <w:br/>
        <w:t xml:space="preserve">of Dangerous Goods </w:t>
      </w:r>
    </w:p>
    <w:p w:rsidR="00041765" w:rsidRDefault="00041765" w:rsidP="005176CD">
      <w:pPr>
        <w:spacing w:before="120"/>
        <w:rPr>
          <w:b/>
        </w:rPr>
      </w:pPr>
      <w:r>
        <w:rPr>
          <w:b/>
        </w:rPr>
        <w:t xml:space="preserve">Forty-ninth </w:t>
      </w:r>
      <w:proofErr w:type="gramStart"/>
      <w:r>
        <w:rPr>
          <w:b/>
        </w:rPr>
        <w:t>session</w:t>
      </w:r>
      <w:proofErr w:type="gramEnd"/>
    </w:p>
    <w:p w:rsidR="00041765" w:rsidRPr="00A22A58" w:rsidRDefault="00041765" w:rsidP="00041765">
      <w:pPr>
        <w:rPr>
          <w:sz w:val="19"/>
          <w:szCs w:val="19"/>
          <w:lang w:val="en-US"/>
        </w:rPr>
      </w:pPr>
      <w:r w:rsidRPr="00A22A58">
        <w:rPr>
          <w:sz w:val="19"/>
          <w:szCs w:val="19"/>
          <w:lang w:val="en-US"/>
        </w:rPr>
        <w:t>Geneva, 27 June – 6 July 2016</w:t>
      </w:r>
    </w:p>
    <w:p w:rsidR="00041765" w:rsidRPr="0051274C" w:rsidRDefault="00041765" w:rsidP="00041765">
      <w:r w:rsidRPr="0051274C">
        <w:t xml:space="preserve">Item </w:t>
      </w:r>
      <w:r w:rsidR="00627699">
        <w:t>5</w:t>
      </w:r>
      <w:r w:rsidR="0051274C">
        <w:t xml:space="preserve"> (</w:t>
      </w:r>
      <w:r w:rsidR="00627699">
        <w:t>b</w:t>
      </w:r>
      <w:r w:rsidR="0051274C">
        <w:t>)</w:t>
      </w:r>
      <w:r w:rsidRPr="0051274C">
        <w:t xml:space="preserve"> of the provisional agenda</w:t>
      </w:r>
    </w:p>
    <w:p w:rsidR="008C3CB0" w:rsidRPr="00627699" w:rsidRDefault="00627699" w:rsidP="00041765">
      <w:pPr>
        <w:rPr>
          <w:b/>
        </w:rPr>
      </w:pPr>
      <w:r w:rsidRPr="00627699">
        <w:rPr>
          <w:b/>
          <w:lang w:val="en-CA"/>
        </w:rPr>
        <w:t>Transport of gases: miscellaneous</w:t>
      </w:r>
    </w:p>
    <w:p w:rsidR="00105B0B" w:rsidRPr="00FC1B3D" w:rsidRDefault="007656AE" w:rsidP="00105B0B">
      <w:pPr>
        <w:pStyle w:val="HChG"/>
        <w:jc w:val="both"/>
        <w:rPr>
          <w:rFonts w:eastAsia="MS Mincho"/>
          <w:lang w:val="en-CA"/>
        </w:rPr>
      </w:pPr>
      <w:r w:rsidRPr="002D128B">
        <w:rPr>
          <w:rFonts w:eastAsia="MS Mincho"/>
          <w:lang w:eastAsia="ja-JP"/>
        </w:rPr>
        <w:tab/>
      </w:r>
      <w:r w:rsidRPr="002D128B">
        <w:rPr>
          <w:rFonts w:eastAsia="MS Mincho"/>
          <w:lang w:eastAsia="ja-JP"/>
        </w:rPr>
        <w:tab/>
      </w:r>
      <w:r w:rsidR="00105B0B">
        <w:rPr>
          <w:rFonts w:eastAsia="MS Mincho"/>
          <w:lang w:val="en-CA"/>
        </w:rPr>
        <w:t>Further comments on the adoption of ST/SG/AC.10/C.3/2015/39 and unanticipated impacts – New and revised ISO standards adopted in 6.2.2</w:t>
      </w:r>
    </w:p>
    <w:p w:rsidR="00105B0B" w:rsidRPr="004641AC" w:rsidRDefault="00105B0B" w:rsidP="00105B0B">
      <w:pPr>
        <w:pStyle w:val="H1G"/>
        <w:rPr>
          <w:lang w:val="en"/>
        </w:rPr>
      </w:pPr>
      <w:r w:rsidRPr="00FC1B3D">
        <w:rPr>
          <w:lang w:val="en-CA"/>
        </w:rPr>
        <w:tab/>
      </w:r>
      <w:r w:rsidRPr="00FC1B3D">
        <w:rPr>
          <w:lang w:val="en-CA"/>
        </w:rPr>
        <w:tab/>
      </w:r>
      <w:r>
        <w:rPr>
          <w:lang w:val="en-CA"/>
        </w:rPr>
        <w:t>Transmitted</w:t>
      </w:r>
      <w:r w:rsidRPr="00FC1B3D">
        <w:rPr>
          <w:lang w:val="en-CA"/>
        </w:rPr>
        <w:t xml:space="preserve"> by the expert</w:t>
      </w:r>
      <w:r>
        <w:rPr>
          <w:lang w:val="en-CA"/>
        </w:rPr>
        <w:t>s</w:t>
      </w:r>
      <w:r w:rsidRPr="00FC1B3D">
        <w:rPr>
          <w:lang w:val="en-CA"/>
        </w:rPr>
        <w:t xml:space="preserve"> from Canada</w:t>
      </w:r>
      <w:r>
        <w:rPr>
          <w:lang w:val="en-CA"/>
        </w:rPr>
        <w:t>, Australia, and the United States of America</w:t>
      </w:r>
      <w:r w:rsidR="004641AC">
        <w:rPr>
          <w:rStyle w:val="FootnoteReference"/>
          <w:lang w:val="en"/>
        </w:rPr>
        <w:footnoteReference w:id="2"/>
      </w:r>
      <w:r w:rsidR="008A1D5B" w:rsidRPr="00FA7D83">
        <w:rPr>
          <w:vertAlign w:val="superscript"/>
          <w:lang w:val="en-CA"/>
        </w:rPr>
        <w:t>,</w:t>
      </w:r>
      <w:r w:rsidR="008A1D5B">
        <w:rPr>
          <w:rStyle w:val="FootnoteReference"/>
          <w:lang w:val="en-CA"/>
        </w:rPr>
        <w:footnoteReference w:id="3"/>
      </w:r>
    </w:p>
    <w:p w:rsidR="00105B0B" w:rsidRPr="00FC1B3D" w:rsidRDefault="00105B0B" w:rsidP="00105B0B">
      <w:pPr>
        <w:pStyle w:val="HChG"/>
        <w:spacing w:before="240" w:after="120"/>
        <w:rPr>
          <w:rFonts w:eastAsia="MS Mincho"/>
          <w:lang w:val="en-CA"/>
        </w:rPr>
      </w:pPr>
      <w:r w:rsidRPr="00FC1B3D">
        <w:rPr>
          <w:lang w:val="en-CA"/>
        </w:rPr>
        <w:tab/>
      </w:r>
      <w:r w:rsidRPr="00FC1B3D">
        <w:rPr>
          <w:lang w:val="en-CA"/>
        </w:rPr>
        <w:tab/>
        <w:t>Purpose</w:t>
      </w:r>
    </w:p>
    <w:p w:rsidR="00105B0B" w:rsidRDefault="00105B0B" w:rsidP="00105B0B">
      <w:pPr>
        <w:pStyle w:val="SingleTxtG"/>
      </w:pPr>
      <w:r>
        <w:t>1.</w:t>
      </w:r>
      <w:r>
        <w:tab/>
        <w:t>To raise additional issues with the full adoption of ISO 21172-1:2015 into the Model Regulations, and to propose a modification to the reference made to ISO 21172-1:2015 that would address these issues.</w:t>
      </w:r>
    </w:p>
    <w:p w:rsidR="00105B0B" w:rsidRDefault="00105B0B" w:rsidP="00105B0B">
      <w:pPr>
        <w:pStyle w:val="SingleTxtG"/>
      </w:pPr>
      <w:r>
        <w:t>2.</w:t>
      </w:r>
      <w:r>
        <w:tab/>
        <w:t>Reference is made to the following documents:</w:t>
      </w:r>
    </w:p>
    <w:p w:rsidR="00105B0B" w:rsidRDefault="00105B0B" w:rsidP="00105B0B">
      <w:pPr>
        <w:pStyle w:val="SingleTxtG"/>
      </w:pPr>
      <w:r>
        <w:tab/>
        <w:t>(</w:t>
      </w:r>
      <w:proofErr w:type="gramStart"/>
      <w:r>
        <w:t>a</w:t>
      </w:r>
      <w:proofErr w:type="gramEnd"/>
      <w:r>
        <w:t>)</w:t>
      </w:r>
      <w:r>
        <w:tab/>
      </w:r>
      <w:hyperlink r:id="rId10" w:history="1">
        <w:r w:rsidRPr="00162DBF">
          <w:rPr>
            <w:rStyle w:val="Hyperlink"/>
          </w:rPr>
          <w:t>ST/SG/AC.10/C.3/2015/39</w:t>
        </w:r>
      </w:hyperlink>
      <w:r>
        <w:t>;</w:t>
      </w:r>
    </w:p>
    <w:p w:rsidR="00105B0B" w:rsidRPr="00FC1B3D" w:rsidRDefault="00105B0B" w:rsidP="00105B0B">
      <w:pPr>
        <w:pStyle w:val="SingleTxtG"/>
      </w:pPr>
      <w:r>
        <w:tab/>
        <w:t>(b)</w:t>
      </w:r>
      <w:r>
        <w:tab/>
      </w:r>
      <w:r w:rsidR="00100C77">
        <w:rPr>
          <w:rStyle w:val="Hyperlink"/>
        </w:rPr>
        <w:t>Informal document INF.49 (48</w:t>
      </w:r>
      <w:r w:rsidR="00100C77" w:rsidRPr="00FA7D83">
        <w:rPr>
          <w:rStyle w:val="Hyperlink"/>
          <w:vertAlign w:val="superscript"/>
        </w:rPr>
        <w:t>th</w:t>
      </w:r>
      <w:r w:rsidR="00100C77">
        <w:rPr>
          <w:rStyle w:val="Hyperlink"/>
        </w:rPr>
        <w:t xml:space="preserve"> session)</w:t>
      </w:r>
      <w:r>
        <w:t>.</w:t>
      </w:r>
    </w:p>
    <w:p w:rsidR="00105B0B" w:rsidRPr="00FC1B3D" w:rsidRDefault="00105B0B" w:rsidP="00105B0B">
      <w:pPr>
        <w:pStyle w:val="HChG"/>
        <w:spacing w:before="240" w:after="120"/>
        <w:rPr>
          <w:rFonts w:eastAsia="MS Mincho"/>
          <w:lang w:val="en-CA"/>
        </w:rPr>
      </w:pPr>
      <w:r w:rsidRPr="00FC1B3D">
        <w:rPr>
          <w:lang w:val="en-CA"/>
        </w:rPr>
        <w:lastRenderedPageBreak/>
        <w:tab/>
      </w:r>
      <w:r w:rsidRPr="00FC1B3D">
        <w:rPr>
          <w:lang w:val="en-CA"/>
        </w:rPr>
        <w:tab/>
        <w:t>Introduction</w:t>
      </w:r>
    </w:p>
    <w:p w:rsidR="00105B0B" w:rsidRDefault="00105B0B" w:rsidP="00105B0B">
      <w:pPr>
        <w:pStyle w:val="SingleTxtG"/>
      </w:pPr>
      <w:r>
        <w:t>3.</w:t>
      </w:r>
      <w:r>
        <w:tab/>
      </w:r>
      <w:r w:rsidRPr="00CB5142">
        <w:t xml:space="preserve">In </w:t>
      </w:r>
      <w:r w:rsidRPr="00162DBF">
        <w:t>ST/SG/AC.10/C.3/2015/39</w:t>
      </w:r>
      <w:r w:rsidRPr="00CB5142">
        <w:t>, the International Organisation for Standardisation (ISO) propose</w:t>
      </w:r>
      <w:r>
        <w:t>d</w:t>
      </w:r>
      <w:r w:rsidRPr="00CB5142">
        <w:t xml:space="preserve"> the introduction of two revised ISO standards and one new ISO standard into 6.2.2 of the Model Regulations.</w:t>
      </w:r>
      <w:r>
        <w:t xml:space="preserve"> </w:t>
      </w:r>
      <w:r w:rsidRPr="00CB5142">
        <w:t>ST/SG/AC.10/C.3/2015/39</w:t>
      </w:r>
      <w:r>
        <w:t xml:space="preserve"> was adopted </w:t>
      </w:r>
      <w:r w:rsidR="00FC0AB1">
        <w:t xml:space="preserve">by the Sub-Committee </w:t>
      </w:r>
      <w:r w:rsidR="00100C77">
        <w:t xml:space="preserve">as proposed by ISO (see ST/SG/AC.10/C.3/96, paras 65-68 and addendum 1) </w:t>
      </w:r>
      <w:r>
        <w:t>by the Sub-Committee</w:t>
      </w:r>
      <w:r w:rsidR="00100C77">
        <w:t>.</w:t>
      </w:r>
      <w:r>
        <w:t xml:space="preserve"> </w:t>
      </w:r>
    </w:p>
    <w:p w:rsidR="00105B0B" w:rsidRDefault="00105B0B" w:rsidP="00105B0B">
      <w:pPr>
        <w:pStyle w:val="SingleTxtG"/>
      </w:pPr>
      <w:r>
        <w:t>4.</w:t>
      </w:r>
      <w:r>
        <w:tab/>
        <w:t>In paragraph 6 of ST/SG/AC.10/C.3/2015/39, a new reference to ISO 21172-1:2015 was added with a new paragraph 6.2.2.1.8 and new table:</w:t>
      </w:r>
    </w:p>
    <w:p w:rsidR="00105B0B" w:rsidRDefault="00105B0B" w:rsidP="00105B0B">
      <w:pPr>
        <w:pStyle w:val="UNParagraphStyle"/>
        <w:numPr>
          <w:ilvl w:val="0"/>
          <w:numId w:val="0"/>
        </w:numPr>
        <w:ind w:left="1701"/>
      </w:pPr>
      <w:r>
        <w:t>6.2.2.1.8</w:t>
      </w:r>
      <w:r>
        <w:tab/>
        <w:t>The following standard applies for the design, construction and initial inspection and test of UN pressure drums, except that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105B0B" w:rsidRPr="00715700" w:rsidTr="00105B0B">
        <w:tc>
          <w:tcPr>
            <w:tcW w:w="1560" w:type="dxa"/>
            <w:shd w:val="clear" w:color="auto" w:fill="auto"/>
            <w:vAlign w:val="center"/>
          </w:tcPr>
          <w:p w:rsidR="00105B0B" w:rsidRPr="00715700" w:rsidRDefault="00105B0B" w:rsidP="00105B0B">
            <w:pPr>
              <w:jc w:val="center"/>
              <w:rPr>
                <w:b/>
              </w:rPr>
            </w:pPr>
            <w:r w:rsidRPr="00715700">
              <w:rPr>
                <w:b/>
              </w:rPr>
              <w:t>Reference</w:t>
            </w:r>
          </w:p>
        </w:tc>
        <w:tc>
          <w:tcPr>
            <w:tcW w:w="3969" w:type="dxa"/>
            <w:shd w:val="clear" w:color="auto" w:fill="auto"/>
            <w:vAlign w:val="center"/>
          </w:tcPr>
          <w:p w:rsidR="00105B0B" w:rsidRPr="00715700" w:rsidRDefault="00105B0B" w:rsidP="00105B0B">
            <w:pPr>
              <w:jc w:val="center"/>
              <w:rPr>
                <w:b/>
              </w:rPr>
            </w:pPr>
            <w:r w:rsidRPr="00715700">
              <w:rPr>
                <w:b/>
              </w:rPr>
              <w:t>Title</w:t>
            </w:r>
          </w:p>
        </w:tc>
        <w:tc>
          <w:tcPr>
            <w:tcW w:w="1842" w:type="dxa"/>
            <w:shd w:val="clear" w:color="auto" w:fill="auto"/>
            <w:vAlign w:val="center"/>
          </w:tcPr>
          <w:p w:rsidR="00105B0B" w:rsidRPr="00715700" w:rsidRDefault="00105B0B" w:rsidP="00105B0B">
            <w:pPr>
              <w:jc w:val="center"/>
              <w:rPr>
                <w:b/>
              </w:rPr>
            </w:pPr>
            <w:r w:rsidRPr="00715700">
              <w:rPr>
                <w:b/>
              </w:rPr>
              <w:t>Applicable for Manufacture</w:t>
            </w:r>
          </w:p>
        </w:tc>
      </w:tr>
      <w:tr w:rsidR="00105B0B" w:rsidRPr="0029750B" w:rsidTr="00105B0B">
        <w:tc>
          <w:tcPr>
            <w:tcW w:w="1560" w:type="dxa"/>
            <w:shd w:val="clear" w:color="auto" w:fill="auto"/>
          </w:tcPr>
          <w:p w:rsidR="00105B0B" w:rsidRPr="0029750B" w:rsidRDefault="00105B0B" w:rsidP="00105B0B">
            <w:r>
              <w:t>ISO 21172-1: 2015</w:t>
            </w:r>
          </w:p>
        </w:tc>
        <w:tc>
          <w:tcPr>
            <w:tcW w:w="3969" w:type="dxa"/>
            <w:shd w:val="clear" w:color="auto" w:fill="auto"/>
          </w:tcPr>
          <w:p w:rsidR="00105B0B" w:rsidRPr="00162DBF" w:rsidRDefault="00105B0B" w:rsidP="00105B0B">
            <w:pPr>
              <w:jc w:val="both"/>
              <w:rPr>
                <w:lang w:val="en-CA"/>
              </w:rPr>
            </w:pPr>
            <w:r w:rsidRPr="00162DBF">
              <w:rPr>
                <w:lang w:val="en-CA"/>
              </w:rPr>
              <w:t xml:space="preserve">Gas cylinders – Welded steel pressure drums up to 3 000 litres capacity for the transport of gases – Design and construction – Part 1: Capacities up to 1 000 litres </w:t>
            </w:r>
          </w:p>
        </w:tc>
        <w:tc>
          <w:tcPr>
            <w:tcW w:w="1842" w:type="dxa"/>
            <w:shd w:val="clear" w:color="auto" w:fill="auto"/>
          </w:tcPr>
          <w:p w:rsidR="00105B0B" w:rsidRPr="0029750B" w:rsidRDefault="00105B0B" w:rsidP="00105B0B">
            <w:pPr>
              <w:jc w:val="both"/>
            </w:pPr>
            <w:r>
              <w:t>Until further notice</w:t>
            </w:r>
          </w:p>
        </w:tc>
      </w:tr>
    </w:tbl>
    <w:p w:rsidR="00105B0B" w:rsidRDefault="00105B0B" w:rsidP="00105B0B">
      <w:pPr>
        <w:pStyle w:val="SingleTxtG"/>
        <w:spacing w:before="120"/>
      </w:pPr>
      <w:r>
        <w:t>5.</w:t>
      </w:r>
      <w:r>
        <w:tab/>
        <w:t xml:space="preserve">As was discussed in </w:t>
      </w:r>
      <w:r w:rsidR="00100C77">
        <w:t>informal document INF.49 (48</w:t>
      </w:r>
      <w:r w:rsidR="00100C77" w:rsidRPr="00FA7D83">
        <w:rPr>
          <w:vertAlign w:val="superscript"/>
        </w:rPr>
        <w:t>th</w:t>
      </w:r>
      <w:r w:rsidR="00100C77">
        <w:t xml:space="preserve"> session)</w:t>
      </w:r>
      <w:r>
        <w:t xml:space="preserve">, the adoption of </w:t>
      </w:r>
      <w:r w:rsidRPr="00162DBF">
        <w:t>ISO 21172-1:2015 in the Model Regulations address</w:t>
      </w:r>
      <w:r>
        <w:t>es</w:t>
      </w:r>
      <w:r w:rsidRPr="00162DBF">
        <w:t xml:space="preserve"> the long-standing need for pressure drum requirements</w:t>
      </w:r>
      <w:r>
        <w:t xml:space="preserve">. </w:t>
      </w:r>
    </w:p>
    <w:p w:rsidR="00105B0B" w:rsidRDefault="00105B0B" w:rsidP="00105B0B">
      <w:pPr>
        <w:pStyle w:val="SingleTxtG"/>
      </w:pPr>
      <w:r>
        <w:t>6.</w:t>
      </w:r>
      <w:r>
        <w:tab/>
        <w:t xml:space="preserve">The draft ISO standard (ISO/DIS 21172-1) contained the following statement in section 7.3.3.4: </w:t>
      </w:r>
    </w:p>
    <w:p w:rsidR="00105B0B" w:rsidRDefault="00105B0B" w:rsidP="00105B0B">
      <w:pPr>
        <w:pStyle w:val="SingleTxtG"/>
        <w:ind w:left="1701"/>
      </w:pPr>
      <w:r>
        <w:t>“WARNING NOTE Care should be taken when dished ends convex to pressure are used in potentially corrosive service.”</w:t>
      </w:r>
    </w:p>
    <w:p w:rsidR="00105B0B" w:rsidRDefault="00105B0B" w:rsidP="00105B0B">
      <w:pPr>
        <w:pStyle w:val="SingleTxtG"/>
      </w:pPr>
      <w:r>
        <w:t>7.</w:t>
      </w:r>
      <w:r>
        <w:tab/>
        <w:t xml:space="preserve">The warning note was amended to an actual restriction in section 6.3.3.4 of ISO/FDIS 21172-1 based on a proposed change submitted by an ISO member body during the ISO/DIS 21172-1 ballot. </w:t>
      </w:r>
    </w:p>
    <w:p w:rsidR="00105B0B" w:rsidRDefault="00105B0B" w:rsidP="00105B0B">
      <w:pPr>
        <w:pStyle w:val="SingleTxtG"/>
      </w:pPr>
      <w:r>
        <w:t>8.</w:t>
      </w:r>
      <w:r>
        <w:tab/>
        <w:t xml:space="preserve">One of the key principles of the ISO policy on global governance is to not give preference to the requirements of specific countries or regions when different needs or interests exist in other countries or regions. </w:t>
      </w:r>
      <w:r w:rsidRPr="00913771">
        <w:t xml:space="preserve">This principle is also germane to the work of the </w:t>
      </w:r>
      <w:r w:rsidR="00100C77">
        <w:t xml:space="preserve">Sub-Committee </w:t>
      </w:r>
      <w:r w:rsidRPr="00913771">
        <w:t>in ensuring that the Model Regulations maintain a global perspective.  The long history of use in multiple regions with no safety problems, and the absence of</w:t>
      </w:r>
      <w:r>
        <w:t xml:space="preserve"> any data demonstrating there exists</w:t>
      </w:r>
      <w:r w:rsidRPr="00913771">
        <w:t xml:space="preserve"> a safety problem, warrant recognition of this commonly employed design feature within the Model Regulations.</w:t>
      </w:r>
    </w:p>
    <w:p w:rsidR="00105B0B" w:rsidRDefault="00105B0B" w:rsidP="00105B0B">
      <w:pPr>
        <w:pStyle w:val="HChG"/>
      </w:pPr>
      <w:r>
        <w:tab/>
      </w:r>
      <w:r>
        <w:tab/>
      </w:r>
      <w:r w:rsidRPr="00FC1B3D">
        <w:t>Con</w:t>
      </w:r>
      <w:r>
        <w:t>siderations</w:t>
      </w:r>
    </w:p>
    <w:p w:rsidR="00105B0B" w:rsidRDefault="00105B0B" w:rsidP="00105B0B">
      <w:pPr>
        <w:pStyle w:val="UNParagraphStyle"/>
        <w:numPr>
          <w:ilvl w:val="0"/>
          <w:numId w:val="0"/>
        </w:numPr>
        <w:ind w:left="1134"/>
      </w:pPr>
      <w:r>
        <w:t>9.</w:t>
      </w:r>
      <w:r>
        <w:tab/>
      </w:r>
      <w:r w:rsidRPr="00162DBF">
        <w:t>Pressure drums, commonly referred to as ton tanks, ton containers, or multi-unit tank car tanks, with dished ends convex to pressure, have been used in corrosive gas service in North America since 1936. These means of containment have an exemplary safety record when inspected and tested at the prescribed frequency</w:t>
      </w:r>
      <w:r>
        <w:t>, as made evident by the fact that containers manufactured in 1936 are still in service</w:t>
      </w:r>
      <w:r w:rsidRPr="00162DBF">
        <w:t xml:space="preserve">. </w:t>
      </w:r>
      <w:r>
        <w:t xml:space="preserve">Information on the inspection, testing, cleaning, and re-conditioning of these containers can be found in industry recommendations. One such example is the Chlorine Institute’s </w:t>
      </w:r>
      <w:r w:rsidRPr="00CE60DB">
        <w:rPr>
          <w:i/>
        </w:rPr>
        <w:t>Pamphlet 17 – Packaging Plant Safety and Operational Guidelines</w:t>
      </w:r>
      <w:r>
        <w:t xml:space="preserve">. This document can be accessed at </w:t>
      </w:r>
      <w:hyperlink r:id="rId11" w:history="1">
        <w:r w:rsidRPr="00CE60DB">
          <w:rPr>
            <w:rStyle w:val="Hyperlink"/>
          </w:rPr>
          <w:t>http://bit.ly/1MxMWYG</w:t>
        </w:r>
      </w:hyperlink>
      <w:r>
        <w:t>.</w:t>
      </w:r>
    </w:p>
    <w:p w:rsidR="00105B0B" w:rsidRDefault="00105B0B" w:rsidP="00105B0B">
      <w:pPr>
        <w:pStyle w:val="SingleTxtG"/>
      </w:pPr>
      <w:r>
        <w:lastRenderedPageBreak/>
        <w:t>10.</w:t>
      </w:r>
      <w:r>
        <w:tab/>
        <w:t>Based on information collected from the chlorine industry, there are no known incidents such as corrosion damage at the head seams recorded in the available history that are due to the construction / design of these containers.</w:t>
      </w:r>
    </w:p>
    <w:p w:rsidR="00105B0B" w:rsidRDefault="00105B0B" w:rsidP="00105B0B">
      <w:pPr>
        <w:pStyle w:val="SingleTxtG"/>
      </w:pPr>
      <w:r>
        <w:t>11.</w:t>
      </w:r>
      <w:r>
        <w:tab/>
        <w:t>Furthermore, Australian industry data has identified no incidents since 1997 with 178 598 documented 106-style containers fills. There are two (2) known incidents in Australia involving the failure of this drum type, but in both cases the drums were involved in major vehicle or building fires. There are no known Australian incidents since the introduction of these 106-style containers in the 1950s due to internal or external corrosion of the drums.</w:t>
      </w:r>
    </w:p>
    <w:p w:rsidR="00105B0B" w:rsidRPr="00162DBF" w:rsidRDefault="00105B0B" w:rsidP="00105B0B">
      <w:pPr>
        <w:pStyle w:val="SingleTxtG"/>
      </w:pPr>
      <w:r>
        <w:t>12.</w:t>
      </w:r>
      <w:r>
        <w:tab/>
      </w:r>
      <w:r w:rsidRPr="00162DBF">
        <w:t>Such containers are used typically in chlorine and sulphur dioxide gas service. A picture of a chlorine ton container (TC Specification 106A500X) is shown below for illustration purposes:</w:t>
      </w:r>
    </w:p>
    <w:p w:rsidR="00105B0B" w:rsidRDefault="00105B0B" w:rsidP="00105B0B">
      <w:pPr>
        <w:pStyle w:val="UNParagraphStyle"/>
        <w:numPr>
          <w:ilvl w:val="0"/>
          <w:numId w:val="0"/>
        </w:numPr>
        <w:ind w:left="1134"/>
        <w:jc w:val="center"/>
      </w:pPr>
      <w:r>
        <w:rPr>
          <w:noProof/>
          <w:lang w:val="en-GB" w:eastAsia="en-GB"/>
        </w:rPr>
        <w:drawing>
          <wp:inline distT="0" distB="0" distL="0" distR="0" wp14:anchorId="3D246941" wp14:editId="38E6A467">
            <wp:extent cx="1561465" cy="1561465"/>
            <wp:effectExtent l="0" t="0" r="635" b="635"/>
            <wp:docPr id="1" name="Picture 1" descr="4602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02_D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inline>
        </w:drawing>
      </w:r>
    </w:p>
    <w:p w:rsidR="00105B0B" w:rsidRDefault="00105B0B" w:rsidP="00105B0B">
      <w:pPr>
        <w:pStyle w:val="SingleTxtG"/>
      </w:pPr>
      <w:r>
        <w:t>13.</w:t>
      </w:r>
      <w:r>
        <w:tab/>
      </w:r>
      <w:r w:rsidRPr="00913771">
        <w:t>The design of the 106-style container makes it unnecessary to weld the rolling bands, the valve protection skirt, or both on the container’s barrel. The generally accepted principle is that welded elements weaken the whole container, and this has been the suspected source of a few chlorine-related accidents with 110-style containers that contain such welds</w:t>
      </w:r>
      <w:r>
        <w:t xml:space="preserve">. </w:t>
      </w:r>
      <w:r w:rsidRPr="00F32B4B">
        <w:t xml:space="preserve">As well, ends </w:t>
      </w:r>
      <w:r>
        <w:t>convex</w:t>
      </w:r>
      <w:r w:rsidRPr="00F32B4B">
        <w:t xml:space="preserve"> to pressure offer strong protection for the drum valves; experience</w:t>
      </w:r>
      <w:r>
        <w:t xml:space="preserve"> in some regions has found that this valve configuration offers superior valve protection to mechanisms used on pressure vessels that do not have ends that are convex to pressure (e.g., metal covers).</w:t>
      </w:r>
    </w:p>
    <w:p w:rsidR="00105B0B" w:rsidRDefault="00105B0B" w:rsidP="00105B0B">
      <w:pPr>
        <w:pStyle w:val="SingleTxtG"/>
      </w:pPr>
      <w:r>
        <w:t>14.</w:t>
      </w:r>
      <w:r>
        <w:tab/>
        <w:t>The 106-style container allows the use of a simple and reliable tool in temporarily sealing leaks due to rust holes in the shell ring and leaking valves (commonly referred to as a chlorine B-kit). The design of the 106-style allows this tool to be used safely and efficiently. While the B-k</w:t>
      </w:r>
      <w:r w:rsidRPr="00D66C98">
        <w:t>it can also be used on the 110-style container, the widespread training and resources provided by industry experts is focused around use of the B-kit on the 106-style container due to the prevalent use of that container.</w:t>
      </w:r>
      <w:r>
        <w:t xml:space="preserve"> More information on the Chlorine B-kit can be found at </w:t>
      </w:r>
      <w:hyperlink r:id="rId13" w:history="1">
        <w:r>
          <w:rPr>
            <w:rStyle w:val="Hyperlink"/>
          </w:rPr>
          <w:t>http://bit.ly/1LuIUpb</w:t>
        </w:r>
      </w:hyperlink>
      <w:r>
        <w:t>.</w:t>
      </w:r>
    </w:p>
    <w:p w:rsidR="00105B0B" w:rsidRDefault="00105B0B" w:rsidP="00105B0B">
      <w:pPr>
        <w:pStyle w:val="SingleTxtG"/>
      </w:pPr>
      <w:r>
        <w:t>15.</w:t>
      </w:r>
      <w:r>
        <w:tab/>
        <w:t>With respect to public health, the 106-style specification container is the most commonly used container to transport chlorine throughout the world for the purpose of supplying chlorine for water treatment. The restriction adopted in 6.2.2.1.8 imposes a burden on obtaining chlorine for water treatment and may create hardships for countries that depend on these safe containers for water treatment needs.</w:t>
      </w:r>
    </w:p>
    <w:p w:rsidR="00105B0B" w:rsidRDefault="00105B0B" w:rsidP="00105B0B">
      <w:pPr>
        <w:pStyle w:val="SingleTxtG"/>
      </w:pPr>
      <w:r>
        <w:t>16.</w:t>
      </w:r>
      <w:r>
        <w:tab/>
        <w:t xml:space="preserve">In </w:t>
      </w:r>
      <w:r w:rsidR="00100C77">
        <w:t>the Russian Federation</w:t>
      </w:r>
      <w:r>
        <w:t xml:space="preserve">, drums having heads concave to pressure (e.g., 110-style) for chlorine and other corrosive products have traditionally been used. About ten (10) years ago, there was a shortage of chlorine for water treatment plants in the North-Western Region (Leningrad Region). Regulatory authorities appointed the Russian Chlorine Safety Centre to perform a comprehensive safety assessment and comparative analysis of the 106-style and 110-style containers to determine if it was safe and feasible to receive chlorine from countries closest to the region that used 106-style containers. This analysis </w:t>
      </w:r>
      <w:r>
        <w:lastRenderedPageBreak/>
        <w:t>demonstrated that both containers fully complied with relevant Russian technical regulations and led to official permission by the State Regulator to use the 106-style containers in the Russian Federation.</w:t>
      </w:r>
    </w:p>
    <w:p w:rsidR="00105B0B" w:rsidRDefault="00105B0B" w:rsidP="00105B0B">
      <w:pPr>
        <w:pStyle w:val="SingleTxtG"/>
      </w:pPr>
      <w:r>
        <w:t>17.</w:t>
      </w:r>
      <w:r>
        <w:tab/>
      </w:r>
      <w:r w:rsidR="00100C77">
        <w:t>The annex to this document</w:t>
      </w:r>
      <w:r>
        <w:t xml:space="preserve"> contains a list of countries known to use the 106-style specification container primarily for chlorine, but also for other corrosive products.</w:t>
      </w:r>
      <w:r w:rsidR="004C4BDD">
        <w:t xml:space="preserve"> </w:t>
      </w:r>
      <w:r w:rsidR="00100C77">
        <w:t xml:space="preserve">This list includes countries from all continents, although the use in </w:t>
      </w:r>
      <w:proofErr w:type="spellStart"/>
      <w:r w:rsidR="00100C77">
        <w:t>Antartica</w:t>
      </w:r>
      <w:proofErr w:type="spellEnd"/>
      <w:r w:rsidR="00100C77">
        <w:t xml:space="preserve"> could not be checked</w:t>
      </w:r>
      <w:r>
        <w:t>.</w:t>
      </w:r>
    </w:p>
    <w:p w:rsidR="00105B0B" w:rsidRDefault="004A49FD" w:rsidP="004A49FD">
      <w:pPr>
        <w:pStyle w:val="HChG"/>
      </w:pPr>
      <w:r>
        <w:tab/>
      </w:r>
      <w:r>
        <w:tab/>
      </w:r>
      <w:r w:rsidR="00105B0B">
        <w:t>Proposed modification to 6.2.2.1.8</w:t>
      </w:r>
    </w:p>
    <w:p w:rsidR="00105B0B" w:rsidRDefault="004A49FD" w:rsidP="004A49FD">
      <w:pPr>
        <w:pStyle w:val="SingleTxtG"/>
      </w:pPr>
      <w:r>
        <w:t>18.</w:t>
      </w:r>
      <w:r>
        <w:tab/>
      </w:r>
      <w:r w:rsidR="00105B0B">
        <w:t>It is proposed to add one of the following text options following the title of the new standard in the new table found in 6.2.2.1.8:</w:t>
      </w:r>
    </w:p>
    <w:p w:rsidR="00105B0B" w:rsidRPr="00290ACF" w:rsidRDefault="004A49FD" w:rsidP="004A49FD">
      <w:pPr>
        <w:pStyle w:val="H1G"/>
        <w:rPr>
          <w:i/>
        </w:rPr>
      </w:pPr>
      <w:r>
        <w:tab/>
      </w:r>
      <w:r>
        <w:tab/>
      </w:r>
      <w:r w:rsidR="00105B0B">
        <w:t>Option 1:</w:t>
      </w:r>
    </w:p>
    <w:p w:rsidR="00105B0B" w:rsidRPr="00290ACF" w:rsidRDefault="00105B0B" w:rsidP="004A49FD">
      <w:pPr>
        <w:pStyle w:val="UNParagraphStyle"/>
        <w:numPr>
          <w:ilvl w:val="0"/>
          <w:numId w:val="0"/>
        </w:numPr>
        <w:ind w:left="1134"/>
        <w:rPr>
          <w:i/>
        </w:rPr>
      </w:pPr>
      <w:r w:rsidRPr="00290ACF">
        <w:rPr>
          <w:b/>
          <w:i/>
        </w:rPr>
        <w:t>NOTE:</w:t>
      </w:r>
      <w:r w:rsidRPr="00290ACF">
        <w:rPr>
          <w:i/>
        </w:rPr>
        <w:t xml:space="preserve"> Irrespective section 6.3.3.4 of this standard, welded steel gas pressure drums with dished ends convex to pressure may be used for the transport of corrosive substances provided all applicable requirements of these Regulations are met.</w:t>
      </w:r>
    </w:p>
    <w:p w:rsidR="00105B0B" w:rsidRPr="00155E67" w:rsidRDefault="004A49FD" w:rsidP="004A49FD">
      <w:pPr>
        <w:pStyle w:val="H1G"/>
      </w:pPr>
      <w:r>
        <w:tab/>
      </w:r>
      <w:r>
        <w:tab/>
      </w:r>
      <w:r w:rsidR="00105B0B" w:rsidRPr="00155E67">
        <w:t>Option 2:</w:t>
      </w:r>
    </w:p>
    <w:p w:rsidR="00105B0B" w:rsidRDefault="00105B0B" w:rsidP="004A49FD">
      <w:pPr>
        <w:pStyle w:val="UNParagraphStyle"/>
        <w:numPr>
          <w:ilvl w:val="0"/>
          <w:numId w:val="0"/>
        </w:numPr>
        <w:ind w:left="1134"/>
        <w:rPr>
          <w:i/>
        </w:rPr>
      </w:pPr>
      <w:r w:rsidRPr="00290ACF">
        <w:rPr>
          <w:b/>
          <w:i/>
        </w:rPr>
        <w:t>NOTE:</w:t>
      </w:r>
      <w:r w:rsidRPr="00290ACF">
        <w:rPr>
          <w:i/>
        </w:rPr>
        <w:t xml:space="preserve"> Irrespective section 6.3.3.4 of this standard, welded steel gas pressure drums with dished ends convex to pressure may be used for the transport of corrosive substances provided all applicable requirements of these Regulations are met</w:t>
      </w:r>
      <w:r>
        <w:rPr>
          <w:i/>
        </w:rPr>
        <w:t xml:space="preserve"> and its use is permitted by the competent authority in the country of use</w:t>
      </w:r>
      <w:r w:rsidRPr="00290ACF">
        <w:rPr>
          <w:i/>
        </w:rPr>
        <w:t>.</w:t>
      </w:r>
    </w:p>
    <w:p w:rsidR="004A49FD" w:rsidRDefault="004A49FD">
      <w:pPr>
        <w:suppressAutoHyphens w:val="0"/>
        <w:spacing w:line="240" w:lineRule="auto"/>
        <w:rPr>
          <w:b/>
          <w:sz w:val="28"/>
          <w:lang w:val="en-CA"/>
        </w:rPr>
      </w:pPr>
      <w:r>
        <w:br w:type="page"/>
      </w:r>
    </w:p>
    <w:p w:rsidR="006D2875" w:rsidRDefault="00105B0B" w:rsidP="00105B0B">
      <w:pPr>
        <w:pStyle w:val="UNSectionTitle"/>
      </w:pPr>
      <w:r>
        <w:lastRenderedPageBreak/>
        <w:t xml:space="preserve">Annex </w:t>
      </w:r>
    </w:p>
    <w:p w:rsidR="00105B0B" w:rsidRDefault="00105B0B" w:rsidP="00105B0B">
      <w:pPr>
        <w:pStyle w:val="UNSectionTitle"/>
      </w:pPr>
      <w:r>
        <w:t>Countries known to use or have used 106-style containers for corrosive substances</w:t>
      </w:r>
    </w:p>
    <w:p w:rsidR="00FC0AB1" w:rsidRDefault="004C4BDD" w:rsidP="00FA7D83">
      <w:pPr>
        <w:pStyle w:val="SingleTxtG"/>
      </w:pPr>
      <w:r>
        <w:t>NOTE</w:t>
      </w:r>
      <w:r w:rsidR="00FC0AB1">
        <w:t>: Territories outside the metropolitan area have not been taken into account.</w:t>
      </w:r>
    </w:p>
    <w:p w:rsidR="00105B0B" w:rsidRDefault="00105B0B" w:rsidP="004A49FD">
      <w:pPr>
        <w:pStyle w:val="UNParagraphStyle"/>
        <w:numPr>
          <w:ilvl w:val="0"/>
          <w:numId w:val="0"/>
        </w:numPr>
        <w:spacing w:before="120" w:line="240" w:lineRule="auto"/>
        <w:ind w:left="1134" w:right="346"/>
      </w:pPr>
      <w:r>
        <w:rPr>
          <w:u w:val="single"/>
        </w:rPr>
        <w:t>North America</w:t>
      </w:r>
      <w:r w:rsidR="00AC00AE">
        <w:rPr>
          <w:u w:val="single"/>
        </w:rPr>
        <w:t>, Central America and Car</w:t>
      </w:r>
      <w:r w:rsidR="006D2875">
        <w:rPr>
          <w:u w:val="single"/>
        </w:rPr>
        <w:t>ib</w:t>
      </w:r>
      <w:r w:rsidR="00AC00AE">
        <w:rPr>
          <w:u w:val="single"/>
        </w:rPr>
        <w:t>b</w:t>
      </w:r>
      <w:r w:rsidR="006D2875">
        <w:rPr>
          <w:u w:val="single"/>
        </w:rPr>
        <w:t>ean</w:t>
      </w:r>
    </w:p>
    <w:p w:rsidR="00105B0B" w:rsidRDefault="00105B0B" w:rsidP="004A49FD">
      <w:pPr>
        <w:pStyle w:val="UNParagraphStyle"/>
        <w:numPr>
          <w:ilvl w:val="0"/>
          <w:numId w:val="18"/>
        </w:numPr>
        <w:spacing w:after="0" w:line="240" w:lineRule="auto"/>
        <w:ind w:left="1848" w:right="348" w:hanging="357"/>
      </w:pPr>
      <w:r>
        <w:t>Bahamas</w:t>
      </w:r>
    </w:p>
    <w:p w:rsidR="00105B0B" w:rsidRDefault="00105B0B" w:rsidP="004A49FD">
      <w:pPr>
        <w:pStyle w:val="UNParagraphStyle"/>
        <w:numPr>
          <w:ilvl w:val="0"/>
          <w:numId w:val="18"/>
        </w:numPr>
        <w:spacing w:after="0" w:line="240" w:lineRule="auto"/>
        <w:ind w:left="1848" w:right="348" w:hanging="357"/>
      </w:pPr>
      <w:r>
        <w:t>Canada</w:t>
      </w:r>
    </w:p>
    <w:p w:rsidR="00105B0B" w:rsidRDefault="00105B0B" w:rsidP="004A49FD">
      <w:pPr>
        <w:pStyle w:val="UNParagraphStyle"/>
        <w:numPr>
          <w:ilvl w:val="0"/>
          <w:numId w:val="18"/>
        </w:numPr>
        <w:spacing w:after="0" w:line="240" w:lineRule="auto"/>
        <w:ind w:left="1848" w:right="348" w:hanging="357"/>
      </w:pPr>
      <w:r>
        <w:t>Costa Rica</w:t>
      </w:r>
    </w:p>
    <w:p w:rsidR="00105B0B" w:rsidRDefault="00105B0B" w:rsidP="004A49FD">
      <w:pPr>
        <w:pStyle w:val="UNParagraphStyle"/>
        <w:numPr>
          <w:ilvl w:val="0"/>
          <w:numId w:val="18"/>
        </w:numPr>
        <w:spacing w:after="0" w:line="240" w:lineRule="auto"/>
        <w:ind w:left="1848" w:right="348" w:hanging="357"/>
      </w:pPr>
      <w:r>
        <w:t>Dominican Republic</w:t>
      </w:r>
    </w:p>
    <w:p w:rsidR="00105B0B" w:rsidRDefault="00105B0B" w:rsidP="004A49FD">
      <w:pPr>
        <w:pStyle w:val="UNParagraphStyle"/>
        <w:numPr>
          <w:ilvl w:val="0"/>
          <w:numId w:val="18"/>
        </w:numPr>
        <w:spacing w:after="0" w:line="240" w:lineRule="auto"/>
        <w:ind w:left="1848" w:right="348" w:hanging="357"/>
      </w:pPr>
      <w:r>
        <w:t>El Salvador</w:t>
      </w:r>
    </w:p>
    <w:p w:rsidR="00105B0B" w:rsidRDefault="00105B0B" w:rsidP="004A49FD">
      <w:pPr>
        <w:pStyle w:val="UNParagraphStyle"/>
        <w:numPr>
          <w:ilvl w:val="0"/>
          <w:numId w:val="18"/>
        </w:numPr>
        <w:spacing w:after="0" w:line="240" w:lineRule="auto"/>
        <w:ind w:left="1848" w:right="348" w:hanging="357"/>
      </w:pPr>
      <w:r>
        <w:t>Guatemala</w:t>
      </w:r>
    </w:p>
    <w:p w:rsidR="00105B0B" w:rsidRDefault="00105B0B" w:rsidP="004A49FD">
      <w:pPr>
        <w:pStyle w:val="UNParagraphStyle"/>
        <w:numPr>
          <w:ilvl w:val="0"/>
          <w:numId w:val="18"/>
        </w:numPr>
        <w:spacing w:after="0" w:line="240" w:lineRule="auto"/>
        <w:ind w:left="1848" w:right="348" w:hanging="357"/>
      </w:pPr>
      <w:r>
        <w:t>Honduras</w:t>
      </w:r>
    </w:p>
    <w:p w:rsidR="00105B0B" w:rsidRDefault="00105B0B" w:rsidP="004A49FD">
      <w:pPr>
        <w:pStyle w:val="UNParagraphStyle"/>
        <w:numPr>
          <w:ilvl w:val="0"/>
          <w:numId w:val="18"/>
        </w:numPr>
        <w:spacing w:after="0" w:line="240" w:lineRule="auto"/>
        <w:ind w:left="1848" w:right="348" w:hanging="357"/>
      </w:pPr>
      <w:r>
        <w:t>Jamaica</w:t>
      </w:r>
    </w:p>
    <w:p w:rsidR="00105B0B" w:rsidRDefault="00105B0B" w:rsidP="004A49FD">
      <w:pPr>
        <w:pStyle w:val="UNParagraphStyle"/>
        <w:numPr>
          <w:ilvl w:val="0"/>
          <w:numId w:val="18"/>
        </w:numPr>
        <w:spacing w:after="0" w:line="240" w:lineRule="auto"/>
        <w:ind w:left="1848" w:right="348" w:hanging="357"/>
      </w:pPr>
      <w:r>
        <w:t>Mexico</w:t>
      </w:r>
    </w:p>
    <w:p w:rsidR="00105B0B" w:rsidRDefault="00105B0B" w:rsidP="004A49FD">
      <w:pPr>
        <w:pStyle w:val="UNParagraphStyle"/>
        <w:numPr>
          <w:ilvl w:val="0"/>
          <w:numId w:val="18"/>
        </w:numPr>
        <w:spacing w:after="0" w:line="240" w:lineRule="auto"/>
        <w:ind w:left="1848" w:right="348" w:hanging="357"/>
      </w:pPr>
      <w:r>
        <w:t>Nicaragua</w:t>
      </w:r>
    </w:p>
    <w:p w:rsidR="00105B0B" w:rsidRDefault="00105B0B" w:rsidP="004A49FD">
      <w:pPr>
        <w:pStyle w:val="UNParagraphStyle"/>
        <w:numPr>
          <w:ilvl w:val="0"/>
          <w:numId w:val="18"/>
        </w:numPr>
        <w:spacing w:after="0" w:line="240" w:lineRule="auto"/>
        <w:ind w:left="1848" w:right="348" w:hanging="357"/>
      </w:pPr>
      <w:r>
        <w:t>Panama</w:t>
      </w:r>
    </w:p>
    <w:p w:rsidR="00105B0B" w:rsidRDefault="00105B0B" w:rsidP="004A49FD">
      <w:pPr>
        <w:pStyle w:val="UNParagraphStyle"/>
        <w:numPr>
          <w:ilvl w:val="0"/>
          <w:numId w:val="18"/>
        </w:numPr>
        <w:spacing w:after="0" w:line="240" w:lineRule="auto"/>
        <w:ind w:left="1848" w:right="348" w:hanging="357"/>
      </w:pPr>
      <w:r>
        <w:t>S</w:t>
      </w:r>
      <w:r w:rsidR="006D2875">
        <w:t>ain</w:t>
      </w:r>
      <w:r>
        <w:t>t Lucia</w:t>
      </w:r>
    </w:p>
    <w:p w:rsidR="00105B0B" w:rsidRDefault="00105B0B" w:rsidP="004A49FD">
      <w:pPr>
        <w:pStyle w:val="UNParagraphStyle"/>
        <w:numPr>
          <w:ilvl w:val="0"/>
          <w:numId w:val="18"/>
        </w:numPr>
        <w:spacing w:after="0" w:line="240" w:lineRule="auto"/>
        <w:ind w:left="1848" w:right="348" w:hanging="357"/>
      </w:pPr>
      <w:r>
        <w:t xml:space="preserve">Trinidad </w:t>
      </w:r>
      <w:r w:rsidR="006D2875">
        <w:t>and</w:t>
      </w:r>
      <w:r>
        <w:t xml:space="preserve"> Tobago</w:t>
      </w:r>
    </w:p>
    <w:p w:rsidR="00105B0B" w:rsidRDefault="00105B0B" w:rsidP="004A49FD">
      <w:pPr>
        <w:pStyle w:val="UNParagraphStyle"/>
        <w:numPr>
          <w:ilvl w:val="0"/>
          <w:numId w:val="18"/>
        </w:numPr>
        <w:spacing w:after="0" w:line="240" w:lineRule="auto"/>
        <w:ind w:left="1848" w:right="348" w:hanging="357"/>
      </w:pPr>
      <w:r>
        <w:t>United States of America</w:t>
      </w:r>
    </w:p>
    <w:p w:rsidR="00105B0B" w:rsidRDefault="00105B0B" w:rsidP="004A49FD">
      <w:pPr>
        <w:pStyle w:val="UNParagraphStyle"/>
        <w:numPr>
          <w:ilvl w:val="0"/>
          <w:numId w:val="0"/>
        </w:numPr>
        <w:spacing w:before="120" w:line="240" w:lineRule="auto"/>
        <w:ind w:left="1134" w:right="346"/>
      </w:pPr>
      <w:r>
        <w:rPr>
          <w:u w:val="single"/>
        </w:rPr>
        <w:t>South America:</w:t>
      </w:r>
    </w:p>
    <w:p w:rsidR="00105B0B" w:rsidRDefault="00105B0B" w:rsidP="004A49FD">
      <w:pPr>
        <w:pStyle w:val="UNParagraphStyle"/>
        <w:numPr>
          <w:ilvl w:val="0"/>
          <w:numId w:val="19"/>
        </w:numPr>
        <w:spacing w:after="0" w:line="240" w:lineRule="auto"/>
        <w:ind w:right="348"/>
      </w:pPr>
      <w:r>
        <w:t>Argentina</w:t>
      </w:r>
    </w:p>
    <w:p w:rsidR="00105B0B" w:rsidRDefault="00105B0B" w:rsidP="004A49FD">
      <w:pPr>
        <w:pStyle w:val="UNParagraphStyle"/>
        <w:numPr>
          <w:ilvl w:val="0"/>
          <w:numId w:val="19"/>
        </w:numPr>
        <w:spacing w:after="0" w:line="240" w:lineRule="auto"/>
        <w:ind w:right="348"/>
      </w:pPr>
      <w:r>
        <w:t>Bolivia</w:t>
      </w:r>
    </w:p>
    <w:p w:rsidR="00105B0B" w:rsidRDefault="00105B0B" w:rsidP="004A49FD">
      <w:pPr>
        <w:pStyle w:val="UNParagraphStyle"/>
        <w:numPr>
          <w:ilvl w:val="0"/>
          <w:numId w:val="19"/>
        </w:numPr>
        <w:spacing w:after="0" w:line="240" w:lineRule="auto"/>
        <w:ind w:right="348"/>
      </w:pPr>
      <w:r>
        <w:t>Brazil</w:t>
      </w:r>
    </w:p>
    <w:p w:rsidR="00105B0B" w:rsidRDefault="00105B0B" w:rsidP="004A49FD">
      <w:pPr>
        <w:pStyle w:val="UNParagraphStyle"/>
        <w:numPr>
          <w:ilvl w:val="0"/>
          <w:numId w:val="19"/>
        </w:numPr>
        <w:spacing w:after="0" w:line="240" w:lineRule="auto"/>
        <w:ind w:right="348"/>
      </w:pPr>
      <w:r>
        <w:t>Chile</w:t>
      </w:r>
    </w:p>
    <w:p w:rsidR="00105B0B" w:rsidRDefault="006D2875" w:rsidP="004A49FD">
      <w:pPr>
        <w:pStyle w:val="UNParagraphStyle"/>
        <w:numPr>
          <w:ilvl w:val="0"/>
          <w:numId w:val="19"/>
        </w:numPr>
        <w:spacing w:after="0" w:line="240" w:lineRule="auto"/>
        <w:ind w:right="348"/>
      </w:pPr>
      <w:proofErr w:type="spellStart"/>
      <w:r>
        <w:t>Colombia</w:t>
      </w:r>
      <w:r w:rsidR="00105B0B">
        <w:t>Ecuador</w:t>
      </w:r>
      <w:proofErr w:type="spellEnd"/>
    </w:p>
    <w:p w:rsidR="00105B0B" w:rsidRDefault="00105B0B" w:rsidP="004A49FD">
      <w:pPr>
        <w:pStyle w:val="UNParagraphStyle"/>
        <w:numPr>
          <w:ilvl w:val="0"/>
          <w:numId w:val="19"/>
        </w:numPr>
        <w:spacing w:after="0" w:line="240" w:lineRule="auto"/>
        <w:ind w:right="348"/>
      </w:pPr>
      <w:r>
        <w:t>Guyana</w:t>
      </w:r>
    </w:p>
    <w:p w:rsidR="00105B0B" w:rsidRDefault="00105B0B" w:rsidP="004A49FD">
      <w:pPr>
        <w:pStyle w:val="UNParagraphStyle"/>
        <w:numPr>
          <w:ilvl w:val="0"/>
          <w:numId w:val="19"/>
        </w:numPr>
        <w:spacing w:after="0" w:line="240" w:lineRule="auto"/>
        <w:ind w:right="348"/>
      </w:pPr>
      <w:r>
        <w:t>Paraguay</w:t>
      </w:r>
    </w:p>
    <w:p w:rsidR="00105B0B" w:rsidRDefault="00105B0B" w:rsidP="004A49FD">
      <w:pPr>
        <w:pStyle w:val="UNParagraphStyle"/>
        <w:numPr>
          <w:ilvl w:val="0"/>
          <w:numId w:val="19"/>
        </w:numPr>
        <w:spacing w:after="0" w:line="240" w:lineRule="auto"/>
        <w:ind w:right="348"/>
      </w:pPr>
      <w:r>
        <w:t>Peru</w:t>
      </w:r>
    </w:p>
    <w:p w:rsidR="00105B0B" w:rsidRDefault="00105B0B" w:rsidP="004A49FD">
      <w:pPr>
        <w:pStyle w:val="UNParagraphStyle"/>
        <w:numPr>
          <w:ilvl w:val="0"/>
          <w:numId w:val="19"/>
        </w:numPr>
        <w:spacing w:after="0" w:line="240" w:lineRule="auto"/>
        <w:ind w:right="348"/>
      </w:pPr>
      <w:r>
        <w:t>Suriname</w:t>
      </w:r>
    </w:p>
    <w:p w:rsidR="00105B0B" w:rsidRDefault="00105B0B" w:rsidP="004A49FD">
      <w:pPr>
        <w:pStyle w:val="UNParagraphStyle"/>
        <w:numPr>
          <w:ilvl w:val="0"/>
          <w:numId w:val="19"/>
        </w:numPr>
        <w:spacing w:after="0" w:line="240" w:lineRule="auto"/>
        <w:ind w:right="348"/>
      </w:pPr>
      <w:r>
        <w:t>Uruguay</w:t>
      </w:r>
    </w:p>
    <w:p w:rsidR="00105B0B" w:rsidRDefault="00105B0B" w:rsidP="004A49FD">
      <w:pPr>
        <w:pStyle w:val="UNParagraphStyle"/>
        <w:numPr>
          <w:ilvl w:val="0"/>
          <w:numId w:val="19"/>
        </w:numPr>
        <w:spacing w:after="0" w:line="240" w:lineRule="auto"/>
        <w:ind w:right="348"/>
      </w:pPr>
      <w:r>
        <w:t>Venezuela</w:t>
      </w:r>
    </w:p>
    <w:p w:rsidR="00105B0B" w:rsidRDefault="00105B0B" w:rsidP="004A49FD">
      <w:pPr>
        <w:pStyle w:val="UNParagraphStyle"/>
        <w:numPr>
          <w:ilvl w:val="0"/>
          <w:numId w:val="0"/>
        </w:numPr>
        <w:spacing w:before="120" w:line="240" w:lineRule="auto"/>
        <w:ind w:left="1134" w:right="346"/>
      </w:pPr>
      <w:r>
        <w:rPr>
          <w:u w:val="single"/>
        </w:rPr>
        <w:t>Asia:</w:t>
      </w:r>
    </w:p>
    <w:p w:rsidR="00105B0B" w:rsidRDefault="00105B0B" w:rsidP="004A49FD">
      <w:pPr>
        <w:pStyle w:val="UNParagraphStyle"/>
        <w:numPr>
          <w:ilvl w:val="0"/>
          <w:numId w:val="20"/>
        </w:numPr>
        <w:spacing w:after="0" w:line="240" w:lineRule="auto"/>
        <w:ind w:right="348"/>
      </w:pPr>
      <w:r>
        <w:t>Bahrain</w:t>
      </w:r>
    </w:p>
    <w:p w:rsidR="00105B0B" w:rsidRDefault="00105B0B" w:rsidP="004A49FD">
      <w:pPr>
        <w:pStyle w:val="UNParagraphStyle"/>
        <w:numPr>
          <w:ilvl w:val="0"/>
          <w:numId w:val="20"/>
        </w:numPr>
        <w:spacing w:after="0" w:line="240" w:lineRule="auto"/>
        <w:ind w:right="348"/>
      </w:pPr>
      <w:r>
        <w:t>Bangladesh</w:t>
      </w:r>
    </w:p>
    <w:p w:rsidR="00105B0B" w:rsidRDefault="00105B0B" w:rsidP="004A49FD">
      <w:pPr>
        <w:pStyle w:val="UNParagraphStyle"/>
        <w:numPr>
          <w:ilvl w:val="0"/>
          <w:numId w:val="20"/>
        </w:numPr>
        <w:spacing w:after="0" w:line="240" w:lineRule="auto"/>
        <w:ind w:right="348"/>
      </w:pPr>
      <w:r>
        <w:t>Cambodia</w:t>
      </w:r>
    </w:p>
    <w:p w:rsidR="00105B0B" w:rsidRDefault="00105B0B" w:rsidP="004A49FD">
      <w:pPr>
        <w:pStyle w:val="UNParagraphStyle"/>
        <w:numPr>
          <w:ilvl w:val="0"/>
          <w:numId w:val="20"/>
        </w:numPr>
        <w:spacing w:after="0" w:line="240" w:lineRule="auto"/>
        <w:ind w:right="348"/>
      </w:pPr>
      <w:r>
        <w:t>China</w:t>
      </w:r>
    </w:p>
    <w:p w:rsidR="00105B0B" w:rsidRDefault="00105B0B" w:rsidP="004A49FD">
      <w:pPr>
        <w:pStyle w:val="UNParagraphStyle"/>
        <w:numPr>
          <w:ilvl w:val="0"/>
          <w:numId w:val="20"/>
        </w:numPr>
        <w:spacing w:after="0" w:line="240" w:lineRule="auto"/>
        <w:ind w:right="348"/>
      </w:pPr>
      <w:r>
        <w:t>India</w:t>
      </w:r>
    </w:p>
    <w:p w:rsidR="00105B0B" w:rsidRDefault="00105B0B" w:rsidP="004A49FD">
      <w:pPr>
        <w:pStyle w:val="UNParagraphStyle"/>
        <w:numPr>
          <w:ilvl w:val="0"/>
          <w:numId w:val="20"/>
        </w:numPr>
        <w:spacing w:after="0" w:line="240" w:lineRule="auto"/>
        <w:ind w:right="348"/>
      </w:pPr>
      <w:r>
        <w:t>Japan</w:t>
      </w:r>
    </w:p>
    <w:p w:rsidR="00105B0B" w:rsidRDefault="00105B0B" w:rsidP="004A49FD">
      <w:pPr>
        <w:pStyle w:val="UNParagraphStyle"/>
        <w:numPr>
          <w:ilvl w:val="0"/>
          <w:numId w:val="20"/>
        </w:numPr>
        <w:spacing w:after="0" w:line="240" w:lineRule="auto"/>
        <w:ind w:right="348"/>
      </w:pPr>
      <w:r>
        <w:t>Jordan</w:t>
      </w:r>
    </w:p>
    <w:p w:rsidR="00105B0B" w:rsidRDefault="00105B0B" w:rsidP="004A49FD">
      <w:pPr>
        <w:pStyle w:val="UNParagraphStyle"/>
        <w:numPr>
          <w:ilvl w:val="0"/>
          <w:numId w:val="20"/>
        </w:numPr>
        <w:spacing w:after="0" w:line="240" w:lineRule="auto"/>
        <w:ind w:right="348"/>
      </w:pPr>
      <w:r>
        <w:t>Kuwait</w:t>
      </w:r>
    </w:p>
    <w:p w:rsidR="00105B0B" w:rsidRDefault="00105B0B" w:rsidP="004A49FD">
      <w:pPr>
        <w:pStyle w:val="UNParagraphStyle"/>
        <w:numPr>
          <w:ilvl w:val="0"/>
          <w:numId w:val="20"/>
        </w:numPr>
        <w:spacing w:after="0" w:line="240" w:lineRule="auto"/>
        <w:ind w:right="348"/>
      </w:pPr>
      <w:r>
        <w:t>Malaysia</w:t>
      </w:r>
    </w:p>
    <w:p w:rsidR="00105B0B" w:rsidRDefault="00105B0B" w:rsidP="004A49FD">
      <w:pPr>
        <w:pStyle w:val="UNParagraphStyle"/>
        <w:numPr>
          <w:ilvl w:val="0"/>
          <w:numId w:val="20"/>
        </w:numPr>
        <w:spacing w:after="0" w:line="240" w:lineRule="auto"/>
        <w:ind w:right="348"/>
      </w:pPr>
      <w:r>
        <w:t>Nepal</w:t>
      </w:r>
    </w:p>
    <w:p w:rsidR="00105B0B" w:rsidRDefault="00105B0B" w:rsidP="004A49FD">
      <w:pPr>
        <w:pStyle w:val="UNParagraphStyle"/>
        <w:numPr>
          <w:ilvl w:val="0"/>
          <w:numId w:val="20"/>
        </w:numPr>
        <w:spacing w:after="0" w:line="240" w:lineRule="auto"/>
        <w:ind w:right="348"/>
      </w:pPr>
      <w:r>
        <w:t>Oman</w:t>
      </w:r>
    </w:p>
    <w:p w:rsidR="00105B0B" w:rsidRDefault="00105B0B" w:rsidP="004A49FD">
      <w:pPr>
        <w:pStyle w:val="UNParagraphStyle"/>
        <w:numPr>
          <w:ilvl w:val="0"/>
          <w:numId w:val="20"/>
        </w:numPr>
        <w:spacing w:after="0" w:line="240" w:lineRule="auto"/>
        <w:ind w:right="348"/>
      </w:pPr>
      <w:r>
        <w:t>Pakistan</w:t>
      </w:r>
    </w:p>
    <w:p w:rsidR="00105B0B" w:rsidRDefault="00105B0B" w:rsidP="004A49FD">
      <w:pPr>
        <w:pStyle w:val="UNParagraphStyle"/>
        <w:numPr>
          <w:ilvl w:val="0"/>
          <w:numId w:val="20"/>
        </w:numPr>
        <w:spacing w:after="0" w:line="240" w:lineRule="auto"/>
        <w:ind w:right="348"/>
      </w:pPr>
      <w:r>
        <w:t>Philippines</w:t>
      </w:r>
    </w:p>
    <w:p w:rsidR="00105B0B" w:rsidRDefault="00105B0B" w:rsidP="004A49FD">
      <w:pPr>
        <w:pStyle w:val="UNParagraphStyle"/>
        <w:numPr>
          <w:ilvl w:val="0"/>
          <w:numId w:val="20"/>
        </w:numPr>
        <w:spacing w:after="0" w:line="240" w:lineRule="auto"/>
        <w:ind w:right="348"/>
      </w:pPr>
      <w:r>
        <w:t>Qatar</w:t>
      </w:r>
    </w:p>
    <w:p w:rsidR="00105B0B" w:rsidRDefault="00105B0B" w:rsidP="004A49FD">
      <w:pPr>
        <w:pStyle w:val="UNParagraphStyle"/>
        <w:numPr>
          <w:ilvl w:val="0"/>
          <w:numId w:val="20"/>
        </w:numPr>
        <w:spacing w:after="0" w:line="240" w:lineRule="auto"/>
        <w:ind w:right="348"/>
      </w:pPr>
      <w:bookmarkStart w:id="0" w:name="_GoBack"/>
      <w:bookmarkEnd w:id="0"/>
      <w:r>
        <w:t>Saudi Arabia</w:t>
      </w:r>
    </w:p>
    <w:p w:rsidR="00105B0B" w:rsidRDefault="006D2875" w:rsidP="004A49FD">
      <w:pPr>
        <w:pStyle w:val="UNParagraphStyle"/>
        <w:numPr>
          <w:ilvl w:val="0"/>
          <w:numId w:val="20"/>
        </w:numPr>
        <w:spacing w:after="0" w:line="240" w:lineRule="auto"/>
        <w:ind w:right="348"/>
      </w:pPr>
      <w:r>
        <w:lastRenderedPageBreak/>
        <w:t>Republic of</w:t>
      </w:r>
      <w:r w:rsidR="00105B0B">
        <w:t xml:space="preserve"> Korea</w:t>
      </w:r>
    </w:p>
    <w:p w:rsidR="00105B0B" w:rsidRDefault="00105B0B" w:rsidP="004A49FD">
      <w:pPr>
        <w:pStyle w:val="UNParagraphStyle"/>
        <w:numPr>
          <w:ilvl w:val="0"/>
          <w:numId w:val="20"/>
        </w:numPr>
        <w:spacing w:after="0" w:line="240" w:lineRule="auto"/>
        <w:ind w:right="348"/>
      </w:pPr>
      <w:r>
        <w:t>Sri Lanka</w:t>
      </w:r>
    </w:p>
    <w:p w:rsidR="00105B0B" w:rsidRDefault="00105B0B" w:rsidP="004A49FD">
      <w:pPr>
        <w:pStyle w:val="UNParagraphStyle"/>
        <w:numPr>
          <w:ilvl w:val="0"/>
          <w:numId w:val="20"/>
        </w:numPr>
        <w:spacing w:after="0" w:line="240" w:lineRule="auto"/>
        <w:ind w:right="348"/>
      </w:pPr>
      <w:r>
        <w:t>Thailand</w:t>
      </w:r>
    </w:p>
    <w:p w:rsidR="00105B0B" w:rsidRDefault="00105B0B" w:rsidP="004A49FD">
      <w:pPr>
        <w:pStyle w:val="UNParagraphStyle"/>
        <w:numPr>
          <w:ilvl w:val="0"/>
          <w:numId w:val="20"/>
        </w:numPr>
        <w:spacing w:after="0" w:line="240" w:lineRule="auto"/>
        <w:ind w:right="348"/>
      </w:pPr>
      <w:r>
        <w:t>United Arab Emirates</w:t>
      </w:r>
    </w:p>
    <w:p w:rsidR="00105B0B" w:rsidRDefault="00105B0B" w:rsidP="004A49FD">
      <w:pPr>
        <w:pStyle w:val="UNParagraphStyle"/>
        <w:numPr>
          <w:ilvl w:val="0"/>
          <w:numId w:val="20"/>
        </w:numPr>
        <w:spacing w:after="0" w:line="240" w:lineRule="auto"/>
        <w:ind w:right="348"/>
      </w:pPr>
      <w:r>
        <w:t>Vietnam</w:t>
      </w:r>
    </w:p>
    <w:p w:rsidR="00105B0B" w:rsidRDefault="00105B0B" w:rsidP="004A49FD">
      <w:pPr>
        <w:pStyle w:val="UNParagraphStyle"/>
        <w:numPr>
          <w:ilvl w:val="0"/>
          <w:numId w:val="0"/>
        </w:numPr>
        <w:spacing w:before="120" w:line="240" w:lineRule="auto"/>
        <w:ind w:left="1134" w:right="346"/>
      </w:pPr>
      <w:r>
        <w:rPr>
          <w:u w:val="single"/>
        </w:rPr>
        <w:t>Africa:</w:t>
      </w:r>
    </w:p>
    <w:p w:rsidR="00105B0B" w:rsidRDefault="00105B0B" w:rsidP="004A49FD">
      <w:pPr>
        <w:pStyle w:val="UNParagraphStyle"/>
        <w:numPr>
          <w:ilvl w:val="0"/>
          <w:numId w:val="21"/>
        </w:numPr>
        <w:spacing w:after="0" w:line="240" w:lineRule="auto"/>
      </w:pPr>
      <w:r>
        <w:t>Algeria</w:t>
      </w:r>
    </w:p>
    <w:p w:rsidR="00105B0B" w:rsidRDefault="00105B0B" w:rsidP="004A49FD">
      <w:pPr>
        <w:pStyle w:val="UNParagraphStyle"/>
        <w:numPr>
          <w:ilvl w:val="0"/>
          <w:numId w:val="21"/>
        </w:numPr>
        <w:spacing w:after="0" w:line="240" w:lineRule="auto"/>
      </w:pPr>
      <w:r>
        <w:t>Egypt</w:t>
      </w:r>
    </w:p>
    <w:p w:rsidR="00105B0B" w:rsidRDefault="00105B0B" w:rsidP="004A49FD">
      <w:pPr>
        <w:pStyle w:val="UNParagraphStyle"/>
        <w:numPr>
          <w:ilvl w:val="0"/>
          <w:numId w:val="21"/>
        </w:numPr>
        <w:spacing w:after="0" w:line="240" w:lineRule="auto"/>
      </w:pPr>
      <w:r>
        <w:t>Ethiopia</w:t>
      </w:r>
    </w:p>
    <w:p w:rsidR="00105B0B" w:rsidRDefault="00105B0B" w:rsidP="004A49FD">
      <w:pPr>
        <w:pStyle w:val="UNParagraphStyle"/>
        <w:numPr>
          <w:ilvl w:val="0"/>
          <w:numId w:val="21"/>
        </w:numPr>
        <w:spacing w:after="0" w:line="240" w:lineRule="auto"/>
      </w:pPr>
      <w:r>
        <w:t>Mauritius</w:t>
      </w:r>
    </w:p>
    <w:p w:rsidR="00105B0B" w:rsidRDefault="00105B0B" w:rsidP="004A49FD">
      <w:pPr>
        <w:pStyle w:val="UNParagraphStyle"/>
        <w:numPr>
          <w:ilvl w:val="0"/>
          <w:numId w:val="21"/>
        </w:numPr>
        <w:spacing w:after="0" w:line="240" w:lineRule="auto"/>
      </w:pPr>
      <w:r>
        <w:t>Nigeria</w:t>
      </w:r>
    </w:p>
    <w:p w:rsidR="00105B0B" w:rsidRDefault="00105B0B" w:rsidP="004A49FD">
      <w:pPr>
        <w:pStyle w:val="UNParagraphStyle"/>
        <w:numPr>
          <w:ilvl w:val="0"/>
          <w:numId w:val="21"/>
        </w:numPr>
        <w:spacing w:after="0" w:line="240" w:lineRule="auto"/>
      </w:pPr>
      <w:r>
        <w:t>South Africa</w:t>
      </w:r>
    </w:p>
    <w:p w:rsidR="00105B0B" w:rsidRDefault="00105B0B" w:rsidP="004A49FD">
      <w:pPr>
        <w:pStyle w:val="UNParagraphStyle"/>
        <w:numPr>
          <w:ilvl w:val="0"/>
          <w:numId w:val="21"/>
        </w:numPr>
        <w:spacing w:after="0" w:line="240" w:lineRule="auto"/>
      </w:pPr>
      <w:r>
        <w:t>Uganda</w:t>
      </w:r>
    </w:p>
    <w:p w:rsidR="00105B0B" w:rsidRDefault="00105B0B" w:rsidP="004A49FD">
      <w:pPr>
        <w:pStyle w:val="UNParagraphStyle"/>
        <w:numPr>
          <w:ilvl w:val="0"/>
          <w:numId w:val="21"/>
        </w:numPr>
        <w:spacing w:after="0" w:line="240" w:lineRule="auto"/>
      </w:pPr>
      <w:r>
        <w:t>Zambia</w:t>
      </w:r>
    </w:p>
    <w:p w:rsidR="00105B0B" w:rsidRDefault="00105B0B" w:rsidP="004A49FD">
      <w:pPr>
        <w:pStyle w:val="UNParagraphStyle"/>
        <w:numPr>
          <w:ilvl w:val="0"/>
          <w:numId w:val="21"/>
        </w:numPr>
        <w:spacing w:after="0" w:line="240" w:lineRule="auto"/>
      </w:pPr>
      <w:r>
        <w:t>Zimbabwe</w:t>
      </w:r>
    </w:p>
    <w:p w:rsidR="00105B0B" w:rsidRDefault="00105B0B" w:rsidP="004A49FD">
      <w:pPr>
        <w:pStyle w:val="UNParagraphStyle"/>
        <w:numPr>
          <w:ilvl w:val="0"/>
          <w:numId w:val="0"/>
        </w:numPr>
        <w:spacing w:before="120" w:line="240" w:lineRule="auto"/>
        <w:ind w:left="1134" w:right="346"/>
        <w:rPr>
          <w:u w:val="single"/>
        </w:rPr>
      </w:pPr>
      <w:r>
        <w:rPr>
          <w:u w:val="single"/>
        </w:rPr>
        <w:t>Oceania:</w:t>
      </w:r>
    </w:p>
    <w:p w:rsidR="00105B0B" w:rsidRPr="00290ACF" w:rsidRDefault="00A07218" w:rsidP="004A49FD">
      <w:pPr>
        <w:pStyle w:val="UNParagraphStyle"/>
        <w:numPr>
          <w:ilvl w:val="0"/>
          <w:numId w:val="0"/>
        </w:numPr>
        <w:spacing w:before="120" w:line="240" w:lineRule="auto"/>
        <w:ind w:left="1134" w:right="346"/>
        <w:rPr>
          <w:u w:val="single"/>
        </w:rPr>
      </w:pPr>
      <w:r>
        <w:rPr>
          <w:u w:val="single"/>
        </w:rPr>
        <w:t xml:space="preserve"> Australia New </w:t>
      </w:r>
      <w:proofErr w:type="spellStart"/>
      <w:r>
        <w:rPr>
          <w:u w:val="single"/>
        </w:rPr>
        <w:t>Zealand</w:t>
      </w:r>
      <w:r w:rsidR="00105B0B" w:rsidRPr="00290ACF">
        <w:rPr>
          <w:u w:val="single"/>
        </w:rPr>
        <w:t>Europe</w:t>
      </w:r>
      <w:proofErr w:type="spellEnd"/>
      <w:r w:rsidR="00105B0B" w:rsidRPr="00290ACF">
        <w:rPr>
          <w:u w:val="single"/>
        </w:rPr>
        <w:t>:</w:t>
      </w:r>
    </w:p>
    <w:p w:rsidR="00105B0B" w:rsidRDefault="00105B0B" w:rsidP="004A49FD">
      <w:pPr>
        <w:pStyle w:val="UNParagraphStyle"/>
        <w:numPr>
          <w:ilvl w:val="0"/>
          <w:numId w:val="21"/>
        </w:numPr>
        <w:spacing w:after="0" w:line="240" w:lineRule="auto"/>
      </w:pPr>
      <w:r>
        <w:t>Belgium</w:t>
      </w:r>
    </w:p>
    <w:p w:rsidR="00105B0B" w:rsidRDefault="00105B0B" w:rsidP="004A49FD">
      <w:pPr>
        <w:pStyle w:val="UNParagraphStyle"/>
        <w:numPr>
          <w:ilvl w:val="0"/>
          <w:numId w:val="21"/>
        </w:numPr>
        <w:spacing w:after="0" w:line="240" w:lineRule="auto"/>
      </w:pPr>
      <w:r>
        <w:t>Cyprus</w:t>
      </w:r>
    </w:p>
    <w:p w:rsidR="00105B0B" w:rsidRPr="00290ACF" w:rsidRDefault="00105B0B" w:rsidP="004A49FD">
      <w:pPr>
        <w:pStyle w:val="UNParagraphStyle"/>
        <w:numPr>
          <w:ilvl w:val="0"/>
          <w:numId w:val="21"/>
        </w:numPr>
        <w:spacing w:after="0" w:line="240" w:lineRule="auto"/>
      </w:pPr>
      <w:r>
        <w:t>Denmark</w:t>
      </w:r>
    </w:p>
    <w:p w:rsidR="00105B0B" w:rsidRDefault="00105B0B" w:rsidP="004A49FD">
      <w:pPr>
        <w:pStyle w:val="UNParagraphStyle"/>
        <w:numPr>
          <w:ilvl w:val="0"/>
          <w:numId w:val="21"/>
        </w:numPr>
        <w:spacing w:after="0" w:line="240" w:lineRule="auto"/>
      </w:pPr>
      <w:r>
        <w:t>France</w:t>
      </w:r>
    </w:p>
    <w:p w:rsidR="00105B0B" w:rsidRDefault="00105B0B" w:rsidP="004A49FD">
      <w:pPr>
        <w:pStyle w:val="UNParagraphStyle"/>
        <w:numPr>
          <w:ilvl w:val="0"/>
          <w:numId w:val="21"/>
        </w:numPr>
        <w:spacing w:after="0" w:line="240" w:lineRule="auto"/>
      </w:pPr>
      <w:r>
        <w:t>Germany</w:t>
      </w:r>
    </w:p>
    <w:p w:rsidR="00105B0B" w:rsidRDefault="00105B0B" w:rsidP="004A49FD">
      <w:pPr>
        <w:pStyle w:val="UNParagraphStyle"/>
        <w:numPr>
          <w:ilvl w:val="0"/>
          <w:numId w:val="21"/>
        </w:numPr>
        <w:spacing w:after="0" w:line="240" w:lineRule="auto"/>
      </w:pPr>
      <w:r>
        <w:t>Greece</w:t>
      </w:r>
    </w:p>
    <w:p w:rsidR="00105B0B" w:rsidRDefault="00105B0B" w:rsidP="004A49FD">
      <w:pPr>
        <w:pStyle w:val="UNParagraphStyle"/>
        <w:numPr>
          <w:ilvl w:val="0"/>
          <w:numId w:val="21"/>
        </w:numPr>
        <w:spacing w:after="0" w:line="240" w:lineRule="auto"/>
      </w:pPr>
      <w:r>
        <w:t>Italy</w:t>
      </w:r>
    </w:p>
    <w:p w:rsidR="00105B0B" w:rsidRDefault="00105B0B" w:rsidP="004A49FD">
      <w:pPr>
        <w:pStyle w:val="UNParagraphStyle"/>
        <w:numPr>
          <w:ilvl w:val="0"/>
          <w:numId w:val="21"/>
        </w:numPr>
        <w:spacing w:after="0" w:line="240" w:lineRule="auto"/>
      </w:pPr>
      <w:r>
        <w:t>Netherlands</w:t>
      </w:r>
    </w:p>
    <w:p w:rsidR="00A07218" w:rsidRDefault="00A07218" w:rsidP="004A49FD">
      <w:pPr>
        <w:pStyle w:val="UNParagraphStyle"/>
        <w:numPr>
          <w:ilvl w:val="0"/>
          <w:numId w:val="21"/>
        </w:numPr>
        <w:spacing w:after="0" w:line="240" w:lineRule="auto"/>
      </w:pPr>
      <w:r>
        <w:t>Russian Federation</w:t>
      </w:r>
    </w:p>
    <w:p w:rsidR="00105B0B" w:rsidRDefault="00105B0B" w:rsidP="004A49FD">
      <w:pPr>
        <w:pStyle w:val="UNParagraphStyle"/>
        <w:numPr>
          <w:ilvl w:val="0"/>
          <w:numId w:val="21"/>
        </w:numPr>
        <w:spacing w:after="0" w:line="240" w:lineRule="auto"/>
      </w:pPr>
      <w:r>
        <w:t>United Kingdom</w:t>
      </w:r>
    </w:p>
    <w:p w:rsidR="004A49FD" w:rsidRPr="004A49FD" w:rsidRDefault="004A49FD" w:rsidP="004A49FD">
      <w:pPr>
        <w:pStyle w:val="UNParagraphStyle"/>
        <w:numPr>
          <w:ilvl w:val="0"/>
          <w:numId w:val="0"/>
        </w:numPr>
        <w:spacing w:before="240" w:after="0"/>
        <w:ind w:left="1134"/>
        <w:jc w:val="center"/>
        <w:rPr>
          <w:u w:val="single"/>
        </w:rPr>
      </w:pPr>
      <w:r>
        <w:rPr>
          <w:u w:val="single"/>
        </w:rPr>
        <w:tab/>
      </w:r>
      <w:r>
        <w:rPr>
          <w:u w:val="single"/>
        </w:rPr>
        <w:tab/>
      </w:r>
      <w:r>
        <w:rPr>
          <w:u w:val="single"/>
        </w:rPr>
        <w:tab/>
      </w:r>
    </w:p>
    <w:sectPr w:rsidR="004A49FD" w:rsidRPr="004A49FD" w:rsidSect="003466AC">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0B" w:rsidRDefault="00105B0B"/>
  </w:endnote>
  <w:endnote w:type="continuationSeparator" w:id="0">
    <w:p w:rsidR="00105B0B" w:rsidRDefault="00105B0B"/>
  </w:endnote>
  <w:endnote w:type="continuationNotice" w:id="1">
    <w:p w:rsidR="00105B0B" w:rsidRDefault="0010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0B" w:rsidRPr="003466AC" w:rsidRDefault="00105B0B"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4C4BDD">
      <w:rPr>
        <w:b/>
        <w:noProof/>
        <w:sz w:val="18"/>
      </w:rPr>
      <w:t>6</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0B" w:rsidRPr="003466AC" w:rsidRDefault="00105B0B"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4C4BDD">
      <w:rPr>
        <w:b/>
        <w:noProof/>
        <w:sz w:val="18"/>
      </w:rPr>
      <w:t>5</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0B" w:rsidRPr="000B175B" w:rsidRDefault="00105B0B" w:rsidP="000B175B">
      <w:pPr>
        <w:tabs>
          <w:tab w:val="right" w:pos="2155"/>
        </w:tabs>
        <w:spacing w:after="80"/>
        <w:ind w:left="680"/>
        <w:rPr>
          <w:u w:val="single"/>
        </w:rPr>
      </w:pPr>
      <w:r>
        <w:rPr>
          <w:u w:val="single"/>
        </w:rPr>
        <w:tab/>
      </w:r>
    </w:p>
  </w:footnote>
  <w:footnote w:type="continuationSeparator" w:id="0">
    <w:p w:rsidR="00105B0B" w:rsidRPr="00FC68B7" w:rsidRDefault="00105B0B" w:rsidP="00FC68B7">
      <w:pPr>
        <w:tabs>
          <w:tab w:val="left" w:pos="2155"/>
        </w:tabs>
        <w:spacing w:after="80"/>
        <w:ind w:left="680"/>
        <w:rPr>
          <w:u w:val="single"/>
        </w:rPr>
      </w:pPr>
      <w:r>
        <w:rPr>
          <w:u w:val="single"/>
        </w:rPr>
        <w:tab/>
      </w:r>
    </w:p>
  </w:footnote>
  <w:footnote w:type="continuationNotice" w:id="1">
    <w:p w:rsidR="00105B0B" w:rsidRDefault="00105B0B"/>
  </w:footnote>
  <w:footnote w:id="2">
    <w:p w:rsidR="004641AC" w:rsidRPr="00C40508" w:rsidRDefault="004641AC" w:rsidP="001028CD">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 w:id="3">
    <w:p w:rsidR="008A1D5B" w:rsidRPr="00FA7D83" w:rsidRDefault="008A1D5B" w:rsidP="00FA7D83">
      <w:pPr>
        <w:pStyle w:val="FootnoteText"/>
        <w:ind w:firstLine="0"/>
        <w:rPr>
          <w:lang w:val="fr-CH"/>
        </w:rPr>
      </w:pPr>
      <w:r>
        <w:rPr>
          <w:rStyle w:val="FootnoteReference"/>
        </w:rPr>
        <w:footnoteRef/>
      </w:r>
      <w:r>
        <w:t xml:space="preserve"> The designations employed and the presentation of the material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0B" w:rsidRPr="003466AC" w:rsidRDefault="00105B0B">
    <w:pPr>
      <w:pStyle w:val="Header"/>
    </w:pPr>
    <w:r>
      <w:t>ST/SG/AC.10/C.3/2016/28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0B" w:rsidRPr="004A7B6C" w:rsidRDefault="00105B0B" w:rsidP="004A7B6C">
    <w:pPr>
      <w:pStyle w:val="Header"/>
      <w:jc w:val="right"/>
    </w:pPr>
    <w:r>
      <w:t>ST/SG/AC.10/C.3/201</w:t>
    </w:r>
    <w:r w:rsidR="004A49FD">
      <w:t>6</w:t>
    </w:r>
    <w:r>
      <w:t>/</w:t>
    </w:r>
    <w:r w:rsidR="004A49FD">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2">
    <w:nsid w:val="02884154"/>
    <w:multiLevelType w:val="hybridMultilevel"/>
    <w:tmpl w:val="178CBC34"/>
    <w:lvl w:ilvl="0" w:tplc="A61AD9B6">
      <w:start w:val="1"/>
      <w:numFmt w:val="decimal"/>
      <w:pStyle w:val="UNParagraph"/>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3D80C88"/>
    <w:multiLevelType w:val="hybridMultilevel"/>
    <w:tmpl w:val="C01EF03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46C66258"/>
    <w:multiLevelType w:val="hybridMultilevel"/>
    <w:tmpl w:val="297E483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1194326"/>
    <w:multiLevelType w:val="hybridMultilevel"/>
    <w:tmpl w:val="EAE05C9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9E0438"/>
    <w:multiLevelType w:val="hybridMultilevel"/>
    <w:tmpl w:val="FEEA25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3"/>
  </w:num>
  <w:num w:numId="14">
    <w:abstractNumId w:val="20"/>
  </w:num>
  <w:num w:numId="15">
    <w:abstractNumId w:val="22"/>
  </w:num>
  <w:num w:numId="16">
    <w:abstractNumId w:val="12"/>
  </w:num>
  <w:num w:numId="17">
    <w:abstractNumId w:val="16"/>
  </w:num>
  <w:num w:numId="18">
    <w:abstractNumId w:val="21"/>
  </w:num>
  <w:num w:numId="19">
    <w:abstractNumId w:val="14"/>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669BF"/>
    <w:rsid w:val="00072C8C"/>
    <w:rsid w:val="000765A2"/>
    <w:rsid w:val="00091419"/>
    <w:rsid w:val="000931C0"/>
    <w:rsid w:val="000933F0"/>
    <w:rsid w:val="00097227"/>
    <w:rsid w:val="000A626F"/>
    <w:rsid w:val="000B175B"/>
    <w:rsid w:val="000B2297"/>
    <w:rsid w:val="000B3A0F"/>
    <w:rsid w:val="000B5B37"/>
    <w:rsid w:val="000C2AF9"/>
    <w:rsid w:val="000C3CA0"/>
    <w:rsid w:val="000C6232"/>
    <w:rsid w:val="000D7AAB"/>
    <w:rsid w:val="000E0415"/>
    <w:rsid w:val="000E0662"/>
    <w:rsid w:val="000E6BA2"/>
    <w:rsid w:val="000F38EF"/>
    <w:rsid w:val="000F55F3"/>
    <w:rsid w:val="000F6A97"/>
    <w:rsid w:val="00100C77"/>
    <w:rsid w:val="001026FB"/>
    <w:rsid w:val="001028CD"/>
    <w:rsid w:val="00105B0B"/>
    <w:rsid w:val="00113A17"/>
    <w:rsid w:val="0011420F"/>
    <w:rsid w:val="00115106"/>
    <w:rsid w:val="00117787"/>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568D"/>
    <w:rsid w:val="001A13D6"/>
    <w:rsid w:val="001A425A"/>
    <w:rsid w:val="001B4B04"/>
    <w:rsid w:val="001B7130"/>
    <w:rsid w:val="001C4C02"/>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23481"/>
    <w:rsid w:val="002309A7"/>
    <w:rsid w:val="00230AFE"/>
    <w:rsid w:val="00237785"/>
    <w:rsid w:val="00241466"/>
    <w:rsid w:val="00244717"/>
    <w:rsid w:val="00244943"/>
    <w:rsid w:val="00244EF4"/>
    <w:rsid w:val="00245539"/>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4E7D"/>
    <w:rsid w:val="002C6766"/>
    <w:rsid w:val="002D22E5"/>
    <w:rsid w:val="002D503D"/>
    <w:rsid w:val="002D7539"/>
    <w:rsid w:val="002E0746"/>
    <w:rsid w:val="002E4861"/>
    <w:rsid w:val="002E75F6"/>
    <w:rsid w:val="003006DC"/>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BB1"/>
    <w:rsid w:val="00387614"/>
    <w:rsid w:val="00390028"/>
    <w:rsid w:val="00390D3D"/>
    <w:rsid w:val="0039277A"/>
    <w:rsid w:val="003972E0"/>
    <w:rsid w:val="003A077E"/>
    <w:rsid w:val="003A3F7F"/>
    <w:rsid w:val="003B1D06"/>
    <w:rsid w:val="003C1755"/>
    <w:rsid w:val="003C1832"/>
    <w:rsid w:val="003C2CC4"/>
    <w:rsid w:val="003C750C"/>
    <w:rsid w:val="003D1000"/>
    <w:rsid w:val="003D39F8"/>
    <w:rsid w:val="003D4B23"/>
    <w:rsid w:val="004043B5"/>
    <w:rsid w:val="00423D3D"/>
    <w:rsid w:val="00424EDD"/>
    <w:rsid w:val="004325CB"/>
    <w:rsid w:val="00433545"/>
    <w:rsid w:val="00437F3F"/>
    <w:rsid w:val="00444524"/>
    <w:rsid w:val="00446DE4"/>
    <w:rsid w:val="00454036"/>
    <w:rsid w:val="0045652B"/>
    <w:rsid w:val="0046419A"/>
    <w:rsid w:val="004641AC"/>
    <w:rsid w:val="00473948"/>
    <w:rsid w:val="00484E32"/>
    <w:rsid w:val="0049147A"/>
    <w:rsid w:val="00491634"/>
    <w:rsid w:val="004925FF"/>
    <w:rsid w:val="00493BDC"/>
    <w:rsid w:val="0049434E"/>
    <w:rsid w:val="00496C2B"/>
    <w:rsid w:val="004A1AAA"/>
    <w:rsid w:val="004A49FD"/>
    <w:rsid w:val="004A7B6C"/>
    <w:rsid w:val="004B2C9D"/>
    <w:rsid w:val="004B550A"/>
    <w:rsid w:val="004C110B"/>
    <w:rsid w:val="004C48D9"/>
    <w:rsid w:val="004C4BDD"/>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B3DB3"/>
    <w:rsid w:val="005D04B3"/>
    <w:rsid w:val="005D0EBF"/>
    <w:rsid w:val="005D3656"/>
    <w:rsid w:val="005E178F"/>
    <w:rsid w:val="005E5115"/>
    <w:rsid w:val="0060435F"/>
    <w:rsid w:val="00604C8E"/>
    <w:rsid w:val="0060709C"/>
    <w:rsid w:val="00611FC4"/>
    <w:rsid w:val="006176FB"/>
    <w:rsid w:val="00624237"/>
    <w:rsid w:val="006246A3"/>
    <w:rsid w:val="00627699"/>
    <w:rsid w:val="00633B43"/>
    <w:rsid w:val="0063419C"/>
    <w:rsid w:val="00640B26"/>
    <w:rsid w:val="00642EDA"/>
    <w:rsid w:val="00645121"/>
    <w:rsid w:val="00645A1A"/>
    <w:rsid w:val="006500BA"/>
    <w:rsid w:val="00651D6C"/>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2985"/>
    <w:rsid w:val="006C7C4D"/>
    <w:rsid w:val="006C7E11"/>
    <w:rsid w:val="006D0270"/>
    <w:rsid w:val="006D10CC"/>
    <w:rsid w:val="006D2875"/>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90791"/>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A04A8"/>
    <w:rsid w:val="008A12EC"/>
    <w:rsid w:val="008A1D5B"/>
    <w:rsid w:val="008A289B"/>
    <w:rsid w:val="008A2B22"/>
    <w:rsid w:val="008A4052"/>
    <w:rsid w:val="008A5A71"/>
    <w:rsid w:val="008A6B25"/>
    <w:rsid w:val="008A6C4F"/>
    <w:rsid w:val="008C22A0"/>
    <w:rsid w:val="008C3CB0"/>
    <w:rsid w:val="008C542B"/>
    <w:rsid w:val="008D1274"/>
    <w:rsid w:val="008E01C8"/>
    <w:rsid w:val="008E0613"/>
    <w:rsid w:val="008E0E46"/>
    <w:rsid w:val="008F5E8D"/>
    <w:rsid w:val="009043BF"/>
    <w:rsid w:val="0091608D"/>
    <w:rsid w:val="00916D07"/>
    <w:rsid w:val="0092475B"/>
    <w:rsid w:val="009341E2"/>
    <w:rsid w:val="00941F06"/>
    <w:rsid w:val="00942C4F"/>
    <w:rsid w:val="00945A5D"/>
    <w:rsid w:val="009461DD"/>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F0F06"/>
    <w:rsid w:val="009F2FAA"/>
    <w:rsid w:val="009F66A7"/>
    <w:rsid w:val="00A02F78"/>
    <w:rsid w:val="00A07218"/>
    <w:rsid w:val="00A1341E"/>
    <w:rsid w:val="00A1427D"/>
    <w:rsid w:val="00A1568F"/>
    <w:rsid w:val="00A22A58"/>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00AE"/>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EA9"/>
    <w:rsid w:val="00BA7B65"/>
    <w:rsid w:val="00BB4145"/>
    <w:rsid w:val="00BB66A8"/>
    <w:rsid w:val="00BC1657"/>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152E"/>
    <w:rsid w:val="00E33A7D"/>
    <w:rsid w:val="00E36504"/>
    <w:rsid w:val="00E44B05"/>
    <w:rsid w:val="00E50BEB"/>
    <w:rsid w:val="00E5189E"/>
    <w:rsid w:val="00E549AA"/>
    <w:rsid w:val="00E5644E"/>
    <w:rsid w:val="00E57356"/>
    <w:rsid w:val="00E63FF3"/>
    <w:rsid w:val="00E64AEB"/>
    <w:rsid w:val="00E7260F"/>
    <w:rsid w:val="00E7609D"/>
    <w:rsid w:val="00E845AE"/>
    <w:rsid w:val="00E8535A"/>
    <w:rsid w:val="00E8656C"/>
    <w:rsid w:val="00E86DFE"/>
    <w:rsid w:val="00E877F7"/>
    <w:rsid w:val="00E96630"/>
    <w:rsid w:val="00EA772F"/>
    <w:rsid w:val="00EB0430"/>
    <w:rsid w:val="00EB226B"/>
    <w:rsid w:val="00EB6832"/>
    <w:rsid w:val="00EC1092"/>
    <w:rsid w:val="00EC18CA"/>
    <w:rsid w:val="00EC76A6"/>
    <w:rsid w:val="00ED67B4"/>
    <w:rsid w:val="00ED7A2A"/>
    <w:rsid w:val="00EE228C"/>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31E5"/>
    <w:rsid w:val="00F75F55"/>
    <w:rsid w:val="00F7684E"/>
    <w:rsid w:val="00F835C7"/>
    <w:rsid w:val="00F862EF"/>
    <w:rsid w:val="00F871D5"/>
    <w:rsid w:val="00F90E19"/>
    <w:rsid w:val="00F91A6C"/>
    <w:rsid w:val="00F95FC2"/>
    <w:rsid w:val="00FA1207"/>
    <w:rsid w:val="00FA51F0"/>
    <w:rsid w:val="00FA5E57"/>
    <w:rsid w:val="00FA7D83"/>
    <w:rsid w:val="00FB01FC"/>
    <w:rsid w:val="00FB1972"/>
    <w:rsid w:val="00FB57F7"/>
    <w:rsid w:val="00FB6B59"/>
    <w:rsid w:val="00FC0AB1"/>
    <w:rsid w:val="00FC0F6F"/>
    <w:rsid w:val="00FC68B7"/>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paragraph" w:customStyle="1" w:styleId="UNParagraph">
    <w:name w:val="UN Paragraph"/>
    <w:basedOn w:val="Normal"/>
    <w:link w:val="UNParagraphChar"/>
    <w:qFormat/>
    <w:rsid w:val="00433545"/>
    <w:pPr>
      <w:numPr>
        <w:numId w:val="16"/>
      </w:numPr>
      <w:ind w:left="709" w:firstLine="11"/>
      <w:jc w:val="both"/>
    </w:pPr>
    <w:rPr>
      <w:color w:val="222222"/>
      <w:lang w:val="en"/>
    </w:rPr>
  </w:style>
  <w:style w:type="character" w:customStyle="1" w:styleId="UNParagraphChar">
    <w:name w:val="UN Paragraph Char"/>
    <w:link w:val="UNParagraph"/>
    <w:rsid w:val="00433545"/>
    <w:rPr>
      <w:color w:val="222222"/>
      <w:lang w:val="en"/>
    </w:rPr>
  </w:style>
  <w:style w:type="character" w:customStyle="1" w:styleId="HeaderChar">
    <w:name w:val="Header Char"/>
    <w:aliases w:val="6_G Char"/>
    <w:basedOn w:val="DefaultParagraphFont"/>
    <w:link w:val="Header"/>
    <w:rsid w:val="00105B0B"/>
    <w:rPr>
      <w:b/>
      <w:sz w:val="18"/>
      <w:lang w:val="en-GB"/>
    </w:rPr>
  </w:style>
  <w:style w:type="character" w:customStyle="1" w:styleId="FooterChar">
    <w:name w:val="Footer Char"/>
    <w:aliases w:val="3_G Char"/>
    <w:basedOn w:val="DefaultParagraphFont"/>
    <w:link w:val="Footer"/>
    <w:uiPriority w:val="99"/>
    <w:rsid w:val="00105B0B"/>
    <w:rPr>
      <w:sz w:val="16"/>
      <w:lang w:val="en-GB"/>
    </w:rPr>
  </w:style>
  <w:style w:type="character" w:customStyle="1" w:styleId="H1GChar">
    <w:name w:val="_ H_1_G Char"/>
    <w:link w:val="H1G"/>
    <w:rsid w:val="00105B0B"/>
    <w:rPr>
      <w:b/>
      <w:sz w:val="24"/>
      <w:lang w:val="en-GB"/>
    </w:rPr>
  </w:style>
  <w:style w:type="paragraph" w:customStyle="1" w:styleId="UNParagraphStyle">
    <w:name w:val="UN Paragraph Style"/>
    <w:basedOn w:val="Normal"/>
    <w:link w:val="UNParagraphStyleChar"/>
    <w:qFormat/>
    <w:rsid w:val="00105B0B"/>
    <w:pPr>
      <w:numPr>
        <w:numId w:val="17"/>
      </w:numPr>
      <w:spacing w:after="120"/>
      <w:ind w:right="1134"/>
      <w:jc w:val="both"/>
    </w:pPr>
    <w:rPr>
      <w:lang w:val="en-CA"/>
    </w:rPr>
  </w:style>
  <w:style w:type="paragraph" w:customStyle="1" w:styleId="UNSectionTitle">
    <w:name w:val="UN Section Title"/>
    <w:basedOn w:val="HChG"/>
    <w:link w:val="UNSectionTitleChar"/>
    <w:qFormat/>
    <w:rsid w:val="00105B0B"/>
    <w:pPr>
      <w:spacing w:before="240" w:after="120"/>
      <w:ind w:firstLine="0"/>
    </w:pPr>
    <w:rPr>
      <w:lang w:val="en-CA"/>
    </w:rPr>
  </w:style>
  <w:style w:type="character" w:customStyle="1" w:styleId="UNParagraphStyleChar">
    <w:name w:val="UN Paragraph Style Char"/>
    <w:basedOn w:val="DefaultParagraphFont"/>
    <w:link w:val="UNParagraphStyle"/>
    <w:rsid w:val="00105B0B"/>
    <w:rPr>
      <w:lang w:val="en-CA"/>
    </w:rPr>
  </w:style>
  <w:style w:type="character" w:customStyle="1" w:styleId="UNSectionTitleChar">
    <w:name w:val="UN Section Title Char"/>
    <w:link w:val="UNSectionTitle"/>
    <w:rsid w:val="00105B0B"/>
    <w:rPr>
      <w:b/>
      <w:sz w:val="28"/>
      <w:lang w:val="en-CA"/>
    </w:rPr>
  </w:style>
  <w:style w:type="character" w:customStyle="1" w:styleId="FootnoteTextChar">
    <w:name w:val="Footnote Text Char"/>
    <w:aliases w:val="5_G Char"/>
    <w:basedOn w:val="DefaultParagraphFont"/>
    <w:link w:val="FootnoteText"/>
    <w:rsid w:val="004641AC"/>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paragraph" w:customStyle="1" w:styleId="UNParagraph">
    <w:name w:val="UN Paragraph"/>
    <w:basedOn w:val="Normal"/>
    <w:link w:val="UNParagraphChar"/>
    <w:qFormat/>
    <w:rsid w:val="00433545"/>
    <w:pPr>
      <w:numPr>
        <w:numId w:val="16"/>
      </w:numPr>
      <w:ind w:left="709" w:firstLine="11"/>
      <w:jc w:val="both"/>
    </w:pPr>
    <w:rPr>
      <w:color w:val="222222"/>
      <w:lang w:val="en"/>
    </w:rPr>
  </w:style>
  <w:style w:type="character" w:customStyle="1" w:styleId="UNParagraphChar">
    <w:name w:val="UN Paragraph Char"/>
    <w:link w:val="UNParagraph"/>
    <w:rsid w:val="00433545"/>
    <w:rPr>
      <w:color w:val="222222"/>
      <w:lang w:val="en"/>
    </w:rPr>
  </w:style>
  <w:style w:type="character" w:customStyle="1" w:styleId="HeaderChar">
    <w:name w:val="Header Char"/>
    <w:aliases w:val="6_G Char"/>
    <w:basedOn w:val="DefaultParagraphFont"/>
    <w:link w:val="Header"/>
    <w:rsid w:val="00105B0B"/>
    <w:rPr>
      <w:b/>
      <w:sz w:val="18"/>
      <w:lang w:val="en-GB"/>
    </w:rPr>
  </w:style>
  <w:style w:type="character" w:customStyle="1" w:styleId="FooterChar">
    <w:name w:val="Footer Char"/>
    <w:aliases w:val="3_G Char"/>
    <w:basedOn w:val="DefaultParagraphFont"/>
    <w:link w:val="Footer"/>
    <w:uiPriority w:val="99"/>
    <w:rsid w:val="00105B0B"/>
    <w:rPr>
      <w:sz w:val="16"/>
      <w:lang w:val="en-GB"/>
    </w:rPr>
  </w:style>
  <w:style w:type="character" w:customStyle="1" w:styleId="H1GChar">
    <w:name w:val="_ H_1_G Char"/>
    <w:link w:val="H1G"/>
    <w:rsid w:val="00105B0B"/>
    <w:rPr>
      <w:b/>
      <w:sz w:val="24"/>
      <w:lang w:val="en-GB"/>
    </w:rPr>
  </w:style>
  <w:style w:type="paragraph" w:customStyle="1" w:styleId="UNParagraphStyle">
    <w:name w:val="UN Paragraph Style"/>
    <w:basedOn w:val="Normal"/>
    <w:link w:val="UNParagraphStyleChar"/>
    <w:qFormat/>
    <w:rsid w:val="00105B0B"/>
    <w:pPr>
      <w:numPr>
        <w:numId w:val="17"/>
      </w:numPr>
      <w:spacing w:after="120"/>
      <w:ind w:right="1134"/>
      <w:jc w:val="both"/>
    </w:pPr>
    <w:rPr>
      <w:lang w:val="en-CA"/>
    </w:rPr>
  </w:style>
  <w:style w:type="paragraph" w:customStyle="1" w:styleId="UNSectionTitle">
    <w:name w:val="UN Section Title"/>
    <w:basedOn w:val="HChG"/>
    <w:link w:val="UNSectionTitleChar"/>
    <w:qFormat/>
    <w:rsid w:val="00105B0B"/>
    <w:pPr>
      <w:spacing w:before="240" w:after="120"/>
      <w:ind w:firstLine="0"/>
    </w:pPr>
    <w:rPr>
      <w:lang w:val="en-CA"/>
    </w:rPr>
  </w:style>
  <w:style w:type="character" w:customStyle="1" w:styleId="UNParagraphStyleChar">
    <w:name w:val="UN Paragraph Style Char"/>
    <w:basedOn w:val="DefaultParagraphFont"/>
    <w:link w:val="UNParagraphStyle"/>
    <w:rsid w:val="00105B0B"/>
    <w:rPr>
      <w:lang w:val="en-CA"/>
    </w:rPr>
  </w:style>
  <w:style w:type="character" w:customStyle="1" w:styleId="UNSectionTitleChar">
    <w:name w:val="UN Section Title Char"/>
    <w:link w:val="UNSectionTitle"/>
    <w:rsid w:val="00105B0B"/>
    <w:rPr>
      <w:b/>
      <w:sz w:val="28"/>
      <w:lang w:val="en-CA"/>
    </w:rPr>
  </w:style>
  <w:style w:type="character" w:customStyle="1" w:styleId="FootnoteTextChar">
    <w:name w:val="Footnote Text Char"/>
    <w:aliases w:val="5_G Char"/>
    <w:basedOn w:val="DefaultParagraphFont"/>
    <w:link w:val="FootnoteText"/>
    <w:rsid w:val="004641A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LuIUp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MxMWY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ece.org/fileadmin/DAM/trans/doc/2015/dgac10c3/ST-SG-AC.10-C.3-2015-39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84A0-8DCB-4E4B-8A5C-FAED5D96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1386</Words>
  <Characters>7864</Characters>
  <Application>Microsoft Office Word</Application>
  <DocSecurity>0</DocSecurity>
  <Lines>215</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9226</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13</cp:revision>
  <cp:lastPrinted>2016-04-13T09:17:00Z</cp:lastPrinted>
  <dcterms:created xsi:type="dcterms:W3CDTF">2016-04-01T08:49:00Z</dcterms:created>
  <dcterms:modified xsi:type="dcterms:W3CDTF">2016-04-13T09:18:00Z</dcterms:modified>
</cp:coreProperties>
</file>