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0E5884" w:rsidTr="00FE646C">
        <w:trPr>
          <w:trHeight w:val="851"/>
        </w:trPr>
        <w:tc>
          <w:tcPr>
            <w:tcW w:w="1259" w:type="dxa"/>
            <w:tcBorders>
              <w:top w:val="nil"/>
              <w:left w:val="nil"/>
              <w:bottom w:val="single" w:sz="4" w:space="0" w:color="auto"/>
              <w:right w:val="nil"/>
            </w:tcBorders>
          </w:tcPr>
          <w:p w:rsidR="0048539B" w:rsidRPr="006500BA" w:rsidRDefault="0048539B" w:rsidP="00FE646C">
            <w:pPr>
              <w:spacing w:after="80" w:line="340" w:lineRule="exact"/>
            </w:pPr>
          </w:p>
        </w:tc>
        <w:tc>
          <w:tcPr>
            <w:tcW w:w="2236" w:type="dxa"/>
            <w:tcBorders>
              <w:top w:val="nil"/>
              <w:left w:val="nil"/>
              <w:bottom w:val="single" w:sz="4" w:space="0" w:color="auto"/>
              <w:right w:val="nil"/>
            </w:tcBorders>
            <w:vAlign w:val="bottom"/>
          </w:tcPr>
          <w:p w:rsidR="0048539B" w:rsidRPr="000E5884" w:rsidRDefault="0048539B" w:rsidP="00FE646C">
            <w:pPr>
              <w:spacing w:after="80" w:line="340" w:lineRule="exact"/>
              <w:rPr>
                <w:sz w:val="28"/>
                <w:szCs w:val="28"/>
              </w:rPr>
            </w:pPr>
            <w:r w:rsidRPr="000E5884">
              <w:rPr>
                <w:sz w:val="28"/>
                <w:szCs w:val="28"/>
              </w:rPr>
              <w:t>United Nations</w:t>
            </w:r>
          </w:p>
        </w:tc>
        <w:tc>
          <w:tcPr>
            <w:tcW w:w="6144" w:type="dxa"/>
            <w:gridSpan w:val="2"/>
            <w:tcBorders>
              <w:top w:val="nil"/>
              <w:left w:val="nil"/>
              <w:bottom w:val="single" w:sz="4" w:space="0" w:color="auto"/>
              <w:right w:val="nil"/>
            </w:tcBorders>
            <w:vAlign w:val="bottom"/>
          </w:tcPr>
          <w:p w:rsidR="0048539B" w:rsidRPr="000E5884" w:rsidRDefault="0048539B" w:rsidP="00BC0413">
            <w:pPr>
              <w:jc w:val="right"/>
            </w:pPr>
            <w:r w:rsidRPr="000E5884">
              <w:rPr>
                <w:sz w:val="40"/>
              </w:rPr>
              <w:t>ST</w:t>
            </w:r>
            <w:r w:rsidRPr="000E5884">
              <w:t>/SG/AC.10/C.3/</w:t>
            </w:r>
            <w:r w:rsidR="004B394B" w:rsidRPr="000E5884">
              <w:t>2016/</w:t>
            </w:r>
            <w:r w:rsidR="00BC0413">
              <w:t>26</w:t>
            </w:r>
          </w:p>
        </w:tc>
      </w:tr>
      <w:tr w:rsidR="0048539B" w:rsidRPr="000E5884" w:rsidTr="00FE646C">
        <w:trPr>
          <w:trHeight w:val="2835"/>
        </w:trPr>
        <w:tc>
          <w:tcPr>
            <w:tcW w:w="1259" w:type="dxa"/>
            <w:tcBorders>
              <w:top w:val="single" w:sz="4" w:space="0" w:color="auto"/>
              <w:left w:val="nil"/>
              <w:bottom w:val="single" w:sz="12" w:space="0" w:color="auto"/>
              <w:right w:val="nil"/>
            </w:tcBorders>
          </w:tcPr>
          <w:p w:rsidR="0048539B" w:rsidRPr="000E5884" w:rsidRDefault="00C27298" w:rsidP="00FE646C">
            <w:pPr>
              <w:spacing w:before="120"/>
              <w:jc w:val="center"/>
            </w:pPr>
            <w:r w:rsidRPr="000E5884">
              <w:rPr>
                <w:noProof/>
                <w:lang w:eastAsia="en-GB"/>
              </w:rPr>
              <w:drawing>
                <wp:inline distT="0" distB="0" distL="0" distR="0" wp14:anchorId="3FF393EE" wp14:editId="7E7EDE42">
                  <wp:extent cx="712470" cy="590550"/>
                  <wp:effectExtent l="0" t="0" r="0" b="0"/>
                  <wp:docPr id="5"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48539B" w:rsidRPr="000E5884" w:rsidRDefault="0048539B" w:rsidP="00FE646C">
            <w:pPr>
              <w:spacing w:before="120" w:line="420" w:lineRule="exact"/>
              <w:rPr>
                <w:b/>
                <w:sz w:val="40"/>
                <w:szCs w:val="40"/>
              </w:rPr>
            </w:pPr>
            <w:r w:rsidRPr="000E5884">
              <w:rPr>
                <w:b/>
                <w:sz w:val="40"/>
                <w:szCs w:val="40"/>
              </w:rPr>
              <w:t>Secretariat</w:t>
            </w:r>
          </w:p>
        </w:tc>
        <w:tc>
          <w:tcPr>
            <w:tcW w:w="2930" w:type="dxa"/>
            <w:tcBorders>
              <w:top w:val="single" w:sz="4" w:space="0" w:color="auto"/>
              <w:left w:val="nil"/>
              <w:bottom w:val="single" w:sz="12" w:space="0" w:color="auto"/>
              <w:right w:val="nil"/>
            </w:tcBorders>
          </w:tcPr>
          <w:p w:rsidR="0048539B" w:rsidRPr="000E5884" w:rsidRDefault="00E4094C" w:rsidP="00E4094C">
            <w:pPr>
              <w:spacing w:before="240" w:line="240" w:lineRule="exact"/>
            </w:pPr>
            <w:r w:rsidRPr="000E5884">
              <w:t>Distr.: General</w:t>
            </w:r>
            <w:r w:rsidR="00934214" w:rsidRPr="000E5884">
              <w:br/>
            </w:r>
            <w:r w:rsidR="00FF19A2">
              <w:t xml:space="preserve">12 </w:t>
            </w:r>
            <w:r w:rsidR="00F91C32">
              <w:t>April</w:t>
            </w:r>
            <w:r w:rsidR="004B394B" w:rsidRPr="000E5884">
              <w:t xml:space="preserve"> 2016</w:t>
            </w:r>
          </w:p>
          <w:p w:rsidR="0048539B" w:rsidRDefault="0048539B" w:rsidP="00FE646C">
            <w:pPr>
              <w:spacing w:line="240" w:lineRule="exact"/>
            </w:pPr>
          </w:p>
          <w:p w:rsidR="006E6DE6" w:rsidRPr="000E5884" w:rsidRDefault="006E6DE6" w:rsidP="00FE646C">
            <w:pPr>
              <w:spacing w:line="240" w:lineRule="exact"/>
            </w:pPr>
            <w:r>
              <w:t>English</w:t>
            </w:r>
          </w:p>
          <w:p w:rsidR="0048539B" w:rsidRPr="000E5884" w:rsidRDefault="0048539B" w:rsidP="00FE646C">
            <w:pPr>
              <w:spacing w:line="240" w:lineRule="exact"/>
            </w:pPr>
            <w:r w:rsidRPr="000E5884">
              <w:t>Original: English</w:t>
            </w:r>
            <w:r w:rsidR="006E6DE6">
              <w:t xml:space="preserve"> and French</w:t>
            </w:r>
          </w:p>
        </w:tc>
      </w:tr>
    </w:tbl>
    <w:p w:rsidR="0048539B" w:rsidRPr="000E5884" w:rsidRDefault="0048539B" w:rsidP="0048539B">
      <w:pPr>
        <w:spacing w:before="120"/>
        <w:rPr>
          <w:b/>
          <w:sz w:val="24"/>
          <w:szCs w:val="24"/>
        </w:rPr>
      </w:pPr>
      <w:r w:rsidRPr="000E5884">
        <w:rPr>
          <w:b/>
          <w:sz w:val="24"/>
          <w:szCs w:val="24"/>
        </w:rPr>
        <w:t>Committee of Experts on the Transport of Dangerous Goods</w:t>
      </w:r>
      <w:r w:rsidRPr="000E5884">
        <w:rPr>
          <w:b/>
          <w:sz w:val="24"/>
          <w:szCs w:val="24"/>
        </w:rPr>
        <w:br/>
        <w:t>and on the Globally Harmonized System of Classification</w:t>
      </w:r>
      <w:r w:rsidRPr="000E5884">
        <w:rPr>
          <w:b/>
          <w:sz w:val="24"/>
          <w:szCs w:val="24"/>
        </w:rPr>
        <w:br/>
        <w:t>and Labelling of Chemicals</w:t>
      </w:r>
    </w:p>
    <w:p w:rsidR="0048539B" w:rsidRPr="000E5884" w:rsidRDefault="0048539B" w:rsidP="0048539B">
      <w:pPr>
        <w:spacing w:before="100"/>
        <w:rPr>
          <w:rFonts w:ascii="Helv" w:hAnsi="Helv" w:cs="Helv"/>
          <w:b/>
          <w:color w:val="000000"/>
        </w:rPr>
      </w:pPr>
      <w:r w:rsidRPr="000E5884">
        <w:rPr>
          <w:b/>
        </w:rPr>
        <w:t>Sub-Committee of Experts on the Transport of Dangerous Goods</w:t>
      </w:r>
    </w:p>
    <w:p w:rsidR="0048539B" w:rsidRPr="000E5884" w:rsidRDefault="00F708A8" w:rsidP="0048539B">
      <w:pPr>
        <w:spacing w:before="100"/>
        <w:rPr>
          <w:b/>
        </w:rPr>
      </w:pPr>
      <w:r w:rsidRPr="000E5884">
        <w:rPr>
          <w:b/>
        </w:rPr>
        <w:t>Fort</w:t>
      </w:r>
      <w:r w:rsidR="00083A13" w:rsidRPr="000E5884">
        <w:rPr>
          <w:b/>
        </w:rPr>
        <w:t>y-</w:t>
      </w:r>
      <w:r w:rsidR="004B394B" w:rsidRPr="000E5884">
        <w:rPr>
          <w:b/>
        </w:rPr>
        <w:t>ninth</w:t>
      </w:r>
      <w:r w:rsidR="0048539B" w:rsidRPr="000E5884">
        <w:rPr>
          <w:b/>
        </w:rPr>
        <w:t xml:space="preserve"> </w:t>
      </w:r>
      <w:proofErr w:type="gramStart"/>
      <w:r w:rsidR="0048539B" w:rsidRPr="000E5884">
        <w:rPr>
          <w:b/>
        </w:rPr>
        <w:t>session</w:t>
      </w:r>
      <w:proofErr w:type="gramEnd"/>
    </w:p>
    <w:p w:rsidR="0048539B" w:rsidRPr="000E5884" w:rsidRDefault="0048539B" w:rsidP="0048539B">
      <w:r w:rsidRPr="000E5884">
        <w:t xml:space="preserve">Geneva, </w:t>
      </w:r>
      <w:r w:rsidR="004B394B" w:rsidRPr="000E5884">
        <w:t>27</w:t>
      </w:r>
      <w:r w:rsidR="003A0867" w:rsidRPr="000E5884">
        <w:t xml:space="preserve"> </w:t>
      </w:r>
      <w:r w:rsidR="004B394B" w:rsidRPr="000E5884">
        <w:t>June</w:t>
      </w:r>
      <w:r w:rsidR="00F708A8" w:rsidRPr="000E5884">
        <w:t xml:space="preserve"> – </w:t>
      </w:r>
      <w:r w:rsidR="004B394B" w:rsidRPr="000E5884">
        <w:t>6 July 2016</w:t>
      </w:r>
    </w:p>
    <w:p w:rsidR="00C84FF4" w:rsidRPr="000E5884" w:rsidRDefault="00C84FF4" w:rsidP="00083A13">
      <w:pPr>
        <w:rPr>
          <w:b/>
          <w:lang w:val="en-US"/>
        </w:rPr>
      </w:pPr>
      <w:r w:rsidRPr="000E5884">
        <w:t xml:space="preserve">Item </w:t>
      </w:r>
      <w:proofErr w:type="gramStart"/>
      <w:r w:rsidR="00FF19A2">
        <w:t>3</w:t>
      </w:r>
      <w:proofErr w:type="gramEnd"/>
      <w:r w:rsidRPr="000E5884">
        <w:t xml:space="preserve"> of the provisional agenda</w:t>
      </w:r>
      <w:r w:rsidRPr="000E5884">
        <w:rPr>
          <w:b/>
          <w:lang w:val="en-US"/>
        </w:rPr>
        <w:t xml:space="preserve"> </w:t>
      </w:r>
    </w:p>
    <w:p w:rsidR="00C40508" w:rsidRPr="00FF19A2" w:rsidRDefault="00FF19A2" w:rsidP="00C40508">
      <w:pPr>
        <w:pStyle w:val="SingleTxtG"/>
        <w:ind w:left="0"/>
        <w:jc w:val="left"/>
        <w:rPr>
          <w:b/>
          <w:color w:val="222222"/>
          <w:sz w:val="28"/>
          <w:szCs w:val="28"/>
          <w:lang w:val="en"/>
        </w:rPr>
      </w:pPr>
      <w:r w:rsidRPr="00FF19A2">
        <w:rPr>
          <w:b/>
        </w:rPr>
        <w:t>Listing, classification and packing</w:t>
      </w:r>
      <w:r w:rsidR="00C40508" w:rsidRPr="00FF19A2">
        <w:rPr>
          <w:b/>
          <w:color w:val="222222"/>
          <w:sz w:val="28"/>
          <w:szCs w:val="28"/>
          <w:lang w:val="en"/>
        </w:rPr>
        <w:t xml:space="preserve"> </w:t>
      </w:r>
    </w:p>
    <w:p w:rsidR="00C40508" w:rsidRPr="003805FA" w:rsidRDefault="00C40508" w:rsidP="00C40508">
      <w:pPr>
        <w:pStyle w:val="HChG"/>
        <w:rPr>
          <w:lang w:val="en"/>
        </w:rPr>
      </w:pPr>
      <w:r>
        <w:rPr>
          <w:lang w:val="en"/>
        </w:rPr>
        <w:tab/>
      </w:r>
      <w:r>
        <w:rPr>
          <w:lang w:val="en"/>
        </w:rPr>
        <w:tab/>
      </w:r>
      <w:r w:rsidRPr="003805FA">
        <w:rPr>
          <w:lang w:val="en"/>
        </w:rPr>
        <w:t>Revision of</w:t>
      </w:r>
      <w:r>
        <w:rPr>
          <w:lang w:val="en"/>
        </w:rPr>
        <w:t xml:space="preserve"> packing instructions P621, IBC</w:t>
      </w:r>
      <w:r w:rsidRPr="003805FA">
        <w:rPr>
          <w:lang w:val="en"/>
        </w:rPr>
        <w:t>620</w:t>
      </w:r>
      <w:r>
        <w:rPr>
          <w:lang w:val="en"/>
        </w:rPr>
        <w:t>,</w:t>
      </w:r>
      <w:r w:rsidRPr="003805FA">
        <w:rPr>
          <w:lang w:val="en"/>
        </w:rPr>
        <w:t xml:space="preserve"> and LP621 </w:t>
      </w:r>
    </w:p>
    <w:p w:rsidR="00C40508" w:rsidRPr="0067345F" w:rsidRDefault="00C40508" w:rsidP="00C40508">
      <w:pPr>
        <w:pStyle w:val="H1G"/>
        <w:rPr>
          <w:lang w:val="en"/>
        </w:rPr>
      </w:pPr>
      <w:r>
        <w:rPr>
          <w:lang w:val="en"/>
        </w:rPr>
        <w:tab/>
      </w:r>
      <w:r>
        <w:rPr>
          <w:lang w:val="en"/>
        </w:rPr>
        <w:tab/>
      </w:r>
      <w:r w:rsidRPr="0067345F">
        <w:rPr>
          <w:lang w:val="en"/>
        </w:rPr>
        <w:t>Transmitted by the expert from Canada</w:t>
      </w:r>
      <w:r>
        <w:rPr>
          <w:rStyle w:val="FootnoteReference"/>
          <w:lang w:val="en"/>
        </w:rPr>
        <w:footnoteReference w:id="2"/>
      </w:r>
    </w:p>
    <w:p w:rsidR="00C40508" w:rsidRPr="0067345F" w:rsidRDefault="00C40508" w:rsidP="00C40508">
      <w:pPr>
        <w:pStyle w:val="HChG"/>
        <w:rPr>
          <w:lang w:val="en"/>
        </w:rPr>
      </w:pPr>
      <w:r>
        <w:rPr>
          <w:lang w:val="en"/>
        </w:rPr>
        <w:tab/>
      </w:r>
      <w:r>
        <w:rPr>
          <w:lang w:val="en"/>
        </w:rPr>
        <w:tab/>
      </w:r>
      <w:r w:rsidRPr="0067345F">
        <w:rPr>
          <w:lang w:val="en"/>
        </w:rPr>
        <w:t>Objective</w:t>
      </w:r>
    </w:p>
    <w:p w:rsidR="00C40508" w:rsidRDefault="00C40508" w:rsidP="00C40508">
      <w:pPr>
        <w:pStyle w:val="SingleTxtG"/>
      </w:pPr>
      <w:r>
        <w:t>1.</w:t>
      </w:r>
      <w:r>
        <w:tab/>
        <w:t>To m</w:t>
      </w:r>
      <w:r w:rsidRPr="0067345F">
        <w:t>odify</w:t>
      </w:r>
      <w:r w:rsidR="00FF19A2">
        <w:t xml:space="preserve"> packing instructions P621, IBC</w:t>
      </w:r>
      <w:r w:rsidRPr="0067345F">
        <w:t>620 and LP621 to create consistency between the requirements of the three</w:t>
      </w:r>
      <w:r>
        <w:t xml:space="preserve"> (3)</w:t>
      </w:r>
      <w:r w:rsidRPr="0067345F">
        <w:t xml:space="preserve"> authorized packing instructions (P621, IBC620 and LP621) for regulated medical waste, (bio) medical or clinical waste, unspecified, which are assigned to UN3291.</w:t>
      </w:r>
    </w:p>
    <w:p w:rsidR="00C40508" w:rsidRPr="0067345F" w:rsidRDefault="00C40508" w:rsidP="00C40508">
      <w:pPr>
        <w:pStyle w:val="HChG"/>
        <w:rPr>
          <w:lang w:val="en"/>
        </w:rPr>
      </w:pPr>
      <w:r>
        <w:rPr>
          <w:lang w:val="en"/>
        </w:rPr>
        <w:tab/>
      </w:r>
      <w:r>
        <w:rPr>
          <w:lang w:val="en"/>
        </w:rPr>
        <w:tab/>
      </w:r>
      <w:r w:rsidRPr="0067345F">
        <w:rPr>
          <w:lang w:val="en"/>
        </w:rPr>
        <w:t>Introduction</w:t>
      </w:r>
    </w:p>
    <w:p w:rsidR="00C40508" w:rsidRDefault="00C40508" w:rsidP="00C40508">
      <w:pPr>
        <w:pStyle w:val="SingleTxtG"/>
      </w:pPr>
      <w:r>
        <w:t>2.</w:t>
      </w:r>
      <w:r>
        <w:tab/>
      </w:r>
      <w:r w:rsidRPr="0067345F">
        <w:t xml:space="preserve">The expert from Canada recommends harmonizing the requirements of packing instructions IBC620 and LP621 </w:t>
      </w:r>
      <w:r>
        <w:t>based on</w:t>
      </w:r>
      <w:r w:rsidRPr="0067345F">
        <w:t xml:space="preserve"> the requirements of packing instruction P621 to </w:t>
      </w:r>
      <w:r>
        <w:t xml:space="preserve">rectify their differences and </w:t>
      </w:r>
      <w:r w:rsidRPr="0067345F">
        <w:t>facilitate their understanding</w:t>
      </w:r>
      <w:r>
        <w:t>. Some of the differences include</w:t>
      </w:r>
      <w:r w:rsidRPr="0067345F">
        <w:t>:</w:t>
      </w:r>
    </w:p>
    <w:p w:rsidR="00C40508" w:rsidRPr="0067345F" w:rsidRDefault="00FF19A2" w:rsidP="00C40508">
      <w:pPr>
        <w:pStyle w:val="Bullet1G"/>
        <w:rPr>
          <w:lang w:val="en"/>
        </w:rPr>
      </w:pPr>
      <w:r>
        <w:rPr>
          <w:lang w:val="en"/>
        </w:rPr>
        <w:t>Packing i</w:t>
      </w:r>
      <w:r w:rsidR="00C40508" w:rsidRPr="0067345F">
        <w:rPr>
          <w:lang w:val="en"/>
        </w:rPr>
        <w:t>nstruction P621 contains two</w:t>
      </w:r>
      <w:r w:rsidR="00C40508">
        <w:rPr>
          <w:lang w:val="en"/>
        </w:rPr>
        <w:t xml:space="preserve"> (2)</w:t>
      </w:r>
      <w:r w:rsidR="00C40508" w:rsidRPr="0067345F">
        <w:rPr>
          <w:lang w:val="en"/>
        </w:rPr>
        <w:t xml:space="preserve"> lists of authorized packaging codes</w:t>
      </w:r>
      <w:r w:rsidR="00C40508">
        <w:rPr>
          <w:lang w:val="en"/>
        </w:rPr>
        <w:t xml:space="preserve"> (one for solids, one for liquids);</w:t>
      </w:r>
    </w:p>
    <w:p w:rsidR="00C40508" w:rsidRPr="0067345F" w:rsidRDefault="00FF19A2" w:rsidP="00C40508">
      <w:pPr>
        <w:pStyle w:val="Bullet1G"/>
        <w:rPr>
          <w:lang w:val="en"/>
        </w:rPr>
      </w:pPr>
      <w:r>
        <w:rPr>
          <w:lang w:val="en"/>
        </w:rPr>
        <w:t>Packing i</w:t>
      </w:r>
      <w:r w:rsidR="00C40508" w:rsidRPr="0067345F">
        <w:rPr>
          <w:lang w:val="en"/>
        </w:rPr>
        <w:t xml:space="preserve">nstruction IBC620 </w:t>
      </w:r>
      <w:r w:rsidR="00C40508">
        <w:rPr>
          <w:lang w:val="en"/>
        </w:rPr>
        <w:t>stipulates</w:t>
      </w:r>
      <w:r w:rsidR="00C40508" w:rsidRPr="0067345F">
        <w:rPr>
          <w:lang w:val="en"/>
        </w:rPr>
        <w:t xml:space="preserve"> that rigid and </w:t>
      </w:r>
      <w:proofErr w:type="spellStart"/>
      <w:r w:rsidR="00C40508" w:rsidRPr="0067345F">
        <w:rPr>
          <w:lang w:val="en"/>
        </w:rPr>
        <w:t>leakproof</w:t>
      </w:r>
      <w:proofErr w:type="spellEnd"/>
      <w:r w:rsidR="00C40508" w:rsidRPr="0067345F">
        <w:rPr>
          <w:lang w:val="en"/>
        </w:rPr>
        <w:t xml:space="preserve"> IBCs conforming to the performance</w:t>
      </w:r>
      <w:r>
        <w:rPr>
          <w:lang w:val="en"/>
        </w:rPr>
        <w:t xml:space="preserve"> level of the packing g</w:t>
      </w:r>
      <w:r w:rsidR="00C40508" w:rsidRPr="0067345F">
        <w:rPr>
          <w:lang w:val="en"/>
        </w:rPr>
        <w:t>roup II should be used</w:t>
      </w:r>
      <w:r w:rsidR="00C40508">
        <w:rPr>
          <w:lang w:val="en"/>
        </w:rPr>
        <w:t>;</w:t>
      </w:r>
      <w:r w:rsidR="00C40508" w:rsidRPr="0067345F">
        <w:rPr>
          <w:lang w:val="en"/>
        </w:rPr>
        <w:t xml:space="preserve"> and</w:t>
      </w:r>
    </w:p>
    <w:p w:rsidR="00C40508" w:rsidRPr="0067345F" w:rsidRDefault="00C40508" w:rsidP="00C40508">
      <w:pPr>
        <w:pStyle w:val="Bullet1G"/>
        <w:rPr>
          <w:lang w:val="en"/>
        </w:rPr>
      </w:pPr>
      <w:r w:rsidRPr="0067345F">
        <w:rPr>
          <w:lang w:val="en"/>
        </w:rPr>
        <w:lastRenderedPageBreak/>
        <w:t xml:space="preserve">Packing instruction LP621 </w:t>
      </w:r>
      <w:r>
        <w:rPr>
          <w:lang w:val="en"/>
        </w:rPr>
        <w:t>stipulates</w:t>
      </w:r>
      <w:r w:rsidRPr="0067345F">
        <w:rPr>
          <w:lang w:val="en"/>
        </w:rPr>
        <w:t xml:space="preserve"> that rigid large </w:t>
      </w:r>
      <w:proofErr w:type="spellStart"/>
      <w:r w:rsidRPr="0067345F">
        <w:rPr>
          <w:lang w:val="en"/>
        </w:rPr>
        <w:t>packagings</w:t>
      </w:r>
      <w:proofErr w:type="spellEnd"/>
      <w:r w:rsidRPr="0067345F">
        <w:rPr>
          <w:lang w:val="en"/>
        </w:rPr>
        <w:t xml:space="preserve"> complying with the requirements of Chapter 6.6 </w:t>
      </w:r>
      <w:proofErr w:type="gramStart"/>
      <w:r w:rsidRPr="0067345F">
        <w:rPr>
          <w:lang w:val="en"/>
        </w:rPr>
        <w:t>must be used</w:t>
      </w:r>
      <w:proofErr w:type="gramEnd"/>
      <w:r w:rsidRPr="0067345F">
        <w:rPr>
          <w:lang w:val="en"/>
        </w:rPr>
        <w:t>.</w:t>
      </w:r>
    </w:p>
    <w:p w:rsidR="00C40508" w:rsidRDefault="00C40508" w:rsidP="00C40508">
      <w:pPr>
        <w:pStyle w:val="SingleTxtG"/>
      </w:pPr>
      <w:r>
        <w:t>3.</w:t>
      </w:r>
      <w:r>
        <w:tab/>
        <w:t>T</w:t>
      </w:r>
      <w:r w:rsidRPr="0067345F">
        <w:t>he expert</w:t>
      </w:r>
      <w:r>
        <w:t xml:space="preserve"> also</w:t>
      </w:r>
      <w:r w:rsidRPr="0067345F">
        <w:t xml:space="preserve"> recommends clarifying certain requirements in</w:t>
      </w:r>
      <w:r>
        <w:t xml:space="preserve"> packing instructions P621, IBC</w:t>
      </w:r>
      <w:r w:rsidRPr="0067345F">
        <w:t>620 and LP621 that are either incorrect or difficult to interpret.</w:t>
      </w:r>
    </w:p>
    <w:p w:rsidR="00C40508" w:rsidRPr="0067345F" w:rsidRDefault="00C40508" w:rsidP="00C40508">
      <w:pPr>
        <w:pStyle w:val="SingleTxtG"/>
      </w:pPr>
      <w:r>
        <w:t>4.</w:t>
      </w:r>
      <w:r>
        <w:tab/>
        <w:t>In addition</w:t>
      </w:r>
      <w:r w:rsidRPr="0067345F">
        <w:t xml:space="preserve">, the expert recommends modifying packing instruction LP621 to introduce construction and performance requirements for inner </w:t>
      </w:r>
      <w:proofErr w:type="spellStart"/>
      <w:r w:rsidRPr="0067345F">
        <w:t>packagings</w:t>
      </w:r>
      <w:proofErr w:type="spellEnd"/>
      <w:r w:rsidRPr="0067345F">
        <w:t xml:space="preserve"> contained in large </w:t>
      </w:r>
      <w:proofErr w:type="spellStart"/>
      <w:r w:rsidRPr="0067345F">
        <w:t>packagings</w:t>
      </w:r>
      <w:proofErr w:type="spellEnd"/>
      <w:r w:rsidRPr="0067345F">
        <w:t>.</w:t>
      </w:r>
    </w:p>
    <w:p w:rsidR="00C40508" w:rsidRPr="000862FB" w:rsidRDefault="00C40508" w:rsidP="00C40508">
      <w:pPr>
        <w:pStyle w:val="HChG"/>
        <w:rPr>
          <w:lang w:val="en"/>
        </w:rPr>
      </w:pPr>
      <w:r>
        <w:rPr>
          <w:lang w:val="en"/>
        </w:rPr>
        <w:tab/>
      </w:r>
      <w:r>
        <w:rPr>
          <w:lang w:val="en"/>
        </w:rPr>
        <w:tab/>
      </w:r>
      <w:r w:rsidRPr="000862FB">
        <w:rPr>
          <w:lang w:val="en"/>
        </w:rPr>
        <w:t>Context</w:t>
      </w:r>
    </w:p>
    <w:p w:rsidR="00C40508" w:rsidRPr="0029798E" w:rsidRDefault="00C40508" w:rsidP="00C40508">
      <w:pPr>
        <w:pStyle w:val="H1G"/>
        <w:rPr>
          <w:lang w:val="en"/>
        </w:rPr>
      </w:pPr>
      <w:r>
        <w:rPr>
          <w:lang w:val="en"/>
        </w:rPr>
        <w:tab/>
      </w:r>
      <w:r>
        <w:rPr>
          <w:lang w:val="en"/>
        </w:rPr>
        <w:tab/>
      </w:r>
      <w:r w:rsidR="00FF19A2">
        <w:rPr>
          <w:lang w:val="en"/>
        </w:rPr>
        <w:t>Packing i</w:t>
      </w:r>
      <w:r w:rsidRPr="0029798E">
        <w:rPr>
          <w:lang w:val="en"/>
        </w:rPr>
        <w:t>nstruction</w:t>
      </w:r>
      <w:r w:rsidRPr="00B82262">
        <w:rPr>
          <w:lang w:val="en"/>
        </w:rPr>
        <w:t xml:space="preserve"> </w:t>
      </w:r>
      <w:r w:rsidRPr="0029798E">
        <w:rPr>
          <w:lang w:val="en"/>
        </w:rPr>
        <w:t>P621</w:t>
      </w:r>
    </w:p>
    <w:p w:rsidR="00C40508" w:rsidRDefault="00C40508" w:rsidP="00C40508">
      <w:pPr>
        <w:pStyle w:val="SingleTxtG"/>
      </w:pPr>
      <w:r>
        <w:t>5.</w:t>
      </w:r>
      <w:r>
        <w:tab/>
      </w:r>
      <w:r w:rsidRPr="000862FB">
        <w:t xml:space="preserve">Packing instruction P621 </w:t>
      </w:r>
      <w:proofErr w:type="gramStart"/>
      <w:r w:rsidRPr="000862FB">
        <w:t>is divided</w:t>
      </w:r>
      <w:proofErr w:type="gramEnd"/>
      <w:r w:rsidRPr="000862FB">
        <w:t xml:space="preserve"> into two</w:t>
      </w:r>
      <w:r>
        <w:t xml:space="preserve"> (2)</w:t>
      </w:r>
      <w:r w:rsidRPr="000862FB">
        <w:t xml:space="preserve"> parts: the first part includes a list of authorized packaging codes conforming to the packing group II</w:t>
      </w:r>
      <w:r>
        <w:t xml:space="preserve"> performance level</w:t>
      </w:r>
      <w:r w:rsidRPr="000862FB">
        <w:t xml:space="preserve"> for </w:t>
      </w:r>
      <w:r w:rsidRPr="000862FB">
        <w:rPr>
          <w:u w:val="single"/>
        </w:rPr>
        <w:t>solids</w:t>
      </w:r>
      <w:r w:rsidRPr="000862FB">
        <w:t xml:space="preserve"> and the second part includes a list of authorized packaging codes conforming to the packing group II </w:t>
      </w:r>
      <w:r>
        <w:t xml:space="preserve">performance level </w:t>
      </w:r>
      <w:r w:rsidRPr="000862FB">
        <w:t xml:space="preserve">for </w:t>
      </w:r>
      <w:r w:rsidRPr="000862FB">
        <w:rPr>
          <w:u w:val="single"/>
        </w:rPr>
        <w:t>liquids</w:t>
      </w:r>
      <w:r w:rsidRPr="000862FB">
        <w:t xml:space="preserve">. </w:t>
      </w:r>
      <w:proofErr w:type="gramStart"/>
      <w:r w:rsidRPr="000862FB">
        <w:t>This is a common packing instruction format for classes of dangerous goods that can be solid or liquid.</w:t>
      </w:r>
      <w:proofErr w:type="gramEnd"/>
    </w:p>
    <w:p w:rsidR="00C40508" w:rsidRDefault="00C40508" w:rsidP="00C40508">
      <w:pPr>
        <w:pStyle w:val="SingleTxtG"/>
      </w:pPr>
      <w:r>
        <w:t>6.</w:t>
      </w:r>
      <w:r>
        <w:tab/>
      </w:r>
      <w:r w:rsidRPr="000862FB">
        <w:t>The second part of packing instruction P621 stipulates that in the case of packages containing "l</w:t>
      </w:r>
      <w:r>
        <w:t>arger quantities of liquid</w:t>
      </w:r>
      <w:r w:rsidRPr="000862FB">
        <w:t>"</w:t>
      </w:r>
      <w:r>
        <w:t>,</w:t>
      </w:r>
      <w:r w:rsidRPr="000862FB">
        <w:t xml:space="preserve"> a packaging conforming to the packing group II </w:t>
      </w:r>
      <w:r>
        <w:t xml:space="preserve">performance level </w:t>
      </w:r>
      <w:r w:rsidRPr="000862FB">
        <w:t xml:space="preserve">for liquids </w:t>
      </w:r>
      <w:proofErr w:type="gramStart"/>
      <w:r w:rsidRPr="000862FB">
        <w:t>must be used</w:t>
      </w:r>
      <w:proofErr w:type="gramEnd"/>
      <w:r w:rsidRPr="000862FB">
        <w:t xml:space="preserve">. However, there is no indication </w:t>
      </w:r>
      <w:r>
        <w:t xml:space="preserve">provided </w:t>
      </w:r>
      <w:r w:rsidRPr="000862FB">
        <w:t xml:space="preserve">in the instruction permitting </w:t>
      </w:r>
      <w:r>
        <w:t>someone to make the</w:t>
      </w:r>
      <w:r w:rsidRPr="000862FB">
        <w:t xml:space="preserve"> determination</w:t>
      </w:r>
      <w:r>
        <w:t xml:space="preserve"> of what is </w:t>
      </w:r>
      <w:proofErr w:type="gramStart"/>
      <w:r>
        <w:t>considered to be “</w:t>
      </w:r>
      <w:proofErr w:type="gramEnd"/>
      <w:r>
        <w:t>larger quantities of liquid”</w:t>
      </w:r>
      <w:r w:rsidRPr="000862FB">
        <w:t xml:space="preserve">. </w:t>
      </w:r>
    </w:p>
    <w:p w:rsidR="00C40508" w:rsidRPr="008F2D49" w:rsidRDefault="00C40508" w:rsidP="00C40508">
      <w:pPr>
        <w:pStyle w:val="HChG"/>
        <w:rPr>
          <w:lang w:val="en"/>
        </w:rPr>
      </w:pPr>
      <w:r>
        <w:rPr>
          <w:lang w:val="en"/>
        </w:rPr>
        <w:tab/>
      </w:r>
      <w:r>
        <w:rPr>
          <w:lang w:val="en"/>
        </w:rPr>
        <w:tab/>
        <w:t>Proposal</w:t>
      </w:r>
    </w:p>
    <w:p w:rsidR="00C40508" w:rsidRDefault="00C40508" w:rsidP="00C40508">
      <w:pPr>
        <w:pStyle w:val="SingleTxtG"/>
      </w:pPr>
      <w:r>
        <w:t>7.</w:t>
      </w:r>
      <w:r>
        <w:tab/>
        <w:t>T</w:t>
      </w:r>
      <w:r w:rsidRPr="000862FB">
        <w:t xml:space="preserve">he expert proposes to clearly state that the packaging codes listed in the first part of the instruction </w:t>
      </w:r>
      <w:r>
        <w:t xml:space="preserve">can </w:t>
      </w:r>
      <w:r w:rsidRPr="000862FB">
        <w:t xml:space="preserve">be used if no liquid </w:t>
      </w:r>
      <w:r>
        <w:t xml:space="preserve">is </w:t>
      </w:r>
      <w:r w:rsidRPr="000862FB">
        <w:t>visible when filling the packag</w:t>
      </w:r>
      <w:r>
        <w:t>ing</w:t>
      </w:r>
      <w:r w:rsidRPr="000862FB">
        <w:t xml:space="preserve"> while the packaging codes listed in the second part of the instruction must be used if liquid</w:t>
      </w:r>
      <w:r>
        <w:t xml:space="preserve"> is visible</w:t>
      </w:r>
      <w:r w:rsidRPr="000862FB">
        <w:t xml:space="preserve"> when filling the packaging.</w:t>
      </w:r>
    </w:p>
    <w:p w:rsidR="00C40508" w:rsidRPr="000862FB" w:rsidRDefault="00C40508" w:rsidP="00C40508">
      <w:pPr>
        <w:pStyle w:val="SingleTxtG"/>
      </w:pPr>
      <w:r>
        <w:t>8.</w:t>
      </w:r>
      <w:r>
        <w:tab/>
      </w:r>
      <w:r w:rsidRPr="000862FB">
        <w:t>The expert also recommends removing two</w:t>
      </w:r>
      <w:r>
        <w:t xml:space="preserve"> (2)</w:t>
      </w:r>
      <w:r w:rsidRPr="000862FB">
        <w:t xml:space="preserve"> codes from the list of authorized packaging codes in the second part of the instruction since </w:t>
      </w:r>
      <w:r>
        <w:t>these</w:t>
      </w:r>
      <w:r w:rsidRPr="000862FB">
        <w:t xml:space="preserve"> </w:t>
      </w:r>
      <w:proofErr w:type="spellStart"/>
      <w:r w:rsidRPr="000862FB">
        <w:t>packagings</w:t>
      </w:r>
      <w:proofErr w:type="spellEnd"/>
      <w:r w:rsidRPr="000862FB">
        <w:t xml:space="preserve"> (</w:t>
      </w:r>
      <w:proofErr w:type="spellStart"/>
      <w:r w:rsidRPr="000862FB">
        <w:t>fiber</w:t>
      </w:r>
      <w:proofErr w:type="spellEnd"/>
      <w:r w:rsidRPr="000862FB">
        <w:t xml:space="preserve"> drum (1G) and plywood drum (1D)) are not designed for liquids.</w:t>
      </w:r>
    </w:p>
    <w:p w:rsidR="00C40508" w:rsidRDefault="00C40508" w:rsidP="00C40508">
      <w:pPr>
        <w:pStyle w:val="SingleTxtG"/>
        <w:rPr>
          <w:color w:val="222222"/>
          <w:lang w:val="en"/>
        </w:rPr>
      </w:pPr>
      <w:r>
        <w:rPr>
          <w:color w:val="222222"/>
          <w:lang w:val="en"/>
        </w:rPr>
        <w:t>9.</w:t>
      </w:r>
      <w:r>
        <w:rPr>
          <w:color w:val="222222"/>
          <w:lang w:val="en"/>
        </w:rPr>
        <w:tab/>
      </w:r>
      <w:r w:rsidRPr="000862FB">
        <w:rPr>
          <w:color w:val="222222"/>
          <w:lang w:val="en"/>
        </w:rPr>
        <w:t>Following the</w:t>
      </w:r>
      <w:r>
        <w:rPr>
          <w:color w:val="222222"/>
          <w:lang w:val="en"/>
        </w:rPr>
        <w:t>se changes</w:t>
      </w:r>
      <w:r w:rsidRPr="000862FB">
        <w:rPr>
          <w:color w:val="222222"/>
          <w:lang w:val="en"/>
        </w:rPr>
        <w:t>, the packing instruction</w:t>
      </w:r>
      <w:r>
        <w:rPr>
          <w:color w:val="222222"/>
          <w:lang w:val="en"/>
        </w:rPr>
        <w:t xml:space="preserve"> P621</w:t>
      </w:r>
      <w:r w:rsidRPr="000862FB">
        <w:rPr>
          <w:color w:val="222222"/>
          <w:lang w:val="en"/>
        </w:rPr>
        <w:t xml:space="preserve"> would read as follows:  </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7938"/>
        <w:gridCol w:w="850"/>
      </w:tblGrid>
      <w:tr w:rsidR="00C40508" w:rsidRPr="004602C5" w:rsidTr="00D15B18">
        <w:tc>
          <w:tcPr>
            <w:tcW w:w="855" w:type="dxa"/>
            <w:tcBorders>
              <w:bottom w:val="single" w:sz="4" w:space="0" w:color="000000"/>
            </w:tcBorders>
          </w:tcPr>
          <w:p w:rsidR="00C40508" w:rsidRPr="004602C5" w:rsidRDefault="00C40508" w:rsidP="00D15B18">
            <w:pPr>
              <w:spacing w:before="60" w:after="60" w:line="240" w:lineRule="auto"/>
              <w:rPr>
                <w:b/>
                <w:bCs/>
              </w:rPr>
            </w:pPr>
            <w:r>
              <w:rPr>
                <w:b/>
              </w:rPr>
              <w:t>P621</w:t>
            </w:r>
          </w:p>
        </w:tc>
        <w:tc>
          <w:tcPr>
            <w:tcW w:w="7938" w:type="dxa"/>
            <w:tcBorders>
              <w:bottom w:val="single" w:sz="4" w:space="0" w:color="000000"/>
            </w:tcBorders>
          </w:tcPr>
          <w:p w:rsidR="00C40508" w:rsidRPr="004602C5" w:rsidRDefault="00C40508" w:rsidP="00D15B18">
            <w:pPr>
              <w:spacing w:before="60" w:after="60" w:line="240" w:lineRule="auto"/>
              <w:jc w:val="center"/>
              <w:rPr>
                <w:b/>
                <w:bCs/>
              </w:rPr>
            </w:pPr>
            <w:r w:rsidRPr="00873A93">
              <w:rPr>
                <w:b/>
                <w:bCs/>
              </w:rPr>
              <w:t>PACKING INSTRUCTION</w:t>
            </w:r>
          </w:p>
        </w:tc>
        <w:tc>
          <w:tcPr>
            <w:tcW w:w="850" w:type="dxa"/>
            <w:tcBorders>
              <w:bottom w:val="single" w:sz="4" w:space="0" w:color="000000"/>
            </w:tcBorders>
          </w:tcPr>
          <w:p w:rsidR="00C40508" w:rsidRPr="004602C5" w:rsidRDefault="00C40508" w:rsidP="00D15B18">
            <w:pPr>
              <w:spacing w:before="60" w:after="60" w:line="240" w:lineRule="auto"/>
              <w:jc w:val="right"/>
              <w:rPr>
                <w:b/>
                <w:bCs/>
              </w:rPr>
            </w:pPr>
            <w:r w:rsidRPr="004602C5">
              <w:rPr>
                <w:b/>
              </w:rPr>
              <w:t>P</w:t>
            </w:r>
            <w:r>
              <w:rPr>
                <w:b/>
              </w:rPr>
              <w:t>621</w:t>
            </w:r>
          </w:p>
        </w:tc>
      </w:tr>
      <w:tr w:rsidR="00C40508" w:rsidRPr="000862FB" w:rsidTr="00D15B18">
        <w:tc>
          <w:tcPr>
            <w:tcW w:w="9643" w:type="dxa"/>
            <w:gridSpan w:val="3"/>
            <w:tcBorders>
              <w:top w:val="single" w:sz="4" w:space="0" w:color="000000"/>
              <w:bottom w:val="single" w:sz="4" w:space="0" w:color="000000"/>
            </w:tcBorders>
          </w:tcPr>
          <w:p w:rsidR="00C40508" w:rsidRPr="000862FB" w:rsidRDefault="00C40508" w:rsidP="00D15B18">
            <w:pPr>
              <w:spacing w:before="60" w:after="60" w:line="240" w:lineRule="auto"/>
              <w:rPr>
                <w:lang w:val="en-CA"/>
              </w:rPr>
            </w:pPr>
            <w:r w:rsidRPr="00873A93">
              <w:rPr>
                <w:lang w:val="en-CA"/>
              </w:rPr>
              <w:t>This in</w:t>
            </w:r>
            <w:r>
              <w:rPr>
                <w:lang w:val="en-CA"/>
              </w:rPr>
              <w:t>struction applies to UN No. 3291</w:t>
            </w:r>
            <w:r w:rsidRPr="00873A93">
              <w:rPr>
                <w:lang w:val="en-CA"/>
              </w:rPr>
              <w:t>.</w:t>
            </w:r>
          </w:p>
        </w:tc>
      </w:tr>
      <w:tr w:rsidR="00C40508" w:rsidRPr="000862FB" w:rsidTr="00D15B18">
        <w:tc>
          <w:tcPr>
            <w:tcW w:w="9643" w:type="dxa"/>
            <w:gridSpan w:val="3"/>
          </w:tcPr>
          <w:p w:rsidR="00C40508" w:rsidRPr="000862FB" w:rsidRDefault="00C40508" w:rsidP="00D15B18">
            <w:pPr>
              <w:spacing w:before="60" w:after="60" w:line="240" w:lineRule="auto"/>
              <w:rPr>
                <w:lang w:val="en-CA"/>
              </w:rPr>
            </w:pPr>
            <w:r>
              <w:rPr>
                <w:lang w:val="en-CA"/>
              </w:rPr>
              <w:t xml:space="preserve">The following </w:t>
            </w:r>
            <w:proofErr w:type="spellStart"/>
            <w:r w:rsidRPr="00873A93">
              <w:rPr>
                <w:lang w:val="en-CA"/>
              </w:rPr>
              <w:t>packagings</w:t>
            </w:r>
            <w:proofErr w:type="spellEnd"/>
            <w:r w:rsidRPr="00873A93">
              <w:rPr>
                <w:lang w:val="en-CA"/>
              </w:rPr>
              <w:t xml:space="preserve"> are authorized, provided that the general provisions of </w:t>
            </w:r>
            <w:r w:rsidRPr="00873A93">
              <w:rPr>
                <w:b/>
                <w:lang w:val="en-CA"/>
              </w:rPr>
              <w:t>4.1.1</w:t>
            </w:r>
            <w:r>
              <w:rPr>
                <w:b/>
                <w:lang w:val="en-CA"/>
              </w:rPr>
              <w:t xml:space="preserve"> </w:t>
            </w:r>
            <w:r w:rsidRPr="000862FB">
              <w:rPr>
                <w:lang w:val="en-CA"/>
              </w:rPr>
              <w:t>except 4.1.1.15</w:t>
            </w:r>
            <w:r w:rsidRPr="00873A93">
              <w:rPr>
                <w:lang w:val="en-CA"/>
              </w:rPr>
              <w:t xml:space="preserve"> and </w:t>
            </w:r>
            <w:r w:rsidRPr="00873A93">
              <w:rPr>
                <w:b/>
                <w:lang w:val="en-CA"/>
              </w:rPr>
              <w:t xml:space="preserve">4.1.3 </w:t>
            </w:r>
            <w:r w:rsidRPr="00873A93">
              <w:rPr>
                <w:lang w:val="en-CA"/>
              </w:rPr>
              <w:t>are met:</w:t>
            </w:r>
          </w:p>
          <w:p w:rsidR="00C40508" w:rsidRPr="000862FB" w:rsidRDefault="00C40508" w:rsidP="00D15B18">
            <w:pPr>
              <w:spacing w:before="60" w:after="60" w:line="240" w:lineRule="auto"/>
              <w:rPr>
                <w:lang w:val="en-CA"/>
              </w:rPr>
            </w:pPr>
            <w:r w:rsidRPr="000862FB">
              <w:rPr>
                <w:lang w:val="en-CA"/>
              </w:rPr>
              <w:t xml:space="preserve">1) </w:t>
            </w:r>
            <w:r w:rsidRPr="000862FB">
              <w:rPr>
                <w:strike/>
                <w:color w:val="FF0000"/>
                <w:lang w:val="en-CA"/>
              </w:rPr>
              <w:t xml:space="preserve">Provided that there is sufficient absorbent material to absorb the entire amount of liquid present and the packaging is capable of retaining liquids : </w:t>
            </w:r>
            <w:r w:rsidRPr="00C55F24">
              <w:rPr>
                <w:rStyle w:val="hps"/>
                <w:color w:val="FF0000"/>
                <w:u w:val="single"/>
                <w:lang w:val="en"/>
              </w:rPr>
              <w:t>If</w:t>
            </w:r>
            <w:r w:rsidRPr="00C55F24">
              <w:rPr>
                <w:color w:val="FF0000"/>
                <w:u w:val="single"/>
                <w:lang w:val="en"/>
              </w:rPr>
              <w:t xml:space="preserve"> </w:t>
            </w:r>
            <w:r w:rsidRPr="00C55F24">
              <w:rPr>
                <w:rStyle w:val="hps"/>
                <w:color w:val="FF0000"/>
                <w:u w:val="single"/>
                <w:lang w:val="en"/>
              </w:rPr>
              <w:t>no liquid is</w:t>
            </w:r>
            <w:r w:rsidRPr="00C55F24">
              <w:rPr>
                <w:color w:val="FF0000"/>
                <w:u w:val="single"/>
                <w:lang w:val="en"/>
              </w:rPr>
              <w:t xml:space="preserve"> </w:t>
            </w:r>
            <w:r w:rsidRPr="00C55F24">
              <w:rPr>
                <w:rStyle w:val="hps"/>
                <w:color w:val="FF0000"/>
                <w:u w:val="single"/>
                <w:lang w:val="en"/>
              </w:rPr>
              <w:t>visible</w:t>
            </w:r>
            <w:r w:rsidRPr="00C55F24">
              <w:rPr>
                <w:color w:val="FF0000"/>
                <w:u w:val="single"/>
                <w:lang w:val="en"/>
              </w:rPr>
              <w:t xml:space="preserve"> when </w:t>
            </w:r>
            <w:r w:rsidRPr="00C55F24">
              <w:rPr>
                <w:rStyle w:val="hps"/>
                <w:color w:val="FF0000"/>
                <w:u w:val="single"/>
                <w:lang w:val="en"/>
              </w:rPr>
              <w:t>filling the packaging</w:t>
            </w:r>
            <w:r w:rsidRPr="00C55F24">
              <w:rPr>
                <w:color w:val="FF0000"/>
                <w:u w:val="single"/>
                <w:lang w:val="en-CA"/>
              </w:rPr>
              <w:t>:</w:t>
            </w:r>
          </w:p>
        </w:tc>
      </w:tr>
      <w:tr w:rsidR="00C40508" w:rsidRPr="00A265EC" w:rsidTr="00D15B18">
        <w:tc>
          <w:tcPr>
            <w:tcW w:w="9643" w:type="dxa"/>
            <w:gridSpan w:val="3"/>
          </w:tcPr>
          <w:p w:rsidR="00C40508" w:rsidRPr="00A265EC" w:rsidRDefault="00C40508" w:rsidP="00D15B18">
            <w:pPr>
              <w:spacing w:before="60" w:after="60" w:line="240" w:lineRule="auto"/>
              <w:ind w:left="567"/>
              <w:rPr>
                <w:lang w:val="en-CA"/>
              </w:rPr>
            </w:pPr>
            <w:r>
              <w:rPr>
                <w:lang w:val="en-CA"/>
              </w:rPr>
              <w:t xml:space="preserve">Drums </w:t>
            </w:r>
            <w:r w:rsidRPr="00A265EC">
              <w:rPr>
                <w:lang w:val="en-CA"/>
              </w:rPr>
              <w:t xml:space="preserve">(1A2, 1B2, 1N2, 1H2, </w:t>
            </w:r>
            <w:r w:rsidRPr="003E1833">
              <w:rPr>
                <w:lang w:val="en-CA"/>
              </w:rPr>
              <w:t>1D, 1G</w:t>
            </w:r>
            <w:r w:rsidRPr="00A265EC">
              <w:rPr>
                <w:lang w:val="en-CA"/>
              </w:rPr>
              <w:t>);</w:t>
            </w:r>
          </w:p>
        </w:tc>
      </w:tr>
      <w:tr w:rsidR="00C40508" w:rsidRPr="000862FB" w:rsidTr="00D15B18">
        <w:tc>
          <w:tcPr>
            <w:tcW w:w="9643" w:type="dxa"/>
            <w:gridSpan w:val="3"/>
          </w:tcPr>
          <w:p w:rsidR="00C40508" w:rsidRPr="000862FB" w:rsidRDefault="00C40508" w:rsidP="00D15B18">
            <w:pPr>
              <w:spacing w:before="60" w:after="60" w:line="240" w:lineRule="auto"/>
              <w:ind w:left="567"/>
              <w:rPr>
                <w:lang w:val="en-CA"/>
              </w:rPr>
            </w:pPr>
            <w:r w:rsidRPr="000862FB">
              <w:rPr>
                <w:lang w:val="en-CA"/>
              </w:rPr>
              <w:t>Boxes (4A, 4B, 4N, 4C1, 4C2, 4D, 4F, 4G, 4H1, 4H2);</w:t>
            </w:r>
          </w:p>
        </w:tc>
      </w:tr>
      <w:tr w:rsidR="00C40508" w:rsidRPr="00A265EC" w:rsidTr="00D15B18">
        <w:tc>
          <w:tcPr>
            <w:tcW w:w="9643" w:type="dxa"/>
            <w:gridSpan w:val="3"/>
          </w:tcPr>
          <w:p w:rsidR="00C40508" w:rsidRPr="00A265EC" w:rsidRDefault="00C40508" w:rsidP="00D15B18">
            <w:pPr>
              <w:spacing w:before="60" w:after="60" w:line="240" w:lineRule="auto"/>
              <w:ind w:left="567"/>
              <w:rPr>
                <w:lang w:val="en-CA"/>
              </w:rPr>
            </w:pPr>
            <w:proofErr w:type="spellStart"/>
            <w:r>
              <w:rPr>
                <w:lang w:val="en-CA"/>
              </w:rPr>
              <w:t>Jerricans</w:t>
            </w:r>
            <w:proofErr w:type="spellEnd"/>
            <w:r w:rsidRPr="00A265EC">
              <w:rPr>
                <w:lang w:val="en-CA"/>
              </w:rPr>
              <w:t xml:space="preserve"> (3A2, 3B2, 3H2).</w:t>
            </w:r>
          </w:p>
        </w:tc>
      </w:tr>
      <w:tr w:rsidR="00C40508" w:rsidRPr="00F53E38" w:rsidTr="00D15B18">
        <w:tc>
          <w:tcPr>
            <w:tcW w:w="9643" w:type="dxa"/>
            <w:gridSpan w:val="3"/>
          </w:tcPr>
          <w:p w:rsidR="00C40508" w:rsidRPr="00F53E38" w:rsidRDefault="00C40508" w:rsidP="00D15B18">
            <w:pPr>
              <w:spacing w:before="60" w:after="60" w:line="240" w:lineRule="auto"/>
              <w:rPr>
                <w:lang w:val="en-CA"/>
              </w:rPr>
            </w:pPr>
            <w:proofErr w:type="spellStart"/>
            <w:r w:rsidRPr="008F2D49">
              <w:rPr>
                <w:lang w:val="en-CA"/>
              </w:rPr>
              <w:t>Packagings</w:t>
            </w:r>
            <w:proofErr w:type="spellEnd"/>
            <w:r w:rsidRPr="008F2D49">
              <w:rPr>
                <w:lang w:val="en-CA"/>
              </w:rPr>
              <w:t xml:space="preserve"> shall conform to the packing group II performance level for solids</w:t>
            </w:r>
            <w:r w:rsidRPr="007C759E">
              <w:rPr>
                <w:lang w:val="en-CA"/>
              </w:rPr>
              <w:t>.</w:t>
            </w:r>
            <w:r w:rsidRPr="008F2D49">
              <w:rPr>
                <w:u w:val="single"/>
                <w:lang w:val="en-CA"/>
              </w:rPr>
              <w:t xml:space="preserve"> </w:t>
            </w:r>
            <w:r w:rsidRPr="008F2D49">
              <w:rPr>
                <w:color w:val="FF0000"/>
                <w:u w:val="single"/>
                <w:lang w:val="en-CA"/>
              </w:rPr>
              <w:t xml:space="preserve"> </w:t>
            </w:r>
            <w:r w:rsidRPr="007C759E">
              <w:rPr>
                <w:color w:val="FF0000"/>
                <w:u w:val="single"/>
                <w:lang w:val="en-CA"/>
              </w:rPr>
              <w:t xml:space="preserve">If </w:t>
            </w:r>
            <w:r w:rsidRPr="007C759E">
              <w:rPr>
                <w:rStyle w:val="hps"/>
                <w:color w:val="FF0000"/>
                <w:u w:val="single"/>
                <w:lang w:val="en"/>
              </w:rPr>
              <w:t>the presence of residual</w:t>
            </w:r>
            <w:r w:rsidRPr="007C759E">
              <w:rPr>
                <w:color w:val="FF0000"/>
                <w:u w:val="single"/>
                <w:lang w:val="en"/>
              </w:rPr>
              <w:t xml:space="preserve"> </w:t>
            </w:r>
            <w:r w:rsidRPr="007C759E">
              <w:rPr>
                <w:rStyle w:val="hps"/>
                <w:color w:val="FF0000"/>
                <w:u w:val="single"/>
                <w:lang w:val="en"/>
              </w:rPr>
              <w:t>liquid</w:t>
            </w:r>
            <w:r w:rsidRPr="007C759E">
              <w:rPr>
                <w:color w:val="FF0000"/>
                <w:u w:val="single"/>
                <w:lang w:val="en"/>
              </w:rPr>
              <w:t xml:space="preserve"> </w:t>
            </w:r>
            <w:r w:rsidRPr="007C759E">
              <w:rPr>
                <w:rStyle w:val="hps"/>
                <w:color w:val="FF0000"/>
                <w:u w:val="single"/>
                <w:lang w:val="en"/>
              </w:rPr>
              <w:t>in the packaging</w:t>
            </w:r>
            <w:r w:rsidRPr="007C759E">
              <w:rPr>
                <w:color w:val="FF0000"/>
                <w:u w:val="single"/>
                <w:lang w:val="en"/>
              </w:rPr>
              <w:t xml:space="preserve"> </w:t>
            </w:r>
            <w:r w:rsidRPr="007C759E">
              <w:rPr>
                <w:rStyle w:val="hps"/>
                <w:color w:val="FF0000"/>
                <w:u w:val="single"/>
                <w:lang w:val="en"/>
              </w:rPr>
              <w:t>cannot be excluded</w:t>
            </w:r>
            <w:r w:rsidRPr="007C759E">
              <w:rPr>
                <w:color w:val="FF0000"/>
                <w:u w:val="single"/>
                <w:lang w:val="en"/>
              </w:rPr>
              <w:t xml:space="preserve">, </w:t>
            </w:r>
            <w:r w:rsidRPr="007C759E">
              <w:rPr>
                <w:rStyle w:val="hps"/>
                <w:color w:val="FF0000"/>
                <w:u w:val="single"/>
                <w:lang w:val="en"/>
              </w:rPr>
              <w:t>absorbent material in</w:t>
            </w:r>
            <w:r w:rsidRPr="007C759E">
              <w:rPr>
                <w:color w:val="FF0000"/>
                <w:u w:val="single"/>
                <w:lang w:val="en"/>
              </w:rPr>
              <w:t xml:space="preserve"> </w:t>
            </w:r>
            <w:r w:rsidRPr="007C759E">
              <w:rPr>
                <w:rStyle w:val="hps"/>
                <w:color w:val="FF0000"/>
                <w:u w:val="single"/>
                <w:lang w:val="en"/>
              </w:rPr>
              <w:t>sufficient quantity to absorb</w:t>
            </w:r>
            <w:r w:rsidRPr="007C759E">
              <w:rPr>
                <w:color w:val="FF0000"/>
                <w:u w:val="single"/>
                <w:lang w:val="en"/>
              </w:rPr>
              <w:t xml:space="preserve"> </w:t>
            </w:r>
            <w:r w:rsidRPr="007C759E">
              <w:rPr>
                <w:rStyle w:val="hps"/>
                <w:color w:val="FF0000"/>
                <w:u w:val="single"/>
                <w:lang w:val="en"/>
              </w:rPr>
              <w:t>all the liquid</w:t>
            </w:r>
            <w:r w:rsidRPr="007C759E">
              <w:rPr>
                <w:color w:val="FF0000"/>
                <w:u w:val="single"/>
                <w:lang w:val="en"/>
              </w:rPr>
              <w:t xml:space="preserve"> </w:t>
            </w:r>
            <w:r w:rsidRPr="007C759E">
              <w:rPr>
                <w:rStyle w:val="hps"/>
                <w:color w:val="FF0000"/>
                <w:u w:val="single"/>
                <w:lang w:val="en"/>
              </w:rPr>
              <w:t>that may be present</w:t>
            </w:r>
            <w:r w:rsidRPr="007C759E">
              <w:rPr>
                <w:color w:val="FF0000"/>
                <w:u w:val="single"/>
                <w:lang w:val="en"/>
              </w:rPr>
              <w:t xml:space="preserve"> </w:t>
            </w:r>
            <w:r w:rsidRPr="007C759E">
              <w:rPr>
                <w:rStyle w:val="hps"/>
                <w:color w:val="FF0000"/>
                <w:u w:val="single"/>
                <w:lang w:val="en"/>
              </w:rPr>
              <w:t>shall be used.</w:t>
            </w:r>
            <w:r w:rsidRPr="007C759E">
              <w:rPr>
                <w:rStyle w:val="hps"/>
                <w:rFonts w:ascii="Arial" w:hAnsi="Arial" w:cs="Arial"/>
                <w:color w:val="FF0000"/>
                <w:u w:val="single"/>
                <w:lang w:val="en"/>
              </w:rPr>
              <w:t xml:space="preserve"> </w:t>
            </w:r>
            <w:r w:rsidRPr="007C759E">
              <w:rPr>
                <w:color w:val="FF0000"/>
                <w:u w:val="single"/>
                <w:lang w:val="en-CA"/>
              </w:rPr>
              <w:t xml:space="preserve"> </w:t>
            </w:r>
            <w:proofErr w:type="spellStart"/>
            <w:r w:rsidRPr="007C759E">
              <w:rPr>
                <w:color w:val="FF0000"/>
                <w:u w:val="single"/>
                <w:lang w:val="en-CA"/>
              </w:rPr>
              <w:t>Packagings</w:t>
            </w:r>
            <w:proofErr w:type="spellEnd"/>
            <w:r w:rsidRPr="007C759E">
              <w:rPr>
                <w:color w:val="FF0000"/>
                <w:u w:val="single"/>
                <w:lang w:val="en-CA"/>
              </w:rPr>
              <w:t xml:space="preserve"> shall be capable of retaining liquids.</w:t>
            </w:r>
            <w:r w:rsidRPr="007C759E">
              <w:rPr>
                <w:color w:val="FF0000"/>
                <w:lang w:val="en-CA"/>
              </w:rPr>
              <w:t> </w:t>
            </w:r>
          </w:p>
        </w:tc>
      </w:tr>
      <w:tr w:rsidR="00C40508" w:rsidRPr="00F53E38" w:rsidTr="00D15B18">
        <w:tc>
          <w:tcPr>
            <w:tcW w:w="9643" w:type="dxa"/>
            <w:gridSpan w:val="3"/>
          </w:tcPr>
          <w:p w:rsidR="00C40508" w:rsidRPr="00F53E38" w:rsidRDefault="00C40508" w:rsidP="00D15B18">
            <w:pPr>
              <w:spacing w:before="60" w:after="60" w:line="240" w:lineRule="auto"/>
              <w:rPr>
                <w:lang w:val="en-CA"/>
              </w:rPr>
            </w:pPr>
            <w:r w:rsidRPr="00F53E38">
              <w:rPr>
                <w:lang w:val="en-CA"/>
              </w:rPr>
              <w:lastRenderedPageBreak/>
              <w:t xml:space="preserve">2) </w:t>
            </w:r>
            <w:r w:rsidRPr="00F53E38">
              <w:rPr>
                <w:strike/>
                <w:color w:val="FF0000"/>
                <w:lang w:val="en-CA"/>
              </w:rPr>
              <w:t>For packages containing larger quantities of liquid</w:t>
            </w:r>
            <w:r w:rsidRPr="00F53E38">
              <w:rPr>
                <w:color w:val="FF0000"/>
                <w:lang w:val="en-CA"/>
              </w:rPr>
              <w:t>:</w:t>
            </w:r>
            <w:r w:rsidRPr="0088726B">
              <w:rPr>
                <w:rStyle w:val="hps"/>
                <w:color w:val="FF0000"/>
                <w:u w:val="single"/>
                <w:lang w:val="en"/>
              </w:rPr>
              <w:t xml:space="preserve"> If liquid</w:t>
            </w:r>
            <w:r w:rsidRPr="0088726B">
              <w:rPr>
                <w:rStyle w:val="shorttext"/>
                <w:color w:val="FF0000"/>
                <w:u w:val="single"/>
                <w:lang w:val="en"/>
              </w:rPr>
              <w:t xml:space="preserve"> is visible </w:t>
            </w:r>
            <w:r w:rsidRPr="0088726B">
              <w:rPr>
                <w:rStyle w:val="hps"/>
                <w:color w:val="FF0000"/>
                <w:u w:val="single"/>
                <w:lang w:val="en"/>
              </w:rPr>
              <w:t>when filling</w:t>
            </w:r>
            <w:r w:rsidRPr="0088726B">
              <w:rPr>
                <w:rStyle w:val="shorttext"/>
                <w:color w:val="FF0000"/>
                <w:u w:val="single"/>
                <w:lang w:val="en"/>
              </w:rPr>
              <w:t xml:space="preserve"> the </w:t>
            </w:r>
            <w:r w:rsidRPr="0088726B">
              <w:rPr>
                <w:rStyle w:val="hps"/>
                <w:color w:val="FF0000"/>
                <w:u w:val="single"/>
                <w:lang w:val="en"/>
              </w:rPr>
              <w:t>packaging</w:t>
            </w:r>
            <w:r w:rsidRPr="0088726B">
              <w:rPr>
                <w:color w:val="FF0000"/>
                <w:u w:val="single"/>
                <w:lang w:val="en-CA"/>
              </w:rPr>
              <w:t>:</w:t>
            </w:r>
          </w:p>
          <w:p w:rsidR="00C40508" w:rsidRPr="00366DFB" w:rsidRDefault="00C40508" w:rsidP="00D15B18">
            <w:pPr>
              <w:spacing w:before="60" w:after="60" w:line="240" w:lineRule="auto"/>
              <w:rPr>
                <w:lang w:val="en-CA"/>
              </w:rPr>
            </w:pPr>
            <w:r w:rsidRPr="00F53E38">
              <w:rPr>
                <w:lang w:val="en-CA"/>
              </w:rPr>
              <w:t xml:space="preserve">            </w:t>
            </w:r>
            <w:r>
              <w:rPr>
                <w:lang w:val="en-CA"/>
              </w:rPr>
              <w:t>Drums</w:t>
            </w:r>
            <w:r w:rsidRPr="00A265EC">
              <w:rPr>
                <w:lang w:val="en-CA"/>
              </w:rPr>
              <w:t xml:space="preserve"> (</w:t>
            </w:r>
            <w:r w:rsidRPr="00366DFB">
              <w:rPr>
                <w:lang w:val="en-CA"/>
              </w:rPr>
              <w:t>1A1, 1A2, 1B1, 1B2, 1N1, 1N2, 1H1, 1H2</w:t>
            </w:r>
            <w:r w:rsidRPr="00366DFB">
              <w:rPr>
                <w:strike/>
                <w:color w:val="FF0000"/>
                <w:lang w:val="en-CA"/>
              </w:rPr>
              <w:t>, 1D, 1G</w:t>
            </w:r>
            <w:r w:rsidRPr="00366DFB">
              <w:rPr>
                <w:lang w:val="en-CA"/>
              </w:rPr>
              <w:t xml:space="preserve">); </w:t>
            </w:r>
          </w:p>
          <w:p w:rsidR="00C40508" w:rsidRPr="00366DFB" w:rsidRDefault="00C40508" w:rsidP="00D15B18">
            <w:pPr>
              <w:spacing w:before="60" w:after="60" w:line="240" w:lineRule="auto"/>
              <w:rPr>
                <w:lang w:val="en-CA"/>
              </w:rPr>
            </w:pPr>
            <w:r w:rsidRPr="00366DFB">
              <w:rPr>
                <w:lang w:val="en-CA"/>
              </w:rPr>
              <w:t xml:space="preserve">            </w:t>
            </w:r>
            <w:proofErr w:type="spellStart"/>
            <w:r>
              <w:rPr>
                <w:lang w:val="en-CA"/>
              </w:rPr>
              <w:t>Jerricans</w:t>
            </w:r>
            <w:proofErr w:type="spellEnd"/>
            <w:r w:rsidRPr="00366DFB">
              <w:rPr>
                <w:lang w:val="en-CA"/>
              </w:rPr>
              <w:t xml:space="preserve"> (3A1, 3A2, 3B1, 3B2, 3H1, 3H2) ;</w:t>
            </w:r>
          </w:p>
          <w:p w:rsidR="00C40508" w:rsidRPr="00366DFB" w:rsidRDefault="00C40508" w:rsidP="00D15B18">
            <w:pPr>
              <w:spacing w:before="60" w:after="60" w:line="240" w:lineRule="auto"/>
              <w:rPr>
                <w:lang w:val="en-CA"/>
              </w:rPr>
            </w:pPr>
            <w:r w:rsidRPr="00366DFB">
              <w:rPr>
                <w:lang w:val="en-CA"/>
              </w:rPr>
              <w:t xml:space="preserve">            </w:t>
            </w:r>
            <w:r>
              <w:rPr>
                <w:lang w:val="en-CA"/>
              </w:rPr>
              <w:t>Composites</w:t>
            </w:r>
            <w:r w:rsidRPr="00366DFB">
              <w:rPr>
                <w:lang w:val="en-CA"/>
              </w:rPr>
              <w:t xml:space="preserve"> (6HA1, 6HB1, 6HG1, 6HH1, 6HD1, 6HA2, 6HB2, 6HC, 6HD2, 6HG2, 6HH2, 6PA1,</w:t>
            </w:r>
          </w:p>
          <w:p w:rsidR="00C40508" w:rsidRPr="00366DFB" w:rsidRDefault="00C40508" w:rsidP="00D15B18">
            <w:pPr>
              <w:spacing w:before="60" w:after="60" w:line="240" w:lineRule="auto"/>
              <w:rPr>
                <w:b/>
                <w:lang w:val="en-CA"/>
              </w:rPr>
            </w:pPr>
            <w:r w:rsidRPr="00366DFB">
              <w:rPr>
                <w:lang w:val="en-CA"/>
              </w:rPr>
              <w:t xml:space="preserve">            6PB1, 6PG1, 6PD1, 6PH1, 6PH2, 6PA2, </w:t>
            </w:r>
            <w:r>
              <w:rPr>
                <w:lang w:val="en-CA"/>
              </w:rPr>
              <w:t>6PB2, 6PC, 6PG2 or</w:t>
            </w:r>
            <w:r w:rsidRPr="00366DFB">
              <w:rPr>
                <w:lang w:val="en-CA"/>
              </w:rPr>
              <w:t xml:space="preserve"> 6PD2).</w:t>
            </w:r>
          </w:p>
          <w:p w:rsidR="00C40508" w:rsidRPr="00F53E38" w:rsidRDefault="00C40508" w:rsidP="00D15B18">
            <w:pPr>
              <w:spacing w:before="60" w:after="60" w:line="240" w:lineRule="auto"/>
              <w:rPr>
                <w:lang w:val="en-CA"/>
              </w:rPr>
            </w:pPr>
            <w:proofErr w:type="spellStart"/>
            <w:r w:rsidRPr="00F53E38">
              <w:rPr>
                <w:lang w:val="en-CA"/>
              </w:rPr>
              <w:t>Packagings</w:t>
            </w:r>
            <w:proofErr w:type="spellEnd"/>
            <w:r w:rsidRPr="00F53E38">
              <w:rPr>
                <w:lang w:val="en-CA"/>
              </w:rPr>
              <w:t xml:space="preserve"> shall conform to the packing group II performance level for liquids.  </w:t>
            </w:r>
          </w:p>
        </w:tc>
      </w:tr>
      <w:tr w:rsidR="00C40508" w:rsidRPr="004602C5" w:rsidTr="00D15B18">
        <w:trPr>
          <w:trHeight w:val="244"/>
        </w:trPr>
        <w:tc>
          <w:tcPr>
            <w:tcW w:w="9643" w:type="dxa"/>
            <w:gridSpan w:val="3"/>
            <w:tcBorders>
              <w:top w:val="single" w:sz="4" w:space="0" w:color="000000"/>
              <w:bottom w:val="nil"/>
            </w:tcBorders>
          </w:tcPr>
          <w:p w:rsidR="00C40508" w:rsidRPr="006E7D5A" w:rsidRDefault="00C40508" w:rsidP="00D15B18">
            <w:pPr>
              <w:spacing w:before="60" w:after="60" w:line="240" w:lineRule="auto"/>
            </w:pPr>
            <w:r>
              <w:rPr>
                <w:b/>
              </w:rPr>
              <w:t>Additional requirement</w:t>
            </w:r>
            <w:r w:rsidRPr="006E7D5A">
              <w:t>:</w:t>
            </w:r>
          </w:p>
        </w:tc>
      </w:tr>
      <w:tr w:rsidR="00C40508" w:rsidRPr="00F53E38" w:rsidTr="00D15B18">
        <w:trPr>
          <w:trHeight w:val="360"/>
        </w:trPr>
        <w:tc>
          <w:tcPr>
            <w:tcW w:w="9643" w:type="dxa"/>
            <w:gridSpan w:val="3"/>
            <w:tcBorders>
              <w:top w:val="nil"/>
            </w:tcBorders>
            <w:vAlign w:val="center"/>
          </w:tcPr>
          <w:p w:rsidR="00C40508" w:rsidRPr="00F53E38" w:rsidRDefault="00C40508" w:rsidP="00D15B18">
            <w:pPr>
              <w:spacing w:before="60" w:after="60" w:line="240" w:lineRule="auto"/>
              <w:rPr>
                <w:b/>
                <w:lang w:val="en-CA"/>
              </w:rPr>
            </w:pPr>
            <w:proofErr w:type="spellStart"/>
            <w:r w:rsidRPr="00F53E38">
              <w:rPr>
                <w:lang w:val="en-CA"/>
              </w:rPr>
              <w:t>Packaging</w:t>
            </w:r>
            <w:r>
              <w:rPr>
                <w:lang w:val="en-CA"/>
              </w:rPr>
              <w:t>s</w:t>
            </w:r>
            <w:proofErr w:type="spellEnd"/>
            <w:r w:rsidRPr="00F53E38">
              <w:rPr>
                <w:lang w:val="en-CA"/>
              </w:rPr>
              <w:t xml:space="preserve"> intended to contain sharp objects such as broken glass and needles shall be resistant to puncture and retain liquids under the performance test conditions in Chapter 6.1.</w:t>
            </w:r>
          </w:p>
        </w:tc>
      </w:tr>
    </w:tbl>
    <w:p w:rsidR="00C40508" w:rsidRDefault="00C40508" w:rsidP="00C40508">
      <w:pPr>
        <w:pStyle w:val="H1G"/>
        <w:rPr>
          <w:lang w:val="en"/>
        </w:rPr>
      </w:pPr>
      <w:r>
        <w:rPr>
          <w:lang w:val="en"/>
        </w:rPr>
        <w:tab/>
      </w:r>
      <w:r>
        <w:rPr>
          <w:lang w:val="en"/>
        </w:rPr>
        <w:tab/>
      </w:r>
      <w:r w:rsidR="00FF19A2">
        <w:rPr>
          <w:lang w:val="en"/>
        </w:rPr>
        <w:t>Packing instruction IBC</w:t>
      </w:r>
      <w:r w:rsidRPr="00BA0D70">
        <w:rPr>
          <w:lang w:val="en"/>
        </w:rPr>
        <w:t>620</w:t>
      </w:r>
    </w:p>
    <w:p w:rsidR="00C40508" w:rsidRDefault="00C40508" w:rsidP="00C40508">
      <w:pPr>
        <w:pStyle w:val="SingleTxtG"/>
      </w:pPr>
      <w:r>
        <w:t>10.</w:t>
      </w:r>
      <w:r>
        <w:tab/>
      </w:r>
      <w:r w:rsidRPr="00BA0D70">
        <w:t xml:space="preserve">The expert recommends </w:t>
      </w:r>
      <w:r>
        <w:t xml:space="preserve">removing </w:t>
      </w:r>
      <w:r w:rsidRPr="00BA0D70">
        <w:t xml:space="preserve">the </w:t>
      </w:r>
      <w:r>
        <w:t>sentence</w:t>
      </w:r>
      <w:r w:rsidRPr="00BA0D70">
        <w:t xml:space="preserve"> "rigid, </w:t>
      </w:r>
      <w:proofErr w:type="spellStart"/>
      <w:r w:rsidRPr="00BA0D70">
        <w:t>leakproof</w:t>
      </w:r>
      <w:proofErr w:type="spellEnd"/>
      <w:r w:rsidRPr="00BA0D70">
        <w:t xml:space="preserve"> IBCs conforming to the perfor</w:t>
      </w:r>
      <w:r>
        <w:t>mance level of PG II" and dividing</w:t>
      </w:r>
      <w:r w:rsidRPr="00BA0D70">
        <w:t xml:space="preserve"> the </w:t>
      </w:r>
      <w:r>
        <w:t>instruction</w:t>
      </w:r>
      <w:r w:rsidRPr="00BA0D70">
        <w:t xml:space="preserve"> into two parts as in packing instruction</w:t>
      </w:r>
      <w:r>
        <w:t xml:space="preserve"> P621</w:t>
      </w:r>
      <w:r w:rsidRPr="00BA0D70">
        <w:t xml:space="preserve">. In addition, by making this change, </w:t>
      </w:r>
      <w:r w:rsidR="00FF19A2">
        <w:t>a</w:t>
      </w:r>
      <w:r w:rsidRPr="00BA0D70">
        <w:t xml:space="preserve">dditional </w:t>
      </w:r>
      <w:r>
        <w:t>requirements</w:t>
      </w:r>
      <w:r w:rsidRPr="00BA0D70">
        <w:t xml:space="preserve"> 1 and 2 can be </w:t>
      </w:r>
      <w:proofErr w:type="gramStart"/>
      <w:r w:rsidRPr="00BA0D70">
        <w:t>eliminated</w:t>
      </w:r>
      <w:proofErr w:type="gramEnd"/>
      <w:r w:rsidRPr="00BA0D70">
        <w:t xml:space="preserve"> as these requirements will be included in the first part of the </w:t>
      </w:r>
      <w:r>
        <w:t>instruction</w:t>
      </w:r>
      <w:r w:rsidRPr="00BA0D70">
        <w:t xml:space="preserve"> </w:t>
      </w:r>
      <w:r>
        <w:t>pertaining to</w:t>
      </w:r>
      <w:r w:rsidRPr="00BA0D70">
        <w:t xml:space="preserve"> IBC</w:t>
      </w:r>
      <w:r>
        <w:t>s</w:t>
      </w:r>
      <w:r w:rsidRPr="00BA0D70">
        <w:t xml:space="preserve"> tested for solids.</w:t>
      </w:r>
    </w:p>
    <w:p w:rsidR="00C40508" w:rsidRDefault="00C40508" w:rsidP="00C40508">
      <w:pPr>
        <w:pStyle w:val="SingleTxtG"/>
      </w:pPr>
      <w:r>
        <w:t>11.</w:t>
      </w:r>
      <w:r>
        <w:tab/>
      </w:r>
      <w:r w:rsidRPr="00BA0D70">
        <w:t xml:space="preserve">The expert from Canada also proposes to </w:t>
      </w:r>
      <w:r w:rsidR="00FF19A2">
        <w:t>amend a</w:t>
      </w:r>
      <w:r w:rsidRPr="00BA0D70">
        <w:t xml:space="preserve">dditional </w:t>
      </w:r>
      <w:r>
        <w:t xml:space="preserve">requirement 3 </w:t>
      </w:r>
      <w:r w:rsidRPr="00BA0D70">
        <w:t xml:space="preserve">to indicate that IBCs intended to contain sharp objects must be able to retain liquids under the performance test conditions in Chapter 6.5. This requirement </w:t>
      </w:r>
      <w:proofErr w:type="gramStart"/>
      <w:r w:rsidRPr="00BA0D70">
        <w:t>is found</w:t>
      </w:r>
      <w:proofErr w:type="gramEnd"/>
      <w:r w:rsidRPr="00BA0D70">
        <w:t xml:space="preserve"> in packing instructions P621 and LP621 but does not ap</w:t>
      </w:r>
      <w:r w:rsidR="00FF19A2">
        <w:t>pear in packing instruction IBC</w:t>
      </w:r>
      <w:r w:rsidRPr="00BA0D70">
        <w:t>620.</w:t>
      </w:r>
    </w:p>
    <w:p w:rsidR="00C40508" w:rsidRDefault="00C40508" w:rsidP="00C40508">
      <w:pPr>
        <w:pStyle w:val="SingleTxtG"/>
        <w:rPr>
          <w:color w:val="222222"/>
          <w:lang w:val="en"/>
        </w:rPr>
      </w:pPr>
      <w:r>
        <w:rPr>
          <w:color w:val="222222"/>
          <w:lang w:val="en"/>
        </w:rPr>
        <w:t>12.</w:t>
      </w:r>
      <w:r>
        <w:rPr>
          <w:color w:val="222222"/>
          <w:lang w:val="en"/>
        </w:rPr>
        <w:tab/>
      </w:r>
      <w:r w:rsidRPr="000862FB">
        <w:rPr>
          <w:color w:val="222222"/>
          <w:lang w:val="en"/>
        </w:rPr>
        <w:t>Following the</w:t>
      </w:r>
      <w:r>
        <w:rPr>
          <w:color w:val="222222"/>
          <w:lang w:val="en"/>
        </w:rPr>
        <w:t>se changes</w:t>
      </w:r>
      <w:r w:rsidRPr="000862FB">
        <w:rPr>
          <w:color w:val="222222"/>
          <w:lang w:val="en"/>
        </w:rPr>
        <w:t>, the packing instruction</w:t>
      </w:r>
      <w:r>
        <w:rPr>
          <w:color w:val="222222"/>
          <w:lang w:val="en"/>
        </w:rPr>
        <w:t xml:space="preserve"> IBC620</w:t>
      </w:r>
      <w:r w:rsidRPr="000862FB">
        <w:rPr>
          <w:color w:val="222222"/>
          <w:lang w:val="en"/>
        </w:rPr>
        <w:t xml:space="preserve"> would read as follows:  </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7938"/>
        <w:gridCol w:w="850"/>
      </w:tblGrid>
      <w:tr w:rsidR="00C40508" w:rsidRPr="004602C5" w:rsidTr="00D15B18">
        <w:tc>
          <w:tcPr>
            <w:tcW w:w="855" w:type="dxa"/>
            <w:tcBorders>
              <w:bottom w:val="single" w:sz="4" w:space="0" w:color="000000"/>
            </w:tcBorders>
          </w:tcPr>
          <w:p w:rsidR="00C40508" w:rsidRPr="004602C5" w:rsidRDefault="00C40508" w:rsidP="00D15B18">
            <w:pPr>
              <w:spacing w:before="60" w:after="60" w:line="240" w:lineRule="auto"/>
              <w:rPr>
                <w:b/>
                <w:bCs/>
              </w:rPr>
            </w:pPr>
            <w:r>
              <w:rPr>
                <w:b/>
              </w:rPr>
              <w:t>IBC620</w:t>
            </w:r>
          </w:p>
        </w:tc>
        <w:tc>
          <w:tcPr>
            <w:tcW w:w="7938" w:type="dxa"/>
            <w:tcBorders>
              <w:bottom w:val="single" w:sz="4" w:space="0" w:color="000000"/>
            </w:tcBorders>
          </w:tcPr>
          <w:p w:rsidR="00C40508" w:rsidRPr="004602C5" w:rsidRDefault="00C40508" w:rsidP="00D15B18">
            <w:pPr>
              <w:spacing w:before="60" w:after="60" w:line="240" w:lineRule="auto"/>
              <w:jc w:val="center"/>
              <w:rPr>
                <w:b/>
                <w:bCs/>
              </w:rPr>
            </w:pPr>
            <w:r w:rsidRPr="00873A93">
              <w:rPr>
                <w:b/>
                <w:bCs/>
              </w:rPr>
              <w:t>PACKING INSTRUCTION</w:t>
            </w:r>
          </w:p>
        </w:tc>
        <w:tc>
          <w:tcPr>
            <w:tcW w:w="850" w:type="dxa"/>
            <w:tcBorders>
              <w:bottom w:val="single" w:sz="4" w:space="0" w:color="000000"/>
            </w:tcBorders>
          </w:tcPr>
          <w:p w:rsidR="00C40508" w:rsidRPr="004602C5" w:rsidRDefault="00C40508" w:rsidP="00D15B18">
            <w:pPr>
              <w:spacing w:before="60" w:after="60" w:line="240" w:lineRule="auto"/>
              <w:jc w:val="right"/>
              <w:rPr>
                <w:b/>
                <w:bCs/>
              </w:rPr>
            </w:pPr>
            <w:r>
              <w:rPr>
                <w:b/>
              </w:rPr>
              <w:t>IBC620</w:t>
            </w:r>
          </w:p>
        </w:tc>
      </w:tr>
      <w:tr w:rsidR="00C40508" w:rsidRPr="00A30474" w:rsidTr="00D15B18">
        <w:tc>
          <w:tcPr>
            <w:tcW w:w="9643" w:type="dxa"/>
            <w:gridSpan w:val="3"/>
            <w:tcBorders>
              <w:top w:val="single" w:sz="4" w:space="0" w:color="000000"/>
              <w:bottom w:val="single" w:sz="4" w:space="0" w:color="000000"/>
            </w:tcBorders>
          </w:tcPr>
          <w:p w:rsidR="00C40508" w:rsidRPr="00A30474" w:rsidRDefault="00C40508" w:rsidP="00D15B18">
            <w:pPr>
              <w:spacing w:before="60" w:after="60" w:line="240" w:lineRule="auto"/>
              <w:rPr>
                <w:lang w:val="en-CA"/>
              </w:rPr>
            </w:pPr>
            <w:r w:rsidRPr="00873A93">
              <w:rPr>
                <w:lang w:val="en-CA"/>
              </w:rPr>
              <w:t>This in</w:t>
            </w:r>
            <w:r>
              <w:rPr>
                <w:lang w:val="en-CA"/>
              </w:rPr>
              <w:t>struction applies to UN No. 3291</w:t>
            </w:r>
            <w:r w:rsidRPr="00873A93">
              <w:rPr>
                <w:lang w:val="en-CA"/>
              </w:rPr>
              <w:t>.</w:t>
            </w:r>
          </w:p>
        </w:tc>
      </w:tr>
      <w:tr w:rsidR="00C40508" w:rsidRPr="00A30474" w:rsidTr="00D15B18">
        <w:tc>
          <w:tcPr>
            <w:tcW w:w="9643" w:type="dxa"/>
            <w:gridSpan w:val="3"/>
            <w:tcBorders>
              <w:top w:val="single" w:sz="4" w:space="0" w:color="000000"/>
            </w:tcBorders>
          </w:tcPr>
          <w:p w:rsidR="00C40508" w:rsidRPr="000862FB" w:rsidRDefault="00C40508" w:rsidP="00D15B18">
            <w:pPr>
              <w:spacing w:before="60" w:after="60" w:line="240" w:lineRule="auto"/>
              <w:rPr>
                <w:lang w:val="en-CA"/>
              </w:rPr>
            </w:pPr>
            <w:r>
              <w:rPr>
                <w:lang w:val="en-CA"/>
              </w:rPr>
              <w:t>The following IBCs</w:t>
            </w:r>
            <w:r w:rsidRPr="00873A93">
              <w:rPr>
                <w:lang w:val="en-CA"/>
              </w:rPr>
              <w:t xml:space="preserve"> are authorized, provided that the general provisions of </w:t>
            </w:r>
            <w:r w:rsidRPr="00873A93">
              <w:rPr>
                <w:b/>
                <w:lang w:val="en-CA"/>
              </w:rPr>
              <w:t>4.1.1</w:t>
            </w:r>
            <w:r>
              <w:rPr>
                <w:b/>
                <w:lang w:val="en-CA"/>
              </w:rPr>
              <w:t xml:space="preserve"> </w:t>
            </w:r>
            <w:r w:rsidRPr="000862FB">
              <w:rPr>
                <w:lang w:val="en-CA"/>
              </w:rPr>
              <w:t>except 4.1.1.15</w:t>
            </w:r>
            <w:r>
              <w:rPr>
                <w:lang w:val="en-CA"/>
              </w:rPr>
              <w:t>,</w:t>
            </w:r>
            <w:r w:rsidRPr="00873A93">
              <w:rPr>
                <w:lang w:val="en-CA"/>
              </w:rPr>
              <w:t xml:space="preserve"> </w:t>
            </w:r>
            <w:r w:rsidRPr="00A30474">
              <w:rPr>
                <w:b/>
                <w:lang w:val="en-CA"/>
              </w:rPr>
              <w:t>4.1.2</w:t>
            </w:r>
            <w:r>
              <w:rPr>
                <w:lang w:val="en-CA"/>
              </w:rPr>
              <w:t xml:space="preserve"> </w:t>
            </w:r>
            <w:r w:rsidRPr="00873A93">
              <w:rPr>
                <w:lang w:val="en-CA"/>
              </w:rPr>
              <w:t xml:space="preserve">and </w:t>
            </w:r>
            <w:r w:rsidRPr="00873A93">
              <w:rPr>
                <w:b/>
                <w:lang w:val="en-CA"/>
              </w:rPr>
              <w:t xml:space="preserve">4.1.3 </w:t>
            </w:r>
            <w:r w:rsidRPr="00873A93">
              <w:rPr>
                <w:lang w:val="en-CA"/>
              </w:rPr>
              <w:t>are met:</w:t>
            </w:r>
          </w:p>
          <w:p w:rsidR="00C40508" w:rsidRPr="00A30474" w:rsidRDefault="00C40508" w:rsidP="00D15B18">
            <w:pPr>
              <w:spacing w:before="60" w:after="60" w:line="240" w:lineRule="auto"/>
              <w:rPr>
                <w:lang w:val="en-CA"/>
              </w:rPr>
            </w:pPr>
          </w:p>
        </w:tc>
      </w:tr>
      <w:tr w:rsidR="00C40508" w:rsidRPr="00C0328F" w:rsidTr="00D15B18">
        <w:tc>
          <w:tcPr>
            <w:tcW w:w="9643" w:type="dxa"/>
            <w:gridSpan w:val="3"/>
          </w:tcPr>
          <w:p w:rsidR="00C40508" w:rsidRPr="00A30474" w:rsidRDefault="00C40508" w:rsidP="00D15B18">
            <w:pPr>
              <w:spacing w:before="60" w:after="60" w:line="240" w:lineRule="auto"/>
              <w:rPr>
                <w:strike/>
                <w:color w:val="FF0000"/>
                <w:lang w:val="en-CA"/>
              </w:rPr>
            </w:pPr>
            <w:r w:rsidRPr="00A30474">
              <w:rPr>
                <w:strike/>
                <w:color w:val="FF0000"/>
                <w:lang w:val="en-CA"/>
              </w:rPr>
              <w:t xml:space="preserve">Rigid, </w:t>
            </w:r>
            <w:proofErr w:type="spellStart"/>
            <w:r w:rsidRPr="00A30474">
              <w:rPr>
                <w:strike/>
                <w:color w:val="FF0000"/>
                <w:lang w:val="en-CA"/>
              </w:rPr>
              <w:t>leakproof</w:t>
            </w:r>
            <w:proofErr w:type="spellEnd"/>
            <w:r w:rsidRPr="00A30474">
              <w:rPr>
                <w:strike/>
                <w:color w:val="FF0000"/>
                <w:lang w:val="en-CA"/>
              </w:rPr>
              <w:t xml:space="preserve"> IBCs conforming to the packing group II performance level.</w:t>
            </w:r>
          </w:p>
          <w:p w:rsidR="00C40508" w:rsidRPr="008F2D49" w:rsidRDefault="00C40508" w:rsidP="00D15B18">
            <w:pPr>
              <w:spacing w:before="60" w:after="60" w:line="240" w:lineRule="auto"/>
              <w:rPr>
                <w:color w:val="FF0000"/>
                <w:u w:val="single"/>
                <w:lang w:val="en-CA"/>
              </w:rPr>
            </w:pPr>
            <w:r w:rsidRPr="008F2D49">
              <w:rPr>
                <w:color w:val="FF0000"/>
                <w:u w:val="single"/>
                <w:lang w:val="en-CA"/>
              </w:rPr>
              <w:t xml:space="preserve">1) </w:t>
            </w:r>
            <w:r w:rsidRPr="008F2D49">
              <w:rPr>
                <w:rStyle w:val="hps"/>
                <w:color w:val="FF0000"/>
                <w:u w:val="single"/>
                <w:lang w:val="en"/>
              </w:rPr>
              <w:t>If</w:t>
            </w:r>
            <w:r w:rsidRPr="008F2D49">
              <w:rPr>
                <w:color w:val="FF0000"/>
                <w:u w:val="single"/>
                <w:lang w:val="en"/>
              </w:rPr>
              <w:t xml:space="preserve"> </w:t>
            </w:r>
            <w:r w:rsidRPr="008F2D49">
              <w:rPr>
                <w:rStyle w:val="hps"/>
                <w:color w:val="FF0000"/>
                <w:u w:val="single"/>
                <w:lang w:val="en"/>
              </w:rPr>
              <w:t>no liquid is</w:t>
            </w:r>
            <w:r w:rsidRPr="008F2D49">
              <w:rPr>
                <w:color w:val="FF0000"/>
                <w:u w:val="single"/>
                <w:lang w:val="en"/>
              </w:rPr>
              <w:t xml:space="preserve"> </w:t>
            </w:r>
            <w:r w:rsidRPr="008F2D49">
              <w:rPr>
                <w:rStyle w:val="hps"/>
                <w:color w:val="FF0000"/>
                <w:u w:val="single"/>
                <w:lang w:val="en"/>
              </w:rPr>
              <w:t>visible</w:t>
            </w:r>
            <w:r w:rsidRPr="008F2D49">
              <w:rPr>
                <w:color w:val="FF0000"/>
                <w:u w:val="single"/>
                <w:lang w:val="en"/>
              </w:rPr>
              <w:t xml:space="preserve"> when </w:t>
            </w:r>
            <w:r w:rsidRPr="008F2D49">
              <w:rPr>
                <w:rStyle w:val="hps"/>
                <w:color w:val="FF0000"/>
                <w:u w:val="single"/>
                <w:lang w:val="en"/>
              </w:rPr>
              <w:t>filling the IBC</w:t>
            </w:r>
            <w:r w:rsidRPr="008F2D49">
              <w:rPr>
                <w:color w:val="FF0000"/>
                <w:u w:val="single"/>
                <w:lang w:val="en-CA"/>
              </w:rPr>
              <w:t>:</w:t>
            </w:r>
          </w:p>
          <w:p w:rsidR="00C40508" w:rsidRPr="008F2D49" w:rsidRDefault="00C40508" w:rsidP="00D15B18">
            <w:pPr>
              <w:ind w:left="360" w:hanging="360"/>
              <w:rPr>
                <w:color w:val="FF0000"/>
                <w:u w:val="single"/>
                <w:lang w:val="en-CA"/>
              </w:rPr>
            </w:pPr>
            <w:r w:rsidRPr="008F2D49">
              <w:rPr>
                <w:color w:val="FF0000"/>
                <w:u w:val="single"/>
                <w:lang w:val="en-CA"/>
              </w:rPr>
              <w:t xml:space="preserve">           Metal  (11A, 11B, 11N, 21A, 21B, 21N);</w:t>
            </w:r>
          </w:p>
          <w:p w:rsidR="00C40508" w:rsidRPr="008F2D49" w:rsidRDefault="00C40508" w:rsidP="00D15B18">
            <w:pPr>
              <w:ind w:left="360" w:hanging="360"/>
              <w:rPr>
                <w:color w:val="FF0000"/>
                <w:u w:val="single"/>
                <w:lang w:val="en-CA"/>
              </w:rPr>
            </w:pPr>
            <w:r w:rsidRPr="008F2D49">
              <w:rPr>
                <w:color w:val="FF0000"/>
                <w:u w:val="single"/>
                <w:lang w:val="en-CA"/>
              </w:rPr>
              <w:t xml:space="preserve">           Rigid Plastics (11H1, 11H2, 21H1, 21H2);</w:t>
            </w:r>
          </w:p>
          <w:p w:rsidR="00C40508" w:rsidRPr="008F2D49" w:rsidRDefault="00C40508" w:rsidP="00D15B18">
            <w:pPr>
              <w:ind w:left="360" w:hanging="360"/>
              <w:rPr>
                <w:color w:val="FF0000"/>
                <w:u w:val="single"/>
                <w:lang w:val="en-CA"/>
              </w:rPr>
            </w:pPr>
            <w:r w:rsidRPr="008F2D49">
              <w:rPr>
                <w:color w:val="FF0000"/>
                <w:u w:val="single"/>
                <w:lang w:val="en-CA"/>
              </w:rPr>
              <w:t xml:space="preserve">           Composite (11HZ1, 21HZ1);</w:t>
            </w:r>
          </w:p>
          <w:p w:rsidR="00C40508" w:rsidRPr="008F2D49" w:rsidRDefault="00C40508" w:rsidP="00D15B18">
            <w:pPr>
              <w:ind w:left="360" w:hanging="360"/>
              <w:rPr>
                <w:color w:val="FF0000"/>
                <w:u w:val="single"/>
                <w:lang w:val="en-CA"/>
              </w:rPr>
            </w:pPr>
            <w:r w:rsidRPr="008F2D49">
              <w:rPr>
                <w:color w:val="FF0000"/>
                <w:u w:val="single"/>
                <w:lang w:val="en-CA"/>
              </w:rPr>
              <w:t xml:space="preserve">           Fiberboard (11G);</w:t>
            </w:r>
          </w:p>
          <w:p w:rsidR="00C40508" w:rsidRPr="008F2D49" w:rsidRDefault="00C40508" w:rsidP="00D15B18">
            <w:pPr>
              <w:spacing w:before="60" w:after="60" w:line="240" w:lineRule="auto"/>
              <w:rPr>
                <w:color w:val="FF0000"/>
                <w:u w:val="single"/>
                <w:lang w:val="en-CA"/>
              </w:rPr>
            </w:pPr>
            <w:r w:rsidRPr="008F2D49">
              <w:rPr>
                <w:color w:val="FF0000"/>
                <w:u w:val="single"/>
                <w:lang w:val="en-CA"/>
              </w:rPr>
              <w:t xml:space="preserve">           Wood (11C, 11D, 11F).</w:t>
            </w:r>
          </w:p>
          <w:p w:rsidR="00C40508" w:rsidRPr="008F2D49" w:rsidRDefault="00C40508" w:rsidP="00D15B18">
            <w:pPr>
              <w:spacing w:before="60" w:after="60" w:line="240" w:lineRule="auto"/>
              <w:rPr>
                <w:color w:val="FF0000"/>
                <w:u w:val="single"/>
                <w:lang w:val="en-CA"/>
              </w:rPr>
            </w:pPr>
            <w:r w:rsidRPr="008F2D49">
              <w:rPr>
                <w:color w:val="FF0000"/>
                <w:u w:val="single"/>
                <w:lang w:val="en-CA"/>
              </w:rPr>
              <w:t>The IBCs shall conform to the packing group II performance level for solids.</w:t>
            </w:r>
            <w:r w:rsidRPr="008F2D49">
              <w:rPr>
                <w:u w:val="single"/>
                <w:lang w:val="en-CA"/>
              </w:rPr>
              <w:t xml:space="preserve"> </w:t>
            </w:r>
            <w:r w:rsidRPr="008F2D49">
              <w:rPr>
                <w:color w:val="FF0000"/>
                <w:u w:val="single"/>
                <w:lang w:val="en-CA"/>
              </w:rPr>
              <w:t xml:space="preserve"> If</w:t>
            </w:r>
            <w:r w:rsidRPr="008F2D49">
              <w:rPr>
                <w:u w:val="single"/>
                <w:lang w:val="en-CA"/>
              </w:rPr>
              <w:t xml:space="preserve"> </w:t>
            </w:r>
            <w:r w:rsidRPr="008F2D49">
              <w:rPr>
                <w:rStyle w:val="hps"/>
                <w:color w:val="FF0000"/>
                <w:u w:val="single"/>
                <w:lang w:val="en"/>
              </w:rPr>
              <w:t>the presence of residual</w:t>
            </w:r>
            <w:r w:rsidRPr="008F2D49">
              <w:rPr>
                <w:color w:val="FF0000"/>
                <w:u w:val="single"/>
                <w:lang w:val="en"/>
              </w:rPr>
              <w:t xml:space="preserve"> </w:t>
            </w:r>
            <w:r w:rsidRPr="008F2D49">
              <w:rPr>
                <w:rStyle w:val="hps"/>
                <w:color w:val="FF0000"/>
                <w:u w:val="single"/>
                <w:lang w:val="en"/>
              </w:rPr>
              <w:t>liquid</w:t>
            </w:r>
            <w:r w:rsidRPr="008F2D49">
              <w:rPr>
                <w:color w:val="FF0000"/>
                <w:u w:val="single"/>
                <w:lang w:val="en"/>
              </w:rPr>
              <w:t xml:space="preserve"> </w:t>
            </w:r>
            <w:r w:rsidRPr="008F2D49">
              <w:rPr>
                <w:rStyle w:val="hps"/>
                <w:color w:val="FF0000"/>
                <w:u w:val="single"/>
                <w:lang w:val="en"/>
              </w:rPr>
              <w:t>in the IBC</w:t>
            </w:r>
            <w:r w:rsidRPr="008F2D49">
              <w:rPr>
                <w:color w:val="FF0000"/>
                <w:u w:val="single"/>
                <w:lang w:val="en"/>
              </w:rPr>
              <w:t xml:space="preserve"> </w:t>
            </w:r>
            <w:r w:rsidRPr="008F2D49">
              <w:rPr>
                <w:rStyle w:val="hps"/>
                <w:color w:val="FF0000"/>
                <w:u w:val="single"/>
                <w:lang w:val="en"/>
              </w:rPr>
              <w:t>cannot be excluded</w:t>
            </w:r>
            <w:r w:rsidRPr="008F2D49">
              <w:rPr>
                <w:color w:val="FF0000"/>
                <w:u w:val="single"/>
                <w:lang w:val="en"/>
              </w:rPr>
              <w:t xml:space="preserve">, </w:t>
            </w:r>
            <w:r w:rsidRPr="008F2D49">
              <w:rPr>
                <w:rStyle w:val="hps"/>
                <w:color w:val="FF0000"/>
                <w:u w:val="single"/>
                <w:lang w:val="en"/>
              </w:rPr>
              <w:t>absorbent material in</w:t>
            </w:r>
            <w:r w:rsidRPr="008F2D49">
              <w:rPr>
                <w:color w:val="FF0000"/>
                <w:u w:val="single"/>
                <w:lang w:val="en"/>
              </w:rPr>
              <w:t xml:space="preserve"> </w:t>
            </w:r>
            <w:r w:rsidRPr="008F2D49">
              <w:rPr>
                <w:rStyle w:val="hps"/>
                <w:color w:val="FF0000"/>
                <w:u w:val="single"/>
                <w:lang w:val="en"/>
              </w:rPr>
              <w:t>sufficient quantity to absorb</w:t>
            </w:r>
            <w:r w:rsidRPr="008F2D49">
              <w:rPr>
                <w:color w:val="FF0000"/>
                <w:u w:val="single"/>
                <w:lang w:val="en"/>
              </w:rPr>
              <w:t xml:space="preserve"> </w:t>
            </w:r>
            <w:r w:rsidRPr="008F2D49">
              <w:rPr>
                <w:rStyle w:val="hps"/>
                <w:color w:val="FF0000"/>
                <w:u w:val="single"/>
                <w:lang w:val="en"/>
              </w:rPr>
              <w:t>all the liquid</w:t>
            </w:r>
            <w:r w:rsidRPr="008F2D49">
              <w:rPr>
                <w:color w:val="FF0000"/>
                <w:u w:val="single"/>
                <w:lang w:val="en"/>
              </w:rPr>
              <w:t xml:space="preserve"> </w:t>
            </w:r>
            <w:r w:rsidRPr="008F2D49">
              <w:rPr>
                <w:rStyle w:val="hps"/>
                <w:color w:val="FF0000"/>
                <w:u w:val="single"/>
                <w:lang w:val="en"/>
              </w:rPr>
              <w:t>that may be present</w:t>
            </w:r>
            <w:r w:rsidRPr="008F2D49">
              <w:rPr>
                <w:color w:val="FF0000"/>
                <w:u w:val="single"/>
                <w:lang w:val="en"/>
              </w:rPr>
              <w:t xml:space="preserve"> </w:t>
            </w:r>
            <w:r w:rsidRPr="008F2D49">
              <w:rPr>
                <w:rStyle w:val="hps"/>
                <w:color w:val="FF0000"/>
                <w:u w:val="single"/>
                <w:lang w:val="en"/>
              </w:rPr>
              <w:t>shall be used.</w:t>
            </w:r>
            <w:r w:rsidRPr="008F2D49">
              <w:rPr>
                <w:rStyle w:val="hps"/>
                <w:rFonts w:ascii="Arial" w:hAnsi="Arial" w:cs="Arial"/>
                <w:color w:val="222222"/>
                <w:u w:val="single"/>
                <w:lang w:val="en"/>
              </w:rPr>
              <w:t xml:space="preserve"> </w:t>
            </w:r>
            <w:r w:rsidRPr="008F2D49">
              <w:rPr>
                <w:color w:val="FF0000"/>
                <w:u w:val="single"/>
                <w:lang w:val="en-CA"/>
              </w:rPr>
              <w:t xml:space="preserve"> IBCs shall be capable of retaining liquids. </w:t>
            </w:r>
          </w:p>
          <w:p w:rsidR="00C40508" w:rsidRPr="008F2D49" w:rsidRDefault="00C40508" w:rsidP="00D15B18">
            <w:pPr>
              <w:spacing w:before="60" w:after="60" w:line="240" w:lineRule="auto"/>
              <w:rPr>
                <w:color w:val="FF0000"/>
                <w:u w:val="single"/>
                <w:lang w:val="en-CA"/>
              </w:rPr>
            </w:pPr>
            <w:r w:rsidRPr="008F2D49">
              <w:rPr>
                <w:color w:val="FF0000"/>
                <w:u w:val="single"/>
                <w:lang w:val="en-CA"/>
              </w:rPr>
              <w:t xml:space="preserve">2) </w:t>
            </w:r>
            <w:r w:rsidRPr="008F2D49">
              <w:rPr>
                <w:rStyle w:val="hps"/>
                <w:color w:val="FF0000"/>
                <w:u w:val="single"/>
                <w:lang w:val="en-CA"/>
              </w:rPr>
              <w:t>If liquid</w:t>
            </w:r>
            <w:r w:rsidRPr="008F2D49">
              <w:rPr>
                <w:rStyle w:val="shorttext"/>
                <w:color w:val="FF0000"/>
                <w:u w:val="single"/>
                <w:lang w:val="en-CA"/>
              </w:rPr>
              <w:t xml:space="preserve"> is visible </w:t>
            </w:r>
            <w:r w:rsidRPr="008F2D49">
              <w:rPr>
                <w:rStyle w:val="hps"/>
                <w:color w:val="FF0000"/>
                <w:u w:val="single"/>
                <w:lang w:val="en-CA"/>
              </w:rPr>
              <w:t>when filling the</w:t>
            </w:r>
            <w:r w:rsidRPr="008F2D49">
              <w:rPr>
                <w:rStyle w:val="shorttext"/>
                <w:color w:val="FF0000"/>
                <w:u w:val="single"/>
                <w:lang w:val="en-CA"/>
              </w:rPr>
              <w:t xml:space="preserve"> </w:t>
            </w:r>
            <w:r w:rsidRPr="008F2D49">
              <w:rPr>
                <w:rStyle w:val="hps"/>
                <w:color w:val="FF0000"/>
                <w:u w:val="single"/>
                <w:lang w:val="en-CA"/>
              </w:rPr>
              <w:t>IBC</w:t>
            </w:r>
            <w:r w:rsidRPr="008F2D49">
              <w:rPr>
                <w:color w:val="FF0000"/>
                <w:u w:val="single"/>
                <w:lang w:val="en-CA"/>
              </w:rPr>
              <w:t xml:space="preserve">: </w:t>
            </w:r>
          </w:p>
          <w:p w:rsidR="00C40508" w:rsidRPr="008F2D49" w:rsidRDefault="00C40508" w:rsidP="00D15B18">
            <w:pPr>
              <w:ind w:left="360" w:hanging="360"/>
              <w:rPr>
                <w:color w:val="FF0000"/>
                <w:u w:val="single"/>
                <w:lang w:val="en-CA"/>
              </w:rPr>
            </w:pPr>
            <w:r w:rsidRPr="008F2D49">
              <w:rPr>
                <w:color w:val="FF0000"/>
                <w:u w:val="single"/>
                <w:lang w:val="en-CA"/>
              </w:rPr>
              <w:t xml:space="preserve">         Metal (31A, 31B, 31N);</w:t>
            </w:r>
          </w:p>
          <w:p w:rsidR="00C40508" w:rsidRPr="008F2D49" w:rsidRDefault="00C40508" w:rsidP="00D15B18">
            <w:pPr>
              <w:ind w:left="360" w:hanging="360"/>
              <w:rPr>
                <w:color w:val="FF0000"/>
                <w:u w:val="single"/>
                <w:lang w:val="en-CA"/>
              </w:rPr>
            </w:pPr>
            <w:r w:rsidRPr="008F2D49">
              <w:rPr>
                <w:color w:val="FF0000"/>
                <w:u w:val="single"/>
                <w:lang w:val="en-CA"/>
              </w:rPr>
              <w:t xml:space="preserve">         Rigid Plastics (31H1, 31H2);</w:t>
            </w:r>
          </w:p>
          <w:p w:rsidR="00C40508" w:rsidRPr="008F2D49" w:rsidRDefault="00C40508" w:rsidP="00D15B18">
            <w:pPr>
              <w:ind w:left="360" w:hanging="360"/>
              <w:rPr>
                <w:color w:val="FF0000"/>
                <w:u w:val="single"/>
                <w:lang w:val="en-CA"/>
              </w:rPr>
            </w:pPr>
            <w:r w:rsidRPr="008F2D49">
              <w:rPr>
                <w:color w:val="FF0000"/>
                <w:u w:val="single"/>
                <w:lang w:val="en-CA"/>
              </w:rPr>
              <w:t xml:space="preserve">         Composite (31HZ1);</w:t>
            </w:r>
          </w:p>
          <w:p w:rsidR="00C40508" w:rsidRPr="00C0328F" w:rsidRDefault="00C40508" w:rsidP="00D15B18">
            <w:pPr>
              <w:spacing w:before="60" w:after="60" w:line="240" w:lineRule="auto"/>
              <w:rPr>
                <w:color w:val="FF0000"/>
                <w:lang w:val="en-CA"/>
              </w:rPr>
            </w:pPr>
            <w:r w:rsidRPr="008F2D49">
              <w:rPr>
                <w:color w:val="FF0000"/>
                <w:u w:val="single"/>
                <w:lang w:val="en-CA"/>
              </w:rPr>
              <w:t>IBCs shall conform to the packing group II performance level for liquids.</w:t>
            </w:r>
            <w:r w:rsidRPr="00C0328F">
              <w:rPr>
                <w:color w:val="FF0000"/>
                <w:lang w:val="en-CA"/>
              </w:rPr>
              <w:t xml:space="preserve">  </w:t>
            </w:r>
          </w:p>
        </w:tc>
      </w:tr>
      <w:tr w:rsidR="00C40508" w:rsidRPr="004602C5" w:rsidTr="00D15B18">
        <w:trPr>
          <w:trHeight w:val="244"/>
        </w:trPr>
        <w:tc>
          <w:tcPr>
            <w:tcW w:w="9643" w:type="dxa"/>
            <w:gridSpan w:val="3"/>
            <w:tcBorders>
              <w:top w:val="single" w:sz="4" w:space="0" w:color="000000"/>
              <w:bottom w:val="nil"/>
            </w:tcBorders>
          </w:tcPr>
          <w:p w:rsidR="00C40508" w:rsidRPr="004602C5" w:rsidRDefault="00C40508" w:rsidP="006F0D1D">
            <w:pPr>
              <w:keepNext/>
              <w:keepLines/>
              <w:spacing w:before="60" w:after="60" w:line="240" w:lineRule="auto"/>
            </w:pPr>
            <w:r>
              <w:rPr>
                <w:b/>
              </w:rPr>
              <w:lastRenderedPageBreak/>
              <w:t>Additional requirement</w:t>
            </w:r>
            <w:r w:rsidRPr="008F2D49">
              <w:rPr>
                <w:b/>
                <w:strike/>
              </w:rPr>
              <w:t>s</w:t>
            </w:r>
            <w:r>
              <w:t>:</w:t>
            </w:r>
          </w:p>
        </w:tc>
      </w:tr>
      <w:tr w:rsidR="00C40508" w:rsidRPr="00C0328F" w:rsidTr="00D15B18">
        <w:trPr>
          <w:trHeight w:val="360"/>
        </w:trPr>
        <w:tc>
          <w:tcPr>
            <w:tcW w:w="9643" w:type="dxa"/>
            <w:gridSpan w:val="3"/>
            <w:tcBorders>
              <w:top w:val="nil"/>
            </w:tcBorders>
            <w:vAlign w:val="center"/>
          </w:tcPr>
          <w:p w:rsidR="00C40508" w:rsidRPr="008F2D49" w:rsidRDefault="00C40508" w:rsidP="006F0D1D">
            <w:pPr>
              <w:keepNext/>
              <w:keepLines/>
              <w:spacing w:before="60" w:after="60" w:line="240" w:lineRule="auto"/>
              <w:rPr>
                <w:strike/>
                <w:color w:val="FF0000"/>
                <w:lang w:val="en-CA"/>
              </w:rPr>
            </w:pPr>
            <w:r w:rsidRPr="008F2D49">
              <w:rPr>
                <w:strike/>
                <w:color w:val="FF0000"/>
                <w:lang w:val="en-CA"/>
              </w:rPr>
              <w:t>1. There shall be sufficient absorbent material to absorb the entire amount of liquid present in the IBC.</w:t>
            </w:r>
          </w:p>
          <w:p w:rsidR="00C40508" w:rsidRPr="008F2D49" w:rsidRDefault="00C40508" w:rsidP="006F0D1D">
            <w:pPr>
              <w:keepNext/>
              <w:keepLines/>
              <w:spacing w:before="60" w:after="60" w:line="240" w:lineRule="auto"/>
              <w:rPr>
                <w:lang w:val="en-CA"/>
              </w:rPr>
            </w:pPr>
            <w:r w:rsidRPr="008F2D49">
              <w:rPr>
                <w:strike/>
                <w:color w:val="FF0000"/>
                <w:lang w:val="en-CA"/>
              </w:rPr>
              <w:t>2. IBCs shall be capable of retaining liquids.</w:t>
            </w:r>
          </w:p>
          <w:p w:rsidR="00C40508" w:rsidRPr="00C0328F" w:rsidRDefault="00C40508" w:rsidP="006F0D1D">
            <w:pPr>
              <w:keepNext/>
              <w:keepLines/>
              <w:spacing w:before="60" w:after="60" w:line="240" w:lineRule="auto"/>
              <w:rPr>
                <w:b/>
                <w:lang w:val="en-CA"/>
              </w:rPr>
            </w:pPr>
            <w:r w:rsidRPr="008F2D49">
              <w:rPr>
                <w:strike/>
                <w:lang w:val="en-CA"/>
              </w:rPr>
              <w:t>3.</w:t>
            </w:r>
            <w:r w:rsidRPr="00C0328F">
              <w:rPr>
                <w:lang w:val="en-CA"/>
              </w:rPr>
              <w:t xml:space="preserve"> IBCs </w:t>
            </w:r>
            <w:r w:rsidRPr="00F53E38">
              <w:rPr>
                <w:lang w:val="en-CA"/>
              </w:rPr>
              <w:t xml:space="preserve">intended to contain sharp objects such as broken glass and needles shall be resistant to puncture </w:t>
            </w:r>
            <w:r w:rsidRPr="008F2D49">
              <w:rPr>
                <w:color w:val="FF0000"/>
                <w:u w:val="single"/>
                <w:lang w:val="en-CA"/>
              </w:rPr>
              <w:t>and retain liquids under the performance test conditions in Chap</w:t>
            </w:r>
            <w:r w:rsidRPr="007C759E">
              <w:rPr>
                <w:color w:val="FF0000"/>
                <w:u w:val="single"/>
                <w:lang w:val="en-CA"/>
              </w:rPr>
              <w:t>ter 6.5.</w:t>
            </w:r>
          </w:p>
        </w:tc>
      </w:tr>
    </w:tbl>
    <w:p w:rsidR="00C40508" w:rsidRPr="00FD2CFF" w:rsidRDefault="00C40508" w:rsidP="00C40508">
      <w:pPr>
        <w:pStyle w:val="H1G"/>
        <w:rPr>
          <w:lang w:val="en" w:eastAsia="en-CA"/>
        </w:rPr>
      </w:pPr>
      <w:r>
        <w:rPr>
          <w:lang w:val="en" w:eastAsia="en-CA"/>
        </w:rPr>
        <w:tab/>
      </w:r>
      <w:r>
        <w:rPr>
          <w:lang w:val="en" w:eastAsia="en-CA"/>
        </w:rPr>
        <w:tab/>
      </w:r>
      <w:r w:rsidRPr="00FD2CFF">
        <w:rPr>
          <w:lang w:val="en" w:eastAsia="en-CA"/>
        </w:rPr>
        <w:t>Packing instruction LP621</w:t>
      </w:r>
    </w:p>
    <w:p w:rsidR="00C40508" w:rsidRPr="00C0328F" w:rsidRDefault="00C40508" w:rsidP="00C40508">
      <w:pPr>
        <w:pStyle w:val="SingleTxtG"/>
        <w:rPr>
          <w:lang w:eastAsia="en-CA"/>
        </w:rPr>
      </w:pPr>
      <w:r>
        <w:rPr>
          <w:lang w:eastAsia="en-CA"/>
        </w:rPr>
        <w:t>13.</w:t>
      </w:r>
      <w:r>
        <w:rPr>
          <w:lang w:eastAsia="en-CA"/>
        </w:rPr>
        <w:tab/>
        <w:t>While t</w:t>
      </w:r>
      <w:r w:rsidRPr="00C0328F">
        <w:rPr>
          <w:lang w:eastAsia="en-CA"/>
        </w:rPr>
        <w:t xml:space="preserve">he format of packing instruction </w:t>
      </w:r>
      <w:r w:rsidRPr="00FD2CFF">
        <w:rPr>
          <w:lang w:eastAsia="en-CA"/>
        </w:rPr>
        <w:t xml:space="preserve">LP621 </w:t>
      </w:r>
      <w:r>
        <w:rPr>
          <w:lang w:eastAsia="en-CA"/>
        </w:rPr>
        <w:t xml:space="preserve">resembles that </w:t>
      </w:r>
      <w:r w:rsidRPr="00C0328F">
        <w:rPr>
          <w:lang w:eastAsia="en-CA"/>
        </w:rPr>
        <w:t xml:space="preserve">of packing instruction </w:t>
      </w:r>
      <w:r w:rsidRPr="00FD2CFF">
        <w:rPr>
          <w:lang w:eastAsia="en-CA"/>
        </w:rPr>
        <w:t>P621</w:t>
      </w:r>
      <w:r>
        <w:rPr>
          <w:lang w:eastAsia="en-CA"/>
        </w:rPr>
        <w:t>, it</w:t>
      </w:r>
      <w:r w:rsidRPr="00C0328F">
        <w:rPr>
          <w:lang w:eastAsia="en-CA"/>
        </w:rPr>
        <w:t xml:space="preserve"> does contain </w:t>
      </w:r>
      <w:r>
        <w:rPr>
          <w:lang w:eastAsia="en-CA"/>
        </w:rPr>
        <w:t>two (2)</w:t>
      </w:r>
      <w:r w:rsidRPr="00FD2CFF">
        <w:rPr>
          <w:lang w:eastAsia="en-CA"/>
        </w:rPr>
        <w:t xml:space="preserve"> l</w:t>
      </w:r>
      <w:r w:rsidRPr="00C0328F">
        <w:rPr>
          <w:lang w:eastAsia="en-CA"/>
        </w:rPr>
        <w:t xml:space="preserve">ists </w:t>
      </w:r>
      <w:r w:rsidRPr="00FD2CFF">
        <w:rPr>
          <w:lang w:eastAsia="en-CA"/>
        </w:rPr>
        <w:t xml:space="preserve">of authorized </w:t>
      </w:r>
      <w:r w:rsidRPr="00C0328F">
        <w:rPr>
          <w:lang w:eastAsia="en-CA"/>
        </w:rPr>
        <w:t xml:space="preserve">large </w:t>
      </w:r>
      <w:r>
        <w:rPr>
          <w:lang w:eastAsia="en-CA"/>
        </w:rPr>
        <w:t>packaging</w:t>
      </w:r>
      <w:r w:rsidRPr="00FD2CFF">
        <w:rPr>
          <w:lang w:eastAsia="en-CA"/>
        </w:rPr>
        <w:t xml:space="preserve"> codes</w:t>
      </w:r>
      <w:r w:rsidRPr="00C0328F">
        <w:rPr>
          <w:lang w:eastAsia="en-CA"/>
        </w:rPr>
        <w:t>. The expert therefore recommends adding two</w:t>
      </w:r>
      <w:r>
        <w:rPr>
          <w:lang w:eastAsia="en-CA"/>
        </w:rPr>
        <w:t xml:space="preserve"> (2)</w:t>
      </w:r>
      <w:r w:rsidRPr="00C0328F">
        <w:rPr>
          <w:lang w:eastAsia="en-CA"/>
        </w:rPr>
        <w:t xml:space="preserve"> lists of authorized large </w:t>
      </w:r>
      <w:proofErr w:type="spellStart"/>
      <w:r w:rsidRPr="00C0328F">
        <w:rPr>
          <w:lang w:eastAsia="en-CA"/>
        </w:rPr>
        <w:t>packagings</w:t>
      </w:r>
      <w:proofErr w:type="spellEnd"/>
      <w:r w:rsidRPr="00FD2CFF">
        <w:rPr>
          <w:lang w:eastAsia="en-CA"/>
        </w:rPr>
        <w:t xml:space="preserve"> codes</w:t>
      </w:r>
      <w:r w:rsidRPr="00C0328F">
        <w:rPr>
          <w:lang w:eastAsia="en-CA"/>
        </w:rPr>
        <w:t xml:space="preserve">; one for large </w:t>
      </w:r>
      <w:proofErr w:type="spellStart"/>
      <w:r w:rsidRPr="00C0328F">
        <w:rPr>
          <w:lang w:eastAsia="en-CA"/>
        </w:rPr>
        <w:t>packagings</w:t>
      </w:r>
      <w:proofErr w:type="spellEnd"/>
      <w:r w:rsidRPr="00C0328F">
        <w:rPr>
          <w:lang w:eastAsia="en-CA"/>
        </w:rPr>
        <w:t xml:space="preserve"> tested for solids and </w:t>
      </w:r>
      <w:r w:rsidRPr="00FD2CFF">
        <w:rPr>
          <w:lang w:eastAsia="en-CA"/>
        </w:rPr>
        <w:t>one</w:t>
      </w:r>
      <w:r w:rsidRPr="00C0328F">
        <w:rPr>
          <w:lang w:eastAsia="en-CA"/>
        </w:rPr>
        <w:t xml:space="preserve"> for large </w:t>
      </w:r>
      <w:proofErr w:type="spellStart"/>
      <w:r w:rsidRPr="00C0328F">
        <w:rPr>
          <w:lang w:eastAsia="en-CA"/>
        </w:rPr>
        <w:t>packagings</w:t>
      </w:r>
      <w:proofErr w:type="spellEnd"/>
      <w:r w:rsidRPr="00C0328F">
        <w:rPr>
          <w:lang w:eastAsia="en-CA"/>
        </w:rPr>
        <w:t xml:space="preserve"> tested for liquids.</w:t>
      </w:r>
    </w:p>
    <w:p w:rsidR="00C40508" w:rsidRDefault="00C40508" w:rsidP="00C40508">
      <w:pPr>
        <w:pStyle w:val="SingleTxtG"/>
        <w:rPr>
          <w:lang w:eastAsia="en-CA"/>
        </w:rPr>
      </w:pPr>
      <w:r>
        <w:rPr>
          <w:lang w:eastAsia="en-CA"/>
        </w:rPr>
        <w:t>14.</w:t>
      </w:r>
      <w:r>
        <w:rPr>
          <w:lang w:eastAsia="en-CA"/>
        </w:rPr>
        <w:tab/>
      </w:r>
      <w:r w:rsidRPr="00FD2CFF">
        <w:rPr>
          <w:lang w:eastAsia="en-CA"/>
        </w:rPr>
        <w:t>Moreover, the same amb</w:t>
      </w:r>
      <w:r>
        <w:rPr>
          <w:lang w:eastAsia="en-CA"/>
        </w:rPr>
        <w:t xml:space="preserve">iguity found </w:t>
      </w:r>
      <w:r w:rsidRPr="00FD2CFF">
        <w:rPr>
          <w:lang w:eastAsia="en-CA"/>
        </w:rPr>
        <w:t>in the second part of instruction P621</w:t>
      </w:r>
      <w:r>
        <w:rPr>
          <w:lang w:eastAsia="en-CA"/>
        </w:rPr>
        <w:t xml:space="preserve"> exists in the second part of packing instruction LP621</w:t>
      </w:r>
      <w:r w:rsidRPr="00FD2CFF">
        <w:rPr>
          <w:lang w:eastAsia="en-CA"/>
        </w:rPr>
        <w:t xml:space="preserve">. </w:t>
      </w:r>
      <w:r>
        <w:rPr>
          <w:lang w:eastAsia="en-CA"/>
        </w:rPr>
        <w:t>Once again</w:t>
      </w:r>
      <w:r w:rsidRPr="00FD2CFF">
        <w:rPr>
          <w:lang w:eastAsia="en-CA"/>
        </w:rPr>
        <w:t xml:space="preserve">, there is no indication </w:t>
      </w:r>
      <w:r>
        <w:rPr>
          <w:lang w:eastAsia="en-CA"/>
        </w:rPr>
        <w:t xml:space="preserve">provided </w:t>
      </w:r>
      <w:r w:rsidRPr="00FD2CFF">
        <w:rPr>
          <w:lang w:eastAsia="en-CA"/>
        </w:rPr>
        <w:t xml:space="preserve">in instruction LP621 </w:t>
      </w:r>
      <w:r>
        <w:rPr>
          <w:lang w:eastAsia="en-CA"/>
        </w:rPr>
        <w:t xml:space="preserve">permitting someone </w:t>
      </w:r>
      <w:r w:rsidRPr="00FD2CFF">
        <w:rPr>
          <w:lang w:eastAsia="en-CA"/>
        </w:rPr>
        <w:t xml:space="preserve">to make the determination of what is considered </w:t>
      </w:r>
      <w:r>
        <w:rPr>
          <w:lang w:eastAsia="en-CA"/>
        </w:rPr>
        <w:t xml:space="preserve">to be a </w:t>
      </w:r>
      <w:r w:rsidRPr="00FD2CFF">
        <w:rPr>
          <w:lang w:eastAsia="en-CA"/>
        </w:rPr>
        <w:t>"large amount of liquid." The expert from Canada proposes to clearly</w:t>
      </w:r>
      <w:r>
        <w:rPr>
          <w:lang w:eastAsia="en-CA"/>
        </w:rPr>
        <w:t xml:space="preserve"> state</w:t>
      </w:r>
      <w:r w:rsidRPr="00FD2CFF">
        <w:rPr>
          <w:lang w:eastAsia="en-CA"/>
        </w:rPr>
        <w:t xml:space="preserve"> that packaging codes l</w:t>
      </w:r>
      <w:r>
        <w:rPr>
          <w:lang w:eastAsia="en-CA"/>
        </w:rPr>
        <w:t>isted in the first part of the instruction</w:t>
      </w:r>
      <w:r w:rsidRPr="00FD2CFF">
        <w:rPr>
          <w:lang w:eastAsia="en-CA"/>
        </w:rPr>
        <w:t xml:space="preserve"> </w:t>
      </w:r>
      <w:proofErr w:type="gramStart"/>
      <w:r w:rsidRPr="00FD2CFF">
        <w:rPr>
          <w:lang w:eastAsia="en-CA"/>
        </w:rPr>
        <w:t>can</w:t>
      </w:r>
      <w:r>
        <w:rPr>
          <w:lang w:eastAsia="en-CA"/>
        </w:rPr>
        <w:t xml:space="preserve"> </w:t>
      </w:r>
      <w:r w:rsidRPr="00FD2CFF">
        <w:rPr>
          <w:lang w:eastAsia="en-CA"/>
        </w:rPr>
        <w:t>be used</w:t>
      </w:r>
      <w:proofErr w:type="gramEnd"/>
      <w:r w:rsidRPr="00FD2CFF">
        <w:rPr>
          <w:lang w:eastAsia="en-CA"/>
        </w:rPr>
        <w:t xml:space="preserve"> if no liquid </w:t>
      </w:r>
      <w:r>
        <w:rPr>
          <w:lang w:eastAsia="en-CA"/>
        </w:rPr>
        <w:t xml:space="preserve">is visible when filling </w:t>
      </w:r>
      <w:r w:rsidRPr="00FD2CFF">
        <w:rPr>
          <w:lang w:eastAsia="en-CA"/>
        </w:rPr>
        <w:t xml:space="preserve">the inner </w:t>
      </w:r>
      <w:proofErr w:type="spellStart"/>
      <w:r w:rsidRPr="00FD2CFF">
        <w:rPr>
          <w:lang w:eastAsia="en-CA"/>
        </w:rPr>
        <w:t>packagings</w:t>
      </w:r>
      <w:proofErr w:type="spellEnd"/>
      <w:r>
        <w:rPr>
          <w:lang w:eastAsia="en-CA"/>
        </w:rPr>
        <w:t>,</w:t>
      </w:r>
      <w:r w:rsidRPr="00FD2CFF">
        <w:rPr>
          <w:lang w:eastAsia="en-CA"/>
        </w:rPr>
        <w:t xml:space="preserve"> while the packaging codes listed in the second part of the instruction </w:t>
      </w:r>
      <w:r>
        <w:rPr>
          <w:lang w:eastAsia="en-CA"/>
        </w:rPr>
        <w:t>must</w:t>
      </w:r>
      <w:r w:rsidRPr="00FD2CFF">
        <w:rPr>
          <w:lang w:eastAsia="en-CA"/>
        </w:rPr>
        <w:t xml:space="preserve"> be used if liquid</w:t>
      </w:r>
      <w:r>
        <w:rPr>
          <w:lang w:eastAsia="en-CA"/>
        </w:rPr>
        <w:t xml:space="preserve"> is visible</w:t>
      </w:r>
      <w:r w:rsidRPr="00FD2CFF">
        <w:rPr>
          <w:lang w:eastAsia="en-CA"/>
        </w:rPr>
        <w:t xml:space="preserve"> </w:t>
      </w:r>
      <w:r>
        <w:rPr>
          <w:lang w:eastAsia="en-CA"/>
        </w:rPr>
        <w:t xml:space="preserve">when filling </w:t>
      </w:r>
      <w:r w:rsidRPr="00FD2CFF">
        <w:rPr>
          <w:lang w:eastAsia="en-CA"/>
        </w:rPr>
        <w:t xml:space="preserve">in inner </w:t>
      </w:r>
      <w:proofErr w:type="spellStart"/>
      <w:r w:rsidRPr="00FD2CFF">
        <w:rPr>
          <w:lang w:eastAsia="en-CA"/>
        </w:rPr>
        <w:t>packagings</w:t>
      </w:r>
      <w:proofErr w:type="spellEnd"/>
      <w:r w:rsidRPr="00FD2CFF">
        <w:rPr>
          <w:lang w:eastAsia="en-CA"/>
        </w:rPr>
        <w:t>.</w:t>
      </w:r>
    </w:p>
    <w:p w:rsidR="00C40508" w:rsidRPr="00FD2CFF" w:rsidRDefault="00C40508" w:rsidP="00C40508">
      <w:pPr>
        <w:pStyle w:val="SingleTxtG"/>
        <w:rPr>
          <w:lang w:eastAsia="en-CA"/>
        </w:rPr>
      </w:pPr>
      <w:r>
        <w:rPr>
          <w:lang w:eastAsia="en-CA"/>
        </w:rPr>
        <w:t>15.</w:t>
      </w:r>
      <w:r>
        <w:rPr>
          <w:lang w:eastAsia="en-CA"/>
        </w:rPr>
        <w:tab/>
        <w:t xml:space="preserve">The instruction does not specify which types of inner </w:t>
      </w:r>
      <w:proofErr w:type="spellStart"/>
      <w:r>
        <w:rPr>
          <w:lang w:eastAsia="en-CA"/>
        </w:rPr>
        <w:t>packagings</w:t>
      </w:r>
      <w:proofErr w:type="spellEnd"/>
      <w:r>
        <w:rPr>
          <w:lang w:eastAsia="en-CA"/>
        </w:rPr>
        <w:t xml:space="preserve"> </w:t>
      </w:r>
      <w:proofErr w:type="gramStart"/>
      <w:r>
        <w:rPr>
          <w:lang w:eastAsia="en-CA"/>
        </w:rPr>
        <w:t>can be used</w:t>
      </w:r>
      <w:proofErr w:type="gramEnd"/>
      <w:r>
        <w:rPr>
          <w:lang w:eastAsia="en-CA"/>
        </w:rPr>
        <w:t xml:space="preserve"> in the large </w:t>
      </w:r>
      <w:proofErr w:type="spellStart"/>
      <w:r>
        <w:rPr>
          <w:lang w:eastAsia="en-CA"/>
        </w:rPr>
        <w:t>packagings</w:t>
      </w:r>
      <w:proofErr w:type="spellEnd"/>
      <w:r>
        <w:rPr>
          <w:lang w:eastAsia="en-CA"/>
        </w:rPr>
        <w:t xml:space="preserve">. </w:t>
      </w:r>
      <w:r w:rsidRPr="00A65B57">
        <w:rPr>
          <w:lang w:eastAsia="en-CA"/>
        </w:rPr>
        <w:t xml:space="preserve">The expert therefore proposes to require that rigid inner </w:t>
      </w:r>
      <w:proofErr w:type="spellStart"/>
      <w:r w:rsidRPr="00A65B57">
        <w:rPr>
          <w:lang w:eastAsia="en-CA"/>
        </w:rPr>
        <w:t>packagings</w:t>
      </w:r>
      <w:proofErr w:type="spellEnd"/>
      <w:r w:rsidRPr="00A65B57">
        <w:rPr>
          <w:lang w:eastAsia="en-CA"/>
        </w:rPr>
        <w:t xml:space="preserve"> </w:t>
      </w:r>
      <w:proofErr w:type="gramStart"/>
      <w:r w:rsidRPr="00A65B57">
        <w:rPr>
          <w:lang w:eastAsia="en-CA"/>
        </w:rPr>
        <w:t>be used</w:t>
      </w:r>
      <w:proofErr w:type="gramEnd"/>
      <w:r w:rsidRPr="00A65B57">
        <w:rPr>
          <w:lang w:eastAsia="en-CA"/>
        </w:rPr>
        <w:t xml:space="preserve"> if liquid is visible when filling the inner </w:t>
      </w:r>
      <w:proofErr w:type="spellStart"/>
      <w:r w:rsidRPr="00A65B57">
        <w:rPr>
          <w:lang w:eastAsia="en-CA"/>
        </w:rPr>
        <w:t>packaging</w:t>
      </w:r>
      <w:r>
        <w:rPr>
          <w:lang w:eastAsia="en-CA"/>
        </w:rPr>
        <w:t>s</w:t>
      </w:r>
      <w:proofErr w:type="spellEnd"/>
      <w:r w:rsidRPr="00A65B57">
        <w:rPr>
          <w:lang w:eastAsia="en-CA"/>
        </w:rPr>
        <w:t xml:space="preserve"> and allow the use of rigid or flexible inner </w:t>
      </w:r>
      <w:proofErr w:type="spellStart"/>
      <w:r w:rsidRPr="00A65B57">
        <w:rPr>
          <w:lang w:eastAsia="en-CA"/>
        </w:rPr>
        <w:t>packagings</w:t>
      </w:r>
      <w:proofErr w:type="spellEnd"/>
      <w:r w:rsidRPr="00A65B57">
        <w:rPr>
          <w:lang w:eastAsia="en-CA"/>
        </w:rPr>
        <w:t xml:space="preserve"> when no liquid is visible when filling the inner packaging. For flexible inner </w:t>
      </w:r>
      <w:proofErr w:type="spellStart"/>
      <w:r w:rsidRPr="00A65B57">
        <w:rPr>
          <w:lang w:eastAsia="en-CA"/>
        </w:rPr>
        <w:t>packagings</w:t>
      </w:r>
      <w:proofErr w:type="spellEnd"/>
      <w:r w:rsidRPr="00A65B57">
        <w:rPr>
          <w:lang w:eastAsia="en-CA"/>
        </w:rPr>
        <w:t xml:space="preserve">, the expert proposes to add construction and performance requirements based on requirements found in clause 4.3.2.4.2c on waste of Division 6.2 that </w:t>
      </w:r>
      <w:proofErr w:type="gramStart"/>
      <w:r w:rsidRPr="00A65B57">
        <w:rPr>
          <w:lang w:eastAsia="en-CA"/>
        </w:rPr>
        <w:t>may be transported</w:t>
      </w:r>
      <w:proofErr w:type="gramEnd"/>
      <w:r w:rsidRPr="00A65B57">
        <w:rPr>
          <w:lang w:eastAsia="en-CA"/>
        </w:rPr>
        <w:t xml:space="preserve"> in closed bulk containers (BK2). Authorized flexible inner </w:t>
      </w:r>
      <w:proofErr w:type="spellStart"/>
      <w:r w:rsidRPr="00A65B57">
        <w:rPr>
          <w:lang w:eastAsia="en-CA"/>
        </w:rPr>
        <w:t>packagings</w:t>
      </w:r>
      <w:proofErr w:type="spellEnd"/>
      <w:r w:rsidRPr="00A65B57">
        <w:rPr>
          <w:lang w:eastAsia="en-CA"/>
        </w:rPr>
        <w:t xml:space="preserve"> would be plastic bags meeting the following requirements:</w:t>
      </w:r>
    </w:p>
    <w:p w:rsidR="00C40508" w:rsidRPr="00FD2CFF" w:rsidRDefault="00C40508" w:rsidP="00C40508">
      <w:pPr>
        <w:pStyle w:val="Bullet1G"/>
        <w:rPr>
          <w:lang w:val="en" w:eastAsia="en-CA"/>
        </w:rPr>
      </w:pPr>
      <w:proofErr w:type="spellStart"/>
      <w:r>
        <w:rPr>
          <w:lang w:val="en" w:eastAsia="en-CA"/>
        </w:rPr>
        <w:t>Leakproof</w:t>
      </w:r>
      <w:proofErr w:type="spellEnd"/>
      <w:r w:rsidRPr="00FD2CFF">
        <w:rPr>
          <w:lang w:val="en" w:eastAsia="en-CA"/>
        </w:rPr>
        <w:t xml:space="preserve"> and hermetically </w:t>
      </w:r>
      <w:r>
        <w:rPr>
          <w:lang w:val="en" w:eastAsia="en-CA"/>
        </w:rPr>
        <w:t>sealed</w:t>
      </w:r>
      <w:r w:rsidRPr="00FD2CFF">
        <w:rPr>
          <w:lang w:val="en" w:eastAsia="en-CA"/>
        </w:rPr>
        <w:t xml:space="preserve"> s</w:t>
      </w:r>
      <w:r>
        <w:rPr>
          <w:lang w:val="en" w:eastAsia="en-CA"/>
        </w:rPr>
        <w:t>uch</w:t>
      </w:r>
      <w:r w:rsidRPr="00FD2CFF">
        <w:rPr>
          <w:lang w:val="en" w:eastAsia="en-CA"/>
        </w:rPr>
        <w:t xml:space="preserve"> that the bags are capable of being maintained in an inverted position with the closed end facing downward during a period of 5 minutes without leakage</w:t>
      </w:r>
      <w:r>
        <w:rPr>
          <w:lang w:val="en" w:eastAsia="en-CA"/>
        </w:rPr>
        <w:t>;</w:t>
      </w:r>
    </w:p>
    <w:p w:rsidR="00C40508" w:rsidRPr="00FD2CFF" w:rsidRDefault="00C40508" w:rsidP="00C40508">
      <w:pPr>
        <w:pStyle w:val="Bullet1G"/>
        <w:rPr>
          <w:lang w:val="en" w:eastAsia="en-CA"/>
        </w:rPr>
      </w:pPr>
      <w:r>
        <w:rPr>
          <w:lang w:val="en" w:eastAsia="en-CA"/>
        </w:rPr>
        <w:t>M</w:t>
      </w:r>
      <w:r w:rsidRPr="00FD2CFF">
        <w:rPr>
          <w:lang w:val="en" w:eastAsia="en-CA"/>
        </w:rPr>
        <w:t>ade of plastic film having an impact resistance of at least 165g determined by ISO 7765-1988 "Film and sheeting - Determination of impact resistance by the free-falling dart</w:t>
      </w:r>
      <w:r>
        <w:rPr>
          <w:lang w:val="en" w:eastAsia="en-CA"/>
        </w:rPr>
        <w:t xml:space="preserve"> method</w:t>
      </w:r>
      <w:r w:rsidRPr="00FD2CFF">
        <w:rPr>
          <w:lang w:val="en" w:eastAsia="en-CA"/>
        </w:rPr>
        <w:t xml:space="preserve"> - Part 1: "</w:t>
      </w:r>
      <w:r>
        <w:rPr>
          <w:lang w:val="en" w:eastAsia="en-CA"/>
        </w:rPr>
        <w:t>S</w:t>
      </w:r>
      <w:r w:rsidRPr="00FD2CFF">
        <w:rPr>
          <w:lang w:val="en" w:eastAsia="en-CA"/>
        </w:rPr>
        <w:t>taircase</w:t>
      </w:r>
      <w:r>
        <w:rPr>
          <w:lang w:val="en" w:eastAsia="en-CA"/>
        </w:rPr>
        <w:t xml:space="preserve"> methods";</w:t>
      </w:r>
    </w:p>
    <w:p w:rsidR="00C40508" w:rsidRPr="007C759E" w:rsidRDefault="00C40508" w:rsidP="00C40508">
      <w:pPr>
        <w:pStyle w:val="Bullet1G"/>
        <w:rPr>
          <w:lang w:val="en" w:eastAsia="en-CA"/>
        </w:rPr>
      </w:pPr>
      <w:r>
        <w:rPr>
          <w:lang w:val="en" w:eastAsia="en-CA"/>
        </w:rPr>
        <w:t>M</w:t>
      </w:r>
      <w:r w:rsidRPr="007C759E">
        <w:rPr>
          <w:lang w:val="en" w:eastAsia="en-CA"/>
        </w:rPr>
        <w:t xml:space="preserve">ade of plastic film having a tear resistance of at least 480g </w:t>
      </w:r>
      <w:r w:rsidRPr="007C759E">
        <w:rPr>
          <w:lang w:val="en"/>
        </w:rPr>
        <w:t xml:space="preserve">in both parallel and perpendicular planes with respect to the length of the bag determined by ISO 6383-2: 1983 " Plastics - film and sheeting - determination of tear resistance - Part 2: Elmendorf method </w:t>
      </w:r>
      <w:r>
        <w:rPr>
          <w:lang w:val="en" w:eastAsia="en-CA"/>
        </w:rPr>
        <w:t>"; and</w:t>
      </w:r>
    </w:p>
    <w:p w:rsidR="00C40508" w:rsidRPr="00C40508" w:rsidRDefault="00C40508" w:rsidP="00C40508">
      <w:pPr>
        <w:pStyle w:val="Bullet1G"/>
        <w:rPr>
          <w:lang w:val="en" w:eastAsia="en-CA"/>
        </w:rPr>
      </w:pPr>
      <w:r>
        <w:rPr>
          <w:lang w:val="en" w:eastAsia="en-CA"/>
        </w:rPr>
        <w:t>H</w:t>
      </w:r>
      <w:r w:rsidRPr="007C759E">
        <w:rPr>
          <w:lang w:val="en" w:eastAsia="en-CA"/>
        </w:rPr>
        <w:t>aving a max</w:t>
      </w:r>
      <w:r>
        <w:rPr>
          <w:lang w:val="en" w:eastAsia="en-CA"/>
        </w:rPr>
        <w:t>imum gross weight of 30kg</w:t>
      </w:r>
    </w:p>
    <w:p w:rsidR="009240B7" w:rsidRDefault="009240B7">
      <w:pPr>
        <w:suppressAutoHyphens w:val="0"/>
        <w:spacing w:line="240" w:lineRule="auto"/>
        <w:rPr>
          <w:lang w:val="en" w:eastAsia="en-CA"/>
        </w:rPr>
      </w:pPr>
      <w:r>
        <w:rPr>
          <w:lang w:val="en" w:eastAsia="en-CA"/>
        </w:rPr>
        <w:br w:type="page"/>
      </w:r>
    </w:p>
    <w:p w:rsidR="00C40508" w:rsidRDefault="00C40508" w:rsidP="00C40508">
      <w:pPr>
        <w:pStyle w:val="SingleTxtG"/>
        <w:rPr>
          <w:lang w:val="en" w:eastAsia="en-CA"/>
        </w:rPr>
      </w:pPr>
      <w:bookmarkStart w:id="0" w:name="_GoBack"/>
      <w:bookmarkEnd w:id="0"/>
      <w:r>
        <w:rPr>
          <w:lang w:val="en" w:eastAsia="en-CA"/>
        </w:rPr>
        <w:lastRenderedPageBreak/>
        <w:t>16.</w:t>
      </w:r>
      <w:r>
        <w:rPr>
          <w:lang w:val="en" w:eastAsia="en-CA"/>
        </w:rPr>
        <w:tab/>
      </w:r>
      <w:r w:rsidRPr="00FD2CFF">
        <w:rPr>
          <w:lang w:val="en" w:eastAsia="en-CA"/>
        </w:rPr>
        <w:t xml:space="preserve">Following the </w:t>
      </w:r>
      <w:r>
        <w:rPr>
          <w:lang w:val="en" w:eastAsia="en-CA"/>
        </w:rPr>
        <w:t>changes</w:t>
      </w:r>
      <w:r w:rsidRPr="00FD2CFF">
        <w:rPr>
          <w:lang w:val="en" w:eastAsia="en-CA"/>
        </w:rPr>
        <w:t>, the LP621 packing instruction would read</w:t>
      </w:r>
      <w:r>
        <w:rPr>
          <w:lang w:val="en" w:eastAsia="en-CA"/>
        </w:rPr>
        <w:t xml:space="preserve"> as follows</w:t>
      </w:r>
      <w:r w:rsidRPr="00FD2CFF">
        <w:rPr>
          <w:lang w:val="en" w:eastAsia="en-CA"/>
        </w:rPr>
        <w:t>:</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7938"/>
        <w:gridCol w:w="850"/>
      </w:tblGrid>
      <w:tr w:rsidR="00C40508" w:rsidRPr="004602C5" w:rsidTr="00D15B18">
        <w:tc>
          <w:tcPr>
            <w:tcW w:w="855" w:type="dxa"/>
            <w:tcBorders>
              <w:bottom w:val="single" w:sz="4" w:space="0" w:color="000000"/>
            </w:tcBorders>
          </w:tcPr>
          <w:p w:rsidR="00C40508" w:rsidRPr="004602C5" w:rsidRDefault="00C40508" w:rsidP="00D15B18">
            <w:pPr>
              <w:spacing w:before="60" w:after="60" w:line="240" w:lineRule="auto"/>
              <w:rPr>
                <w:b/>
                <w:bCs/>
              </w:rPr>
            </w:pPr>
            <w:r>
              <w:rPr>
                <w:b/>
              </w:rPr>
              <w:t>L</w:t>
            </w:r>
            <w:r w:rsidRPr="004602C5">
              <w:rPr>
                <w:b/>
              </w:rPr>
              <w:t>P</w:t>
            </w:r>
            <w:r>
              <w:rPr>
                <w:b/>
              </w:rPr>
              <w:t>621</w:t>
            </w:r>
          </w:p>
        </w:tc>
        <w:tc>
          <w:tcPr>
            <w:tcW w:w="7938" w:type="dxa"/>
            <w:tcBorders>
              <w:bottom w:val="single" w:sz="4" w:space="0" w:color="000000"/>
            </w:tcBorders>
          </w:tcPr>
          <w:p w:rsidR="00C40508" w:rsidRPr="004602C5" w:rsidRDefault="00C40508" w:rsidP="00D15B18">
            <w:pPr>
              <w:spacing w:before="60" w:after="60" w:line="240" w:lineRule="auto"/>
              <w:jc w:val="center"/>
              <w:rPr>
                <w:b/>
                <w:bCs/>
              </w:rPr>
            </w:pPr>
            <w:r w:rsidRPr="00873A93">
              <w:rPr>
                <w:b/>
                <w:bCs/>
              </w:rPr>
              <w:t>PACKING INSTRUCTION</w:t>
            </w:r>
          </w:p>
        </w:tc>
        <w:tc>
          <w:tcPr>
            <w:tcW w:w="850" w:type="dxa"/>
            <w:tcBorders>
              <w:bottom w:val="single" w:sz="4" w:space="0" w:color="000000"/>
            </w:tcBorders>
          </w:tcPr>
          <w:p w:rsidR="00C40508" w:rsidRPr="004602C5" w:rsidRDefault="00C40508" w:rsidP="00D15B18">
            <w:pPr>
              <w:spacing w:before="60" w:after="60" w:line="240" w:lineRule="auto"/>
              <w:jc w:val="right"/>
              <w:rPr>
                <w:b/>
                <w:bCs/>
              </w:rPr>
            </w:pPr>
            <w:r>
              <w:rPr>
                <w:b/>
              </w:rPr>
              <w:t>LP621</w:t>
            </w:r>
          </w:p>
        </w:tc>
      </w:tr>
      <w:tr w:rsidR="00C40508" w:rsidRPr="00FD24F7" w:rsidTr="00D15B18">
        <w:tc>
          <w:tcPr>
            <w:tcW w:w="9643" w:type="dxa"/>
            <w:gridSpan w:val="3"/>
            <w:tcBorders>
              <w:top w:val="single" w:sz="4" w:space="0" w:color="000000"/>
              <w:bottom w:val="single" w:sz="4" w:space="0" w:color="000000"/>
            </w:tcBorders>
          </w:tcPr>
          <w:p w:rsidR="00C40508" w:rsidRPr="00FD24F7" w:rsidRDefault="00C40508" w:rsidP="00D15B18">
            <w:pPr>
              <w:spacing w:before="60" w:after="60" w:line="240" w:lineRule="auto"/>
              <w:rPr>
                <w:lang w:val="en-CA"/>
              </w:rPr>
            </w:pPr>
            <w:r w:rsidRPr="00873A93">
              <w:rPr>
                <w:lang w:val="en-CA"/>
              </w:rPr>
              <w:t>This in</w:t>
            </w:r>
            <w:r>
              <w:rPr>
                <w:lang w:val="en-CA"/>
              </w:rPr>
              <w:t>struction applies to UN No. 3291</w:t>
            </w:r>
            <w:r w:rsidRPr="00873A93">
              <w:rPr>
                <w:lang w:val="en-CA"/>
              </w:rPr>
              <w:t>.</w:t>
            </w:r>
          </w:p>
        </w:tc>
      </w:tr>
      <w:tr w:rsidR="00C40508" w:rsidRPr="000C6888" w:rsidTr="00D15B18">
        <w:tc>
          <w:tcPr>
            <w:tcW w:w="9643" w:type="dxa"/>
            <w:gridSpan w:val="3"/>
          </w:tcPr>
          <w:p w:rsidR="00C40508" w:rsidRPr="00FD24F7" w:rsidRDefault="00C40508" w:rsidP="00D15B18">
            <w:pPr>
              <w:spacing w:before="60" w:after="60" w:line="240" w:lineRule="auto"/>
              <w:rPr>
                <w:lang w:val="en-CA"/>
              </w:rPr>
            </w:pPr>
            <w:r>
              <w:rPr>
                <w:lang w:val="en-CA"/>
              </w:rPr>
              <w:t xml:space="preserve">The following large </w:t>
            </w:r>
            <w:proofErr w:type="spellStart"/>
            <w:r>
              <w:rPr>
                <w:lang w:val="en-CA"/>
              </w:rPr>
              <w:t>packagings</w:t>
            </w:r>
            <w:proofErr w:type="spellEnd"/>
            <w:r>
              <w:rPr>
                <w:lang w:val="en-CA"/>
              </w:rPr>
              <w:t xml:space="preserve"> </w:t>
            </w:r>
            <w:r w:rsidRPr="00873A93">
              <w:rPr>
                <w:lang w:val="en-CA"/>
              </w:rPr>
              <w:t xml:space="preserve">are authorized, provided that the general provisions of </w:t>
            </w:r>
            <w:r w:rsidRPr="00FD24F7">
              <w:rPr>
                <w:b/>
                <w:lang w:val="en-CA"/>
              </w:rPr>
              <w:t>4.1.1</w:t>
            </w:r>
            <w:r w:rsidRPr="00FD24F7">
              <w:rPr>
                <w:lang w:val="en-CA"/>
              </w:rPr>
              <w:t xml:space="preserve"> </w:t>
            </w:r>
            <w:r>
              <w:rPr>
                <w:lang w:val="en-CA"/>
              </w:rPr>
              <w:t>and</w:t>
            </w:r>
            <w:r w:rsidRPr="00FD24F7">
              <w:rPr>
                <w:lang w:val="en-CA"/>
              </w:rPr>
              <w:t xml:space="preserve"> </w:t>
            </w:r>
            <w:r w:rsidRPr="00FD24F7">
              <w:rPr>
                <w:b/>
                <w:lang w:val="en-CA"/>
              </w:rPr>
              <w:t>4.1.3</w:t>
            </w:r>
            <w:r>
              <w:rPr>
                <w:b/>
                <w:lang w:val="en-CA"/>
              </w:rPr>
              <w:t xml:space="preserve"> </w:t>
            </w:r>
            <w:r w:rsidRPr="00FD24F7">
              <w:rPr>
                <w:lang w:val="en-CA"/>
              </w:rPr>
              <w:t>are met:</w:t>
            </w:r>
          </w:p>
          <w:p w:rsidR="00C40508" w:rsidRPr="007C759E" w:rsidRDefault="00C40508" w:rsidP="00D15B18">
            <w:pPr>
              <w:spacing w:before="60" w:after="60" w:line="240" w:lineRule="auto"/>
              <w:rPr>
                <w:color w:val="FF0000"/>
                <w:lang w:val="en-CA"/>
              </w:rPr>
            </w:pPr>
            <w:r w:rsidRPr="00BC087E">
              <w:rPr>
                <w:lang w:val="en-CA"/>
              </w:rPr>
              <w:t xml:space="preserve">1) </w:t>
            </w:r>
            <w:r w:rsidRPr="008F2D49">
              <w:rPr>
                <w:strike/>
                <w:lang w:val="en-CA"/>
              </w:rPr>
              <w:t xml:space="preserve">For clinical waste placed in inner </w:t>
            </w:r>
            <w:proofErr w:type="spellStart"/>
            <w:r w:rsidRPr="008F2D49">
              <w:rPr>
                <w:strike/>
                <w:lang w:val="en-CA"/>
              </w:rPr>
              <w:t>packagings</w:t>
            </w:r>
            <w:proofErr w:type="spellEnd"/>
            <w:r w:rsidRPr="008F2D49">
              <w:rPr>
                <w:strike/>
                <w:lang w:val="en-CA"/>
              </w:rPr>
              <w:t>:</w:t>
            </w:r>
            <w:r>
              <w:rPr>
                <w:lang w:val="en-CA"/>
              </w:rPr>
              <w:t xml:space="preserve"> </w:t>
            </w:r>
            <w:r w:rsidRPr="007C759E">
              <w:rPr>
                <w:rStyle w:val="hps"/>
                <w:color w:val="FF0000"/>
                <w:u w:val="single"/>
                <w:lang w:val="en-CA"/>
              </w:rPr>
              <w:t>If</w:t>
            </w:r>
            <w:r w:rsidRPr="007C759E">
              <w:rPr>
                <w:color w:val="FF0000"/>
                <w:u w:val="single"/>
                <w:lang w:val="en-CA"/>
              </w:rPr>
              <w:t xml:space="preserve"> </w:t>
            </w:r>
            <w:r w:rsidRPr="007C759E">
              <w:rPr>
                <w:rStyle w:val="hps"/>
                <w:color w:val="FF0000"/>
                <w:u w:val="single"/>
                <w:lang w:val="en-CA"/>
              </w:rPr>
              <w:t>no liquid is</w:t>
            </w:r>
            <w:r w:rsidRPr="007C759E">
              <w:rPr>
                <w:color w:val="FF0000"/>
                <w:u w:val="single"/>
                <w:lang w:val="en-CA"/>
              </w:rPr>
              <w:t xml:space="preserve"> </w:t>
            </w:r>
            <w:r w:rsidRPr="007C759E">
              <w:rPr>
                <w:rStyle w:val="hps"/>
                <w:color w:val="FF0000"/>
                <w:u w:val="single"/>
                <w:lang w:val="en-CA"/>
              </w:rPr>
              <w:t>visible</w:t>
            </w:r>
            <w:r w:rsidRPr="007C759E">
              <w:rPr>
                <w:color w:val="FF0000"/>
                <w:u w:val="single"/>
                <w:lang w:val="en-CA"/>
              </w:rPr>
              <w:t xml:space="preserve"> when filling the inner </w:t>
            </w:r>
            <w:proofErr w:type="spellStart"/>
            <w:r w:rsidRPr="007C759E">
              <w:rPr>
                <w:color w:val="FF0000"/>
                <w:u w:val="single"/>
                <w:lang w:val="en-CA"/>
              </w:rPr>
              <w:t>packagings</w:t>
            </w:r>
            <w:proofErr w:type="spellEnd"/>
            <w:r w:rsidRPr="007C759E">
              <w:rPr>
                <w:color w:val="FF0000"/>
                <w:u w:val="single"/>
                <w:lang w:val="en-CA"/>
              </w:rPr>
              <w:t xml:space="preserve"> – rigid or </w:t>
            </w:r>
            <w:proofErr w:type="spellStart"/>
            <w:r w:rsidRPr="007C759E">
              <w:rPr>
                <w:color w:val="FF0000"/>
                <w:u w:val="single"/>
                <w:lang w:val="en-CA"/>
              </w:rPr>
              <w:t>flexible</w:t>
            </w:r>
            <w:r w:rsidRPr="007C759E">
              <w:rPr>
                <w:color w:val="FF0000"/>
                <w:u w:val="single"/>
                <w:vertAlign w:val="superscript"/>
                <w:lang w:val="en-CA"/>
              </w:rPr>
              <w:t>a</w:t>
            </w:r>
            <w:proofErr w:type="spellEnd"/>
            <w:r w:rsidRPr="007C759E">
              <w:rPr>
                <w:color w:val="FF0000"/>
                <w:u w:val="single"/>
                <w:lang w:val="en-CA"/>
              </w:rPr>
              <w:t xml:space="preserve"> inner </w:t>
            </w:r>
            <w:proofErr w:type="spellStart"/>
            <w:r w:rsidRPr="007C759E">
              <w:rPr>
                <w:color w:val="FF0000"/>
                <w:u w:val="single"/>
                <w:lang w:val="en-CA"/>
              </w:rPr>
              <w:t>packagings</w:t>
            </w:r>
            <w:proofErr w:type="spellEnd"/>
            <w:r w:rsidRPr="007C759E">
              <w:rPr>
                <w:color w:val="FF0000"/>
                <w:u w:val="single"/>
                <w:lang w:val="en-CA"/>
              </w:rPr>
              <w:t xml:space="preserve"> must be used and contained in one these large </w:t>
            </w:r>
            <w:proofErr w:type="spellStart"/>
            <w:r w:rsidRPr="007C759E">
              <w:rPr>
                <w:color w:val="FF0000"/>
                <w:u w:val="single"/>
                <w:lang w:val="en-CA"/>
              </w:rPr>
              <w:t>packagings</w:t>
            </w:r>
            <w:proofErr w:type="spellEnd"/>
            <w:r w:rsidRPr="007C759E">
              <w:rPr>
                <w:color w:val="FF0000"/>
                <w:u w:val="single"/>
                <w:lang w:val="en-CA"/>
              </w:rPr>
              <w:t>:</w:t>
            </w:r>
            <w:r w:rsidRPr="007C759E">
              <w:rPr>
                <w:color w:val="FF0000"/>
                <w:lang w:val="en-CA"/>
              </w:rPr>
              <w:t xml:space="preserve"> </w:t>
            </w:r>
          </w:p>
          <w:p w:rsidR="00C40508" w:rsidRPr="007C759E" w:rsidRDefault="00C40508" w:rsidP="00D15B18">
            <w:pPr>
              <w:spacing w:before="60" w:after="60" w:line="240" w:lineRule="auto"/>
              <w:rPr>
                <w:color w:val="FF0000"/>
                <w:u w:val="single"/>
                <w:lang w:val="en-CA"/>
              </w:rPr>
            </w:pPr>
            <w:r w:rsidRPr="007C759E">
              <w:rPr>
                <w:color w:val="FF0000"/>
                <w:u w:val="single"/>
                <w:lang w:val="en-CA"/>
              </w:rPr>
              <w:t xml:space="preserve">            steel (50A) ;</w:t>
            </w:r>
          </w:p>
          <w:p w:rsidR="00C40508" w:rsidRPr="007C759E" w:rsidRDefault="00C40508" w:rsidP="00D15B18">
            <w:pPr>
              <w:spacing w:before="60" w:after="60" w:line="240" w:lineRule="auto"/>
              <w:rPr>
                <w:color w:val="FF0000"/>
                <w:u w:val="single"/>
                <w:lang w:val="en-CA"/>
              </w:rPr>
            </w:pPr>
            <w:r w:rsidRPr="007C759E">
              <w:rPr>
                <w:color w:val="FF0000"/>
                <w:u w:val="single"/>
                <w:lang w:val="en-CA"/>
              </w:rPr>
              <w:t xml:space="preserve">            aluminium (50B) ;</w:t>
            </w:r>
          </w:p>
          <w:p w:rsidR="00C40508" w:rsidRPr="007C759E" w:rsidRDefault="00C40508" w:rsidP="00D15B18">
            <w:pPr>
              <w:spacing w:before="60" w:after="60" w:line="240" w:lineRule="auto"/>
              <w:rPr>
                <w:color w:val="FF0000"/>
                <w:u w:val="single"/>
                <w:lang w:val="en-CA"/>
              </w:rPr>
            </w:pPr>
            <w:r w:rsidRPr="007C759E">
              <w:rPr>
                <w:color w:val="FF0000"/>
                <w:u w:val="single"/>
                <w:lang w:val="en-CA"/>
              </w:rPr>
              <w:t xml:space="preserve">            natural wood (50C) ;</w:t>
            </w:r>
          </w:p>
          <w:p w:rsidR="00C40508" w:rsidRPr="007C759E" w:rsidRDefault="00C40508" w:rsidP="00D15B18">
            <w:pPr>
              <w:spacing w:before="60" w:after="60" w:line="240" w:lineRule="auto"/>
              <w:rPr>
                <w:color w:val="FF0000"/>
                <w:u w:val="single"/>
                <w:lang w:val="en-CA"/>
              </w:rPr>
            </w:pPr>
            <w:r w:rsidRPr="007C759E">
              <w:rPr>
                <w:color w:val="FF0000"/>
                <w:u w:val="single"/>
                <w:lang w:val="en-CA"/>
              </w:rPr>
              <w:t xml:space="preserve">            plywood (50D) ;</w:t>
            </w:r>
          </w:p>
          <w:p w:rsidR="00C40508" w:rsidRPr="007C759E" w:rsidRDefault="00C40508" w:rsidP="00D15B18">
            <w:pPr>
              <w:spacing w:before="60" w:after="60" w:line="240" w:lineRule="auto"/>
              <w:rPr>
                <w:color w:val="FF0000"/>
                <w:u w:val="single"/>
                <w:lang w:val="en-CA"/>
              </w:rPr>
            </w:pPr>
            <w:r w:rsidRPr="007C759E">
              <w:rPr>
                <w:color w:val="FF0000"/>
                <w:u w:val="single"/>
                <w:lang w:val="en-CA"/>
              </w:rPr>
              <w:t xml:space="preserve">            reconstituted wood (50F) ;</w:t>
            </w:r>
          </w:p>
          <w:p w:rsidR="00C40508" w:rsidRPr="007C759E" w:rsidRDefault="00C40508" w:rsidP="00D15B18">
            <w:pPr>
              <w:spacing w:before="60" w:after="60" w:line="240" w:lineRule="auto"/>
              <w:rPr>
                <w:color w:val="FF0000"/>
                <w:u w:val="single"/>
                <w:lang w:val="en-CA"/>
              </w:rPr>
            </w:pPr>
            <w:r w:rsidRPr="007C759E">
              <w:rPr>
                <w:color w:val="FF0000"/>
                <w:u w:val="single"/>
                <w:lang w:val="en-CA"/>
              </w:rPr>
              <w:t xml:space="preserve">            rigid fibreboard (50G) ;</w:t>
            </w:r>
          </w:p>
          <w:p w:rsidR="00C40508" w:rsidRPr="007C759E" w:rsidRDefault="00C40508" w:rsidP="00D15B18">
            <w:pPr>
              <w:spacing w:before="60" w:after="60" w:line="240" w:lineRule="auto"/>
              <w:rPr>
                <w:color w:val="FF0000"/>
                <w:u w:val="single"/>
                <w:lang w:val="en-CA"/>
              </w:rPr>
            </w:pPr>
            <w:r w:rsidRPr="007C759E">
              <w:rPr>
                <w:color w:val="FF0000"/>
                <w:u w:val="single"/>
                <w:lang w:val="en-CA"/>
              </w:rPr>
              <w:t xml:space="preserve">            rigid plastics (50H) ;</w:t>
            </w:r>
          </w:p>
          <w:p w:rsidR="00C40508" w:rsidRPr="007C759E" w:rsidRDefault="00C40508" w:rsidP="00D15B18">
            <w:pPr>
              <w:spacing w:before="60" w:after="60" w:line="240" w:lineRule="auto"/>
              <w:rPr>
                <w:color w:val="FF0000"/>
                <w:u w:val="single"/>
                <w:lang w:val="en-CA"/>
              </w:rPr>
            </w:pPr>
            <w:r w:rsidRPr="007C759E">
              <w:rPr>
                <w:color w:val="FF0000"/>
                <w:u w:val="single"/>
                <w:lang w:val="en-CA"/>
              </w:rPr>
              <w:t xml:space="preserve">            </w:t>
            </w:r>
            <w:proofErr w:type="gramStart"/>
            <w:r w:rsidRPr="007C759E">
              <w:rPr>
                <w:color w:val="FF0000"/>
                <w:u w:val="single"/>
                <w:lang w:val="en-CA"/>
              </w:rPr>
              <w:t>metal</w:t>
            </w:r>
            <w:proofErr w:type="gramEnd"/>
            <w:r w:rsidRPr="007C759E">
              <w:rPr>
                <w:color w:val="FF0000"/>
                <w:u w:val="single"/>
                <w:lang w:val="en-CA"/>
              </w:rPr>
              <w:t xml:space="preserve"> other than steel or aluminium (50N).</w:t>
            </w:r>
          </w:p>
          <w:p w:rsidR="00C40508" w:rsidRPr="008F2D49" w:rsidRDefault="00C40508" w:rsidP="00D15B18">
            <w:pPr>
              <w:spacing w:before="60" w:after="60" w:line="240" w:lineRule="auto"/>
              <w:rPr>
                <w:color w:val="FF0000"/>
                <w:u w:val="single"/>
                <w:lang w:val="en-CA"/>
              </w:rPr>
            </w:pPr>
            <w:r w:rsidRPr="007C759E">
              <w:rPr>
                <w:color w:val="FF0000"/>
                <w:u w:val="single"/>
                <w:lang w:val="en-CA"/>
              </w:rPr>
              <w:t xml:space="preserve">The large </w:t>
            </w:r>
            <w:proofErr w:type="spellStart"/>
            <w:r w:rsidRPr="007C759E">
              <w:rPr>
                <w:color w:val="FF0000"/>
                <w:u w:val="single"/>
                <w:lang w:val="en-CA"/>
              </w:rPr>
              <w:t>packagings</w:t>
            </w:r>
            <w:proofErr w:type="spellEnd"/>
            <w:r w:rsidRPr="007C759E">
              <w:rPr>
                <w:color w:val="FF0000"/>
                <w:u w:val="single"/>
                <w:lang w:val="en-CA"/>
              </w:rPr>
              <w:t xml:space="preserve"> shall conform to the packing group II performance level for solids.  If </w:t>
            </w:r>
            <w:r w:rsidRPr="007C759E">
              <w:rPr>
                <w:rStyle w:val="hps"/>
                <w:color w:val="FF0000"/>
                <w:u w:val="single"/>
                <w:lang w:val="en"/>
              </w:rPr>
              <w:t>the presence of residual</w:t>
            </w:r>
            <w:r w:rsidRPr="007C759E">
              <w:rPr>
                <w:color w:val="FF0000"/>
                <w:u w:val="single"/>
                <w:lang w:val="en"/>
              </w:rPr>
              <w:t xml:space="preserve"> </w:t>
            </w:r>
            <w:r w:rsidRPr="007C759E">
              <w:rPr>
                <w:rStyle w:val="hps"/>
                <w:color w:val="FF0000"/>
                <w:u w:val="single"/>
                <w:lang w:val="en"/>
              </w:rPr>
              <w:t>liquid</w:t>
            </w:r>
            <w:r w:rsidRPr="007C759E">
              <w:rPr>
                <w:color w:val="FF0000"/>
                <w:u w:val="single"/>
                <w:lang w:val="en"/>
              </w:rPr>
              <w:t xml:space="preserve"> </w:t>
            </w:r>
            <w:r w:rsidRPr="007C759E">
              <w:rPr>
                <w:rStyle w:val="hps"/>
                <w:color w:val="FF0000"/>
                <w:u w:val="single"/>
                <w:lang w:val="en"/>
              </w:rPr>
              <w:t>in the large packaging</w:t>
            </w:r>
            <w:r w:rsidRPr="007C759E">
              <w:rPr>
                <w:color w:val="FF0000"/>
                <w:u w:val="single"/>
                <w:lang w:val="en"/>
              </w:rPr>
              <w:t xml:space="preserve"> </w:t>
            </w:r>
            <w:r w:rsidRPr="007C759E">
              <w:rPr>
                <w:rStyle w:val="hps"/>
                <w:color w:val="FF0000"/>
                <w:u w:val="single"/>
                <w:lang w:val="en"/>
              </w:rPr>
              <w:t>cannot be excluded</w:t>
            </w:r>
            <w:r w:rsidRPr="007C759E">
              <w:rPr>
                <w:color w:val="FF0000"/>
                <w:u w:val="single"/>
                <w:lang w:val="en"/>
              </w:rPr>
              <w:t xml:space="preserve">, </w:t>
            </w:r>
            <w:r w:rsidRPr="007C759E">
              <w:rPr>
                <w:rStyle w:val="hps"/>
                <w:color w:val="FF0000"/>
                <w:u w:val="single"/>
                <w:lang w:val="en"/>
              </w:rPr>
              <w:t>absorbent</w:t>
            </w:r>
            <w:r w:rsidRPr="008F2D49">
              <w:rPr>
                <w:rStyle w:val="hps"/>
                <w:color w:val="FF0000"/>
                <w:u w:val="single"/>
                <w:lang w:val="en"/>
              </w:rPr>
              <w:t xml:space="preserve"> material in</w:t>
            </w:r>
            <w:r w:rsidRPr="008F2D49">
              <w:rPr>
                <w:color w:val="FF0000"/>
                <w:u w:val="single"/>
                <w:lang w:val="en"/>
              </w:rPr>
              <w:t xml:space="preserve"> </w:t>
            </w:r>
            <w:r w:rsidRPr="008F2D49">
              <w:rPr>
                <w:rStyle w:val="hps"/>
                <w:color w:val="FF0000"/>
                <w:u w:val="single"/>
                <w:lang w:val="en"/>
              </w:rPr>
              <w:t>sufficient quantity to absorb</w:t>
            </w:r>
            <w:r w:rsidRPr="008F2D49">
              <w:rPr>
                <w:color w:val="FF0000"/>
                <w:u w:val="single"/>
                <w:lang w:val="en"/>
              </w:rPr>
              <w:t xml:space="preserve"> </w:t>
            </w:r>
            <w:r w:rsidRPr="008F2D49">
              <w:rPr>
                <w:rStyle w:val="hps"/>
                <w:color w:val="FF0000"/>
                <w:u w:val="single"/>
                <w:lang w:val="en"/>
              </w:rPr>
              <w:t>all the liquid</w:t>
            </w:r>
            <w:r w:rsidRPr="008F2D49">
              <w:rPr>
                <w:color w:val="FF0000"/>
                <w:u w:val="single"/>
                <w:lang w:val="en"/>
              </w:rPr>
              <w:t xml:space="preserve"> </w:t>
            </w:r>
            <w:r w:rsidRPr="008F2D49">
              <w:rPr>
                <w:rStyle w:val="hps"/>
                <w:color w:val="FF0000"/>
                <w:u w:val="single"/>
                <w:lang w:val="en"/>
              </w:rPr>
              <w:t>that may be present</w:t>
            </w:r>
            <w:r w:rsidRPr="008F2D49">
              <w:rPr>
                <w:color w:val="FF0000"/>
                <w:u w:val="single"/>
                <w:lang w:val="en"/>
              </w:rPr>
              <w:t xml:space="preserve"> </w:t>
            </w:r>
            <w:r w:rsidRPr="008F2D49">
              <w:rPr>
                <w:rStyle w:val="hps"/>
                <w:color w:val="FF0000"/>
                <w:u w:val="single"/>
                <w:lang w:val="en"/>
              </w:rPr>
              <w:t>shall be used.</w:t>
            </w:r>
            <w:r w:rsidRPr="008F2D49">
              <w:rPr>
                <w:rStyle w:val="hps"/>
                <w:rFonts w:ascii="Arial" w:hAnsi="Arial" w:cs="Arial"/>
                <w:color w:val="222222"/>
                <w:u w:val="single"/>
                <w:lang w:val="en"/>
              </w:rPr>
              <w:t xml:space="preserve"> </w:t>
            </w:r>
            <w:r w:rsidRPr="008F2D49">
              <w:rPr>
                <w:color w:val="FF0000"/>
                <w:u w:val="single"/>
                <w:lang w:val="en-CA"/>
              </w:rPr>
              <w:t xml:space="preserve"> Large </w:t>
            </w:r>
            <w:proofErr w:type="spellStart"/>
            <w:r w:rsidRPr="008F2D49">
              <w:rPr>
                <w:color w:val="FF0000"/>
                <w:u w:val="single"/>
                <w:lang w:val="en-CA"/>
              </w:rPr>
              <w:t>packagings</w:t>
            </w:r>
            <w:proofErr w:type="spellEnd"/>
            <w:r w:rsidRPr="008F2D49">
              <w:rPr>
                <w:color w:val="FF0000"/>
                <w:u w:val="single"/>
                <w:lang w:val="en-CA"/>
              </w:rPr>
              <w:t xml:space="preserve"> shall be capable of retaining liquids. </w:t>
            </w:r>
          </w:p>
          <w:p w:rsidR="00C40508" w:rsidRPr="008F2D49" w:rsidRDefault="00C40508" w:rsidP="00D15B18">
            <w:pPr>
              <w:spacing w:before="60" w:after="60" w:line="240" w:lineRule="auto"/>
              <w:rPr>
                <w:color w:val="FF0000"/>
                <w:u w:val="single"/>
                <w:lang w:val="en-CA"/>
              </w:rPr>
            </w:pPr>
          </w:p>
          <w:p w:rsidR="00C40508" w:rsidRPr="008F2D49" w:rsidRDefault="00C40508" w:rsidP="00D15B18">
            <w:pPr>
              <w:spacing w:before="60" w:after="60" w:line="240" w:lineRule="auto"/>
              <w:ind w:right="229"/>
              <w:rPr>
                <w:color w:val="FF0000"/>
                <w:u w:val="single"/>
                <w:lang w:val="en-CA"/>
              </w:rPr>
            </w:pPr>
            <w:r w:rsidRPr="008F2D49">
              <w:rPr>
                <w:color w:val="FF0000"/>
                <w:u w:val="single"/>
                <w:vertAlign w:val="superscript"/>
                <w:lang w:val="en-CA"/>
              </w:rPr>
              <w:t>a</w:t>
            </w:r>
            <w:r w:rsidRPr="008F2D49">
              <w:rPr>
                <w:color w:val="FF0000"/>
                <w:u w:val="single"/>
                <w:lang w:val="en-CA"/>
              </w:rPr>
              <w:t xml:space="preserve"> </w:t>
            </w:r>
            <w:r w:rsidRPr="008F2D49">
              <w:rPr>
                <w:color w:val="FF0000"/>
                <w:u w:val="single"/>
                <w:lang w:val="en"/>
              </w:rPr>
              <w:t xml:space="preserve">The flexible inner </w:t>
            </w:r>
            <w:proofErr w:type="spellStart"/>
            <w:r w:rsidRPr="008F2D49">
              <w:rPr>
                <w:color w:val="FF0000"/>
                <w:u w:val="single"/>
                <w:lang w:val="en"/>
              </w:rPr>
              <w:t>packagings</w:t>
            </w:r>
            <w:proofErr w:type="spellEnd"/>
            <w:r w:rsidRPr="008F2D49">
              <w:rPr>
                <w:color w:val="FF0000"/>
                <w:u w:val="single"/>
                <w:lang w:val="en"/>
              </w:rPr>
              <w:t xml:space="preserve"> must be hermetically sealed, </w:t>
            </w:r>
            <w:proofErr w:type="spellStart"/>
            <w:r w:rsidRPr="008F2D49">
              <w:rPr>
                <w:color w:val="FF0000"/>
                <w:u w:val="single"/>
                <w:lang w:val="en"/>
              </w:rPr>
              <w:t>leakproof</w:t>
            </w:r>
            <w:proofErr w:type="spellEnd"/>
            <w:r w:rsidRPr="008F2D49">
              <w:rPr>
                <w:color w:val="FF0000"/>
                <w:u w:val="single"/>
                <w:lang w:val="en"/>
              </w:rPr>
              <w:t xml:space="preserve"> plastic bags such that the bags are capable of being maintained in an inverted position with the closed end facing downward during a period of 5 minutes without leakage.</w:t>
            </w:r>
          </w:p>
          <w:p w:rsidR="00C40508" w:rsidRPr="008F2D49" w:rsidRDefault="00C40508" w:rsidP="00D15B18">
            <w:pPr>
              <w:spacing w:before="60" w:after="60" w:line="240" w:lineRule="auto"/>
              <w:ind w:right="229"/>
              <w:rPr>
                <w:color w:val="FF0000"/>
                <w:u w:val="single"/>
                <w:lang w:val="en-CA"/>
              </w:rPr>
            </w:pPr>
          </w:p>
          <w:p w:rsidR="00C40508" w:rsidRPr="008F2D49" w:rsidRDefault="00C40508" w:rsidP="00D15B18">
            <w:pPr>
              <w:spacing w:before="60" w:after="60" w:line="240" w:lineRule="auto"/>
              <w:ind w:right="229"/>
              <w:rPr>
                <w:color w:val="FF0000"/>
                <w:u w:val="single"/>
                <w:lang w:val="en-CA"/>
              </w:rPr>
            </w:pPr>
            <w:r w:rsidRPr="008F2D49">
              <w:rPr>
                <w:color w:val="FF0000"/>
                <w:u w:val="single"/>
                <w:lang w:val="en-CA"/>
              </w:rPr>
              <w:t xml:space="preserve"> T</w:t>
            </w:r>
            <w:r w:rsidRPr="008F2D49">
              <w:rPr>
                <w:color w:val="FF0000"/>
                <w:u w:val="single"/>
                <w:lang w:val="en"/>
              </w:rPr>
              <w:t xml:space="preserve">he plastic film from which the bags are made ​​must also have an impact resistance of at least 165g determined by ISO 7765-1988 " Plastics film and sheeting - Determination of impact resistance by the free-falling dart method - Part 1: " Staircase methods " and have a tear resistance of at least 480g in both parallel and perpendicular planes with respect to the length of the bag determined by ISO 6383-2 : 1983 " Plastics - film and sheeting - determination of tear resistance - Part 2: Elmendorf method ". The gross mass of a sealed bag must be equal or less than </w:t>
            </w:r>
            <w:proofErr w:type="gramStart"/>
            <w:r w:rsidRPr="008F2D49">
              <w:rPr>
                <w:color w:val="FF0000"/>
                <w:u w:val="single"/>
                <w:lang w:val="en"/>
              </w:rPr>
              <w:t>30kg .</w:t>
            </w:r>
            <w:proofErr w:type="gramEnd"/>
          </w:p>
          <w:p w:rsidR="00C40508" w:rsidRPr="000C6888" w:rsidRDefault="00C40508" w:rsidP="00D15B18">
            <w:pPr>
              <w:spacing w:before="60" w:after="60" w:line="240" w:lineRule="auto"/>
              <w:rPr>
                <w:color w:val="FF0000"/>
                <w:lang w:val="en-CA"/>
              </w:rPr>
            </w:pPr>
            <w:r w:rsidRPr="000C6888">
              <w:rPr>
                <w:strike/>
                <w:color w:val="FF0000"/>
                <w:lang w:val="en-CA"/>
              </w:rPr>
              <w:t xml:space="preserve">Rigid, </w:t>
            </w:r>
            <w:proofErr w:type="spellStart"/>
            <w:r w:rsidRPr="000C6888">
              <w:rPr>
                <w:strike/>
                <w:color w:val="FF0000"/>
                <w:lang w:val="en-CA"/>
              </w:rPr>
              <w:t>leakproof</w:t>
            </w:r>
            <w:proofErr w:type="spellEnd"/>
            <w:r w:rsidRPr="000C6888">
              <w:rPr>
                <w:strike/>
                <w:color w:val="FF0000"/>
                <w:lang w:val="en-CA"/>
              </w:rPr>
              <w:t xml:space="preserve"> large </w:t>
            </w:r>
            <w:proofErr w:type="spellStart"/>
            <w:r w:rsidRPr="000C6888">
              <w:rPr>
                <w:strike/>
                <w:color w:val="FF0000"/>
                <w:lang w:val="en-CA"/>
              </w:rPr>
              <w:t>packagings</w:t>
            </w:r>
            <w:proofErr w:type="spellEnd"/>
            <w:r w:rsidRPr="000C6888">
              <w:rPr>
                <w:strike/>
                <w:color w:val="FF0000"/>
                <w:lang w:val="en-CA"/>
              </w:rPr>
              <w:t xml:space="preserve"> conforming to the requirements of Chapter 6.6 for solids, at the packing group II performance level, provided that there is sufficient absorbent material to absorb the entire amount of liquid present and the large </w:t>
            </w:r>
            <w:proofErr w:type="spellStart"/>
            <w:r w:rsidRPr="000C6888">
              <w:rPr>
                <w:strike/>
                <w:color w:val="FF0000"/>
                <w:lang w:val="en-CA"/>
              </w:rPr>
              <w:t>packagings</w:t>
            </w:r>
            <w:proofErr w:type="spellEnd"/>
            <w:r w:rsidRPr="000C6888">
              <w:rPr>
                <w:strike/>
                <w:color w:val="FF0000"/>
                <w:lang w:val="en-CA"/>
              </w:rPr>
              <w:t xml:space="preserve"> is capable of retaining liquids.</w:t>
            </w:r>
          </w:p>
          <w:p w:rsidR="00C40508" w:rsidRPr="000C6888" w:rsidRDefault="00C40508" w:rsidP="00D15B18">
            <w:pPr>
              <w:spacing w:before="60" w:after="60" w:line="240" w:lineRule="auto"/>
              <w:rPr>
                <w:lang w:val="en-CA"/>
              </w:rPr>
            </w:pPr>
          </w:p>
          <w:p w:rsidR="00C40508" w:rsidRPr="000C6888" w:rsidRDefault="00C40508" w:rsidP="00D15B18">
            <w:pPr>
              <w:spacing w:before="60" w:after="60" w:line="240" w:lineRule="auto"/>
              <w:rPr>
                <w:lang w:val="en-CA"/>
              </w:rPr>
            </w:pPr>
            <w:r w:rsidRPr="000C6888">
              <w:rPr>
                <w:lang w:val="en-CA"/>
              </w:rPr>
              <w:t xml:space="preserve">2) </w:t>
            </w:r>
            <w:r w:rsidRPr="000C6888">
              <w:rPr>
                <w:strike/>
                <w:color w:val="FF0000"/>
                <w:lang w:val="en-CA"/>
              </w:rPr>
              <w:t>For packages containing larger q</w:t>
            </w:r>
            <w:r>
              <w:rPr>
                <w:strike/>
                <w:color w:val="FF0000"/>
                <w:lang w:val="en-CA"/>
              </w:rPr>
              <w:t xml:space="preserve">uantities of liquid: Large rigid </w:t>
            </w:r>
            <w:proofErr w:type="spellStart"/>
            <w:r>
              <w:rPr>
                <w:strike/>
                <w:color w:val="FF0000"/>
                <w:lang w:val="en-CA"/>
              </w:rPr>
              <w:t>packagins</w:t>
            </w:r>
            <w:proofErr w:type="spellEnd"/>
            <w:r>
              <w:rPr>
                <w:strike/>
                <w:color w:val="FF0000"/>
                <w:lang w:val="en-CA"/>
              </w:rPr>
              <w:t xml:space="preserve"> conforming to the requirements of Chapter 6.6, at the packing group II performance level, for liquids</w:t>
            </w:r>
            <w:r w:rsidRPr="000C6888">
              <w:rPr>
                <w:color w:val="FF0000"/>
                <w:lang w:val="en-CA"/>
              </w:rPr>
              <w:t>.</w:t>
            </w:r>
            <w:r>
              <w:rPr>
                <w:color w:val="FF0000"/>
                <w:lang w:val="en-CA"/>
              </w:rPr>
              <w:t xml:space="preserve"> </w:t>
            </w:r>
            <w:r w:rsidRPr="008F2D49">
              <w:rPr>
                <w:rStyle w:val="hps"/>
                <w:color w:val="FF0000"/>
                <w:u w:val="single"/>
                <w:lang w:val="en-CA"/>
              </w:rPr>
              <w:t>If liquid is visible</w:t>
            </w:r>
            <w:r w:rsidRPr="008F2D49">
              <w:rPr>
                <w:rStyle w:val="shorttext"/>
                <w:color w:val="FF0000"/>
                <w:u w:val="single"/>
                <w:lang w:val="en-CA"/>
              </w:rPr>
              <w:t xml:space="preserve"> when filling the inner </w:t>
            </w:r>
            <w:proofErr w:type="spellStart"/>
            <w:r w:rsidRPr="008F2D49">
              <w:rPr>
                <w:rStyle w:val="shorttext"/>
                <w:color w:val="FF0000"/>
                <w:u w:val="single"/>
                <w:lang w:val="en-CA"/>
              </w:rPr>
              <w:t>packagings</w:t>
            </w:r>
            <w:proofErr w:type="spellEnd"/>
            <w:r w:rsidRPr="008F2D49">
              <w:rPr>
                <w:rStyle w:val="shorttext"/>
                <w:color w:val="FF0000"/>
                <w:u w:val="single"/>
                <w:lang w:val="en-CA"/>
              </w:rPr>
              <w:t xml:space="preserve"> </w:t>
            </w:r>
            <w:r w:rsidRPr="008F2D49">
              <w:rPr>
                <w:color w:val="FF0000"/>
                <w:u w:val="single"/>
                <w:lang w:val="en-CA"/>
              </w:rPr>
              <w:t xml:space="preserve"> rigid inner </w:t>
            </w:r>
            <w:proofErr w:type="spellStart"/>
            <w:r w:rsidRPr="008F2D49">
              <w:rPr>
                <w:color w:val="FF0000"/>
                <w:u w:val="single"/>
                <w:lang w:val="en-CA"/>
              </w:rPr>
              <w:t>packagings</w:t>
            </w:r>
            <w:proofErr w:type="spellEnd"/>
            <w:r w:rsidRPr="008F2D49">
              <w:rPr>
                <w:color w:val="FF0000"/>
                <w:u w:val="single"/>
                <w:lang w:val="en-CA"/>
              </w:rPr>
              <w:t xml:space="preserve"> must be used and contained in one these large </w:t>
            </w:r>
            <w:proofErr w:type="spellStart"/>
            <w:r w:rsidRPr="008F2D49">
              <w:rPr>
                <w:color w:val="FF0000"/>
                <w:u w:val="single"/>
                <w:lang w:val="en-CA"/>
              </w:rPr>
              <w:t>packagings</w:t>
            </w:r>
            <w:proofErr w:type="spellEnd"/>
            <w:r w:rsidRPr="008F2D49">
              <w:rPr>
                <w:color w:val="FF0000"/>
                <w:u w:val="single"/>
                <w:lang w:val="en-CA"/>
              </w:rPr>
              <w:t>:</w:t>
            </w:r>
            <w:r w:rsidRPr="000C6888">
              <w:rPr>
                <w:color w:val="FF0000"/>
                <w:lang w:val="en-CA"/>
              </w:rPr>
              <w:t xml:space="preserve">  </w:t>
            </w:r>
          </w:p>
          <w:p w:rsidR="00C40508" w:rsidRPr="008F2D49" w:rsidRDefault="00C40508" w:rsidP="00D15B18">
            <w:pPr>
              <w:spacing w:before="60" w:after="60" w:line="240" w:lineRule="auto"/>
              <w:rPr>
                <w:color w:val="FF0000"/>
                <w:u w:val="single"/>
                <w:lang w:val="en-CA"/>
              </w:rPr>
            </w:pPr>
            <w:r w:rsidRPr="000C6888">
              <w:rPr>
                <w:color w:val="FF0000"/>
                <w:lang w:val="en-CA"/>
              </w:rPr>
              <w:t xml:space="preserve">            </w:t>
            </w:r>
            <w:r w:rsidRPr="008F2D49">
              <w:rPr>
                <w:color w:val="FF0000"/>
                <w:u w:val="single"/>
                <w:lang w:val="en-CA"/>
              </w:rPr>
              <w:t>steel (50A) ;</w:t>
            </w:r>
          </w:p>
          <w:p w:rsidR="00C40508" w:rsidRPr="008F2D49" w:rsidRDefault="00C40508" w:rsidP="00D15B18">
            <w:pPr>
              <w:spacing w:before="60" w:after="60" w:line="240" w:lineRule="auto"/>
              <w:rPr>
                <w:color w:val="FF0000"/>
                <w:u w:val="single"/>
                <w:lang w:val="en-CA"/>
              </w:rPr>
            </w:pPr>
            <w:r w:rsidRPr="008F2D49">
              <w:rPr>
                <w:color w:val="FF0000"/>
                <w:u w:val="single"/>
                <w:lang w:val="en-CA"/>
              </w:rPr>
              <w:t xml:space="preserve">            aluminium (50B) ;</w:t>
            </w:r>
          </w:p>
          <w:p w:rsidR="00C40508" w:rsidRPr="008F2D49" w:rsidRDefault="00C40508" w:rsidP="00D15B18">
            <w:pPr>
              <w:spacing w:before="60" w:after="60" w:line="240" w:lineRule="auto"/>
              <w:rPr>
                <w:color w:val="FF0000"/>
                <w:u w:val="single"/>
                <w:lang w:val="en-CA"/>
              </w:rPr>
            </w:pPr>
            <w:r w:rsidRPr="008F2D49">
              <w:rPr>
                <w:color w:val="FF0000"/>
                <w:u w:val="single"/>
                <w:lang w:val="en-CA"/>
              </w:rPr>
              <w:t xml:space="preserve">            rigid plastics (50H) ;</w:t>
            </w:r>
          </w:p>
          <w:p w:rsidR="00C40508" w:rsidRPr="008F2D49" w:rsidRDefault="00C40508" w:rsidP="00D15B18">
            <w:pPr>
              <w:spacing w:before="60" w:after="60" w:line="240" w:lineRule="auto"/>
              <w:rPr>
                <w:color w:val="FF0000"/>
                <w:u w:val="single"/>
                <w:lang w:val="en-CA"/>
              </w:rPr>
            </w:pPr>
            <w:r w:rsidRPr="008F2D49">
              <w:rPr>
                <w:color w:val="FF0000"/>
                <w:u w:val="single"/>
                <w:lang w:val="en-CA"/>
              </w:rPr>
              <w:t xml:space="preserve">            </w:t>
            </w:r>
            <w:proofErr w:type="gramStart"/>
            <w:r w:rsidRPr="008F2D49">
              <w:rPr>
                <w:color w:val="FF0000"/>
                <w:u w:val="single"/>
                <w:lang w:val="en-CA"/>
              </w:rPr>
              <w:t>metal</w:t>
            </w:r>
            <w:proofErr w:type="gramEnd"/>
            <w:r w:rsidRPr="008F2D49">
              <w:rPr>
                <w:color w:val="FF0000"/>
                <w:u w:val="single"/>
                <w:lang w:val="en-CA"/>
              </w:rPr>
              <w:t xml:space="preserve"> other than steel or aluminium (50N).</w:t>
            </w:r>
          </w:p>
          <w:p w:rsidR="00C40508" w:rsidRPr="000C6888" w:rsidRDefault="00C40508" w:rsidP="00D15B18">
            <w:pPr>
              <w:spacing w:before="60" w:after="60" w:line="240" w:lineRule="auto"/>
              <w:rPr>
                <w:lang w:val="en-CA"/>
              </w:rPr>
            </w:pPr>
            <w:r w:rsidRPr="008F2D49">
              <w:rPr>
                <w:color w:val="FF0000"/>
                <w:u w:val="single"/>
                <w:lang w:val="en-CA"/>
              </w:rPr>
              <w:t xml:space="preserve">Large </w:t>
            </w:r>
            <w:proofErr w:type="spellStart"/>
            <w:r w:rsidRPr="008F2D49">
              <w:rPr>
                <w:color w:val="FF0000"/>
                <w:u w:val="single"/>
                <w:lang w:val="en-CA"/>
              </w:rPr>
              <w:t>packagings</w:t>
            </w:r>
            <w:proofErr w:type="spellEnd"/>
            <w:r w:rsidRPr="008F2D49">
              <w:rPr>
                <w:color w:val="FF0000"/>
                <w:u w:val="single"/>
                <w:lang w:val="en-CA"/>
              </w:rPr>
              <w:t xml:space="preserve"> shall conform to the packing group II performance level for liquids.</w:t>
            </w:r>
            <w:r w:rsidRPr="00C0328F">
              <w:rPr>
                <w:color w:val="FF0000"/>
                <w:lang w:val="en-CA"/>
              </w:rPr>
              <w:t xml:space="preserve">  </w:t>
            </w:r>
          </w:p>
        </w:tc>
      </w:tr>
      <w:tr w:rsidR="00C40508" w:rsidRPr="004602C5" w:rsidTr="00D15B18">
        <w:trPr>
          <w:trHeight w:val="244"/>
        </w:trPr>
        <w:tc>
          <w:tcPr>
            <w:tcW w:w="9643" w:type="dxa"/>
            <w:gridSpan w:val="3"/>
            <w:tcBorders>
              <w:top w:val="single" w:sz="4" w:space="0" w:color="000000"/>
              <w:bottom w:val="nil"/>
            </w:tcBorders>
          </w:tcPr>
          <w:p w:rsidR="00C40508" w:rsidRPr="004602C5" w:rsidRDefault="00C40508" w:rsidP="00D15B18">
            <w:pPr>
              <w:spacing w:before="60" w:after="60" w:line="240" w:lineRule="auto"/>
            </w:pPr>
            <w:r>
              <w:rPr>
                <w:b/>
              </w:rPr>
              <w:t>Additional requirement</w:t>
            </w:r>
            <w:r>
              <w:t>:</w:t>
            </w:r>
          </w:p>
        </w:tc>
      </w:tr>
      <w:tr w:rsidR="00C40508" w:rsidRPr="000C6888" w:rsidTr="00D15B18">
        <w:trPr>
          <w:trHeight w:val="360"/>
        </w:trPr>
        <w:tc>
          <w:tcPr>
            <w:tcW w:w="9643" w:type="dxa"/>
            <w:gridSpan w:val="3"/>
            <w:tcBorders>
              <w:top w:val="nil"/>
            </w:tcBorders>
            <w:vAlign w:val="center"/>
          </w:tcPr>
          <w:p w:rsidR="00C40508" w:rsidRPr="000C6888" w:rsidRDefault="00C40508" w:rsidP="00D15B18">
            <w:pPr>
              <w:spacing w:before="60" w:after="60" w:line="240" w:lineRule="auto"/>
              <w:rPr>
                <w:b/>
                <w:lang w:val="en-CA"/>
              </w:rPr>
            </w:pPr>
            <w:r>
              <w:rPr>
                <w:lang w:val="en-CA"/>
              </w:rPr>
              <w:t xml:space="preserve">Large </w:t>
            </w:r>
            <w:proofErr w:type="spellStart"/>
            <w:r>
              <w:rPr>
                <w:lang w:val="en-CA"/>
              </w:rPr>
              <w:t>packagings</w:t>
            </w:r>
            <w:proofErr w:type="spellEnd"/>
            <w:r>
              <w:rPr>
                <w:lang w:val="en-CA"/>
              </w:rPr>
              <w:t xml:space="preserve"> </w:t>
            </w:r>
            <w:r w:rsidRPr="008F2D49">
              <w:rPr>
                <w:color w:val="FF0000"/>
                <w:u w:val="single"/>
                <w:lang w:val="en-CA"/>
              </w:rPr>
              <w:t xml:space="preserve">and their inner </w:t>
            </w:r>
            <w:proofErr w:type="spellStart"/>
            <w:r w:rsidRPr="008F2D49">
              <w:rPr>
                <w:color w:val="FF0000"/>
                <w:u w:val="single"/>
                <w:lang w:val="en-CA"/>
              </w:rPr>
              <w:t>packagings</w:t>
            </w:r>
            <w:proofErr w:type="spellEnd"/>
            <w:r w:rsidRPr="00C0328F">
              <w:rPr>
                <w:lang w:val="en-CA"/>
              </w:rPr>
              <w:t xml:space="preserve"> </w:t>
            </w:r>
            <w:r w:rsidRPr="00F53E38">
              <w:rPr>
                <w:lang w:val="en-CA"/>
              </w:rPr>
              <w:t xml:space="preserve">intended to contain sharp objects such as broken glass and needles shall be resistant to puncture </w:t>
            </w:r>
            <w:r w:rsidRPr="000C6888">
              <w:rPr>
                <w:lang w:val="en-CA"/>
              </w:rPr>
              <w:t>and retain liquids under the performance test conditions in Chapter 6.6.</w:t>
            </w:r>
          </w:p>
        </w:tc>
      </w:tr>
    </w:tbl>
    <w:p w:rsidR="00C40508" w:rsidRPr="00C40508" w:rsidRDefault="00C40508" w:rsidP="00C40508">
      <w:pPr>
        <w:spacing w:before="240"/>
        <w:ind w:left="1134" w:right="1134"/>
        <w:jc w:val="center"/>
        <w:rPr>
          <w:u w:val="single"/>
          <w:lang w:val="en-CA"/>
        </w:rPr>
      </w:pPr>
      <w:r>
        <w:rPr>
          <w:u w:val="single"/>
          <w:lang w:val="en-CA"/>
        </w:rPr>
        <w:tab/>
      </w:r>
      <w:r>
        <w:rPr>
          <w:u w:val="single"/>
          <w:lang w:val="en-CA"/>
        </w:rPr>
        <w:tab/>
      </w:r>
      <w:r>
        <w:rPr>
          <w:u w:val="single"/>
          <w:lang w:val="en-CA"/>
        </w:rPr>
        <w:tab/>
      </w:r>
    </w:p>
    <w:p w:rsidR="00083A13" w:rsidRDefault="00083A13" w:rsidP="00083A13">
      <w:pPr>
        <w:rPr>
          <w:b/>
        </w:rPr>
      </w:pPr>
    </w:p>
    <w:sectPr w:rsidR="00083A13" w:rsidSect="00E05E6F">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B71E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8B6" w:rsidRDefault="005E28B6"/>
  </w:endnote>
  <w:endnote w:type="continuationSeparator" w:id="0">
    <w:p w:rsidR="005E28B6" w:rsidRDefault="005E28B6"/>
  </w:endnote>
  <w:endnote w:type="continuationNotice" w:id="1">
    <w:p w:rsidR="005E28B6" w:rsidRDefault="005E2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roid Sans">
    <w:altName w:val="Times New Roman"/>
    <w:charset w:val="01"/>
    <w:family w:val="auto"/>
    <w:pitch w:val="variable"/>
  </w:font>
  <w:font w:name="FreeSans">
    <w:altName w:val="Times New Roman"/>
    <w:charset w:val="01"/>
    <w:family w:val="auto"/>
    <w:pitch w:val="variable"/>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94" w:rsidRPr="0099001C" w:rsidRDefault="00C27298" w:rsidP="0099001C">
    <w:pPr>
      <w:pStyle w:val="Footer"/>
      <w:tabs>
        <w:tab w:val="right" w:pos="9638"/>
      </w:tabs>
      <w:rPr>
        <w:sz w:val="18"/>
      </w:rPr>
    </w:pPr>
    <w:r>
      <w:rPr>
        <w:noProof/>
        <w:sz w:val="18"/>
        <w:lang w:eastAsia="en-GB"/>
      </w:rPr>
      <mc:AlternateContent>
        <mc:Choice Requires="wps">
          <w:drawing>
            <wp:anchor distT="0" distB="0" distL="114300" distR="114300" simplePos="0" relativeHeight="251657728" behindDoc="0" locked="1" layoutInCell="1" allowOverlap="1" wp14:anchorId="58E23CF6" wp14:editId="7A498F91">
              <wp:simplePos x="0" y="0"/>
              <wp:positionH relativeFrom="column">
                <wp:posOffset>8509000</wp:posOffset>
              </wp:positionH>
              <wp:positionV relativeFrom="paragraph">
                <wp:posOffset>-5629275</wp:posOffset>
              </wp:positionV>
              <wp:extent cx="381000" cy="1257300"/>
              <wp:effectExtent l="3175"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594" w:rsidRPr="00512AD1" w:rsidRDefault="00BF0594" w:rsidP="00D44EAE">
                          <w:pPr>
                            <w:pStyle w:val="Header"/>
                            <w:pBdr>
                              <w:bottom w:val="single" w:sz="4" w:space="31" w:color="auto"/>
                            </w:pBdr>
                            <w:rPr>
                              <w:lang w:val="fr-CH"/>
                            </w:rPr>
                          </w:pPr>
                          <w:r>
                            <w:rPr>
                              <w:lang w:val="fr-CH"/>
                            </w:rPr>
                            <w:t>UN/SCETDG/37/INF.7</w:t>
                          </w:r>
                        </w:p>
                        <w:p w:rsidR="00BF0594" w:rsidRDefault="00BF0594" w:rsidP="00D44EAE"/>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70pt;margin-top:-443.25pt;width:30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" stroked="f">
              <v:textbox style="layout-flow:vertical">
                <w:txbxContent>
                  <w:p w:rsidR="00BF0594" w:rsidRPr="00512AD1" w:rsidRDefault="00BF0594" w:rsidP="00D44EAE">
                    <w:pPr>
                      <w:pStyle w:val="Header"/>
                      <w:pBdr>
                        <w:bottom w:val="single" w:sz="4" w:space="31" w:color="auto"/>
                      </w:pBdr>
                      <w:rPr>
                        <w:lang w:val="fr-CH"/>
                      </w:rPr>
                    </w:pPr>
                    <w:r>
                      <w:rPr>
                        <w:lang w:val="fr-CH"/>
                      </w:rPr>
                      <w:t>UN/SCETDG/37/INF.7</w:t>
                    </w:r>
                  </w:p>
                  <w:p w:rsidR="00BF0594" w:rsidRDefault="00BF0594" w:rsidP="00D44EAE"/>
                </w:txbxContent>
              </v:textbox>
              <w10:anchorlock/>
            </v:shape>
          </w:pict>
        </mc:Fallback>
      </mc:AlternateContent>
    </w:r>
    <w:r w:rsidR="00BF0594">
      <w:rPr>
        <w:rStyle w:val="PageNumber"/>
      </w:rPr>
      <w:fldChar w:fldCharType="begin"/>
    </w:r>
    <w:r w:rsidR="00BF0594">
      <w:rPr>
        <w:rStyle w:val="PageNumber"/>
      </w:rPr>
      <w:instrText xml:space="preserve"> PAGE </w:instrText>
    </w:r>
    <w:r w:rsidR="00BF0594">
      <w:rPr>
        <w:rStyle w:val="PageNumber"/>
      </w:rPr>
      <w:fldChar w:fldCharType="separate"/>
    </w:r>
    <w:r w:rsidR="009240B7">
      <w:rPr>
        <w:rStyle w:val="PageNumber"/>
        <w:noProof/>
      </w:rPr>
      <w:t>4</w:t>
    </w:r>
    <w:r w:rsidR="00BF059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94" w:rsidRPr="0099001C" w:rsidRDefault="00BF0594" w:rsidP="001E4813">
    <w:pPr>
      <w:pStyle w:val="Footer"/>
      <w:tabs>
        <w:tab w:val="right" w:pos="12600"/>
      </w:tabs>
      <w:jc w:val="right"/>
      <w:rPr>
        <w:b/>
        <w:sz w:val="18"/>
      </w:rPr>
    </w:pPr>
    <w:r>
      <w:rPr>
        <w:rStyle w:val="PageNumber"/>
      </w:rPr>
      <w:fldChar w:fldCharType="begin"/>
    </w:r>
    <w:r>
      <w:rPr>
        <w:rStyle w:val="PageNumber"/>
      </w:rPr>
      <w:instrText xml:space="preserve"> PAGE </w:instrText>
    </w:r>
    <w:r>
      <w:rPr>
        <w:rStyle w:val="PageNumber"/>
      </w:rPr>
      <w:fldChar w:fldCharType="separate"/>
    </w:r>
    <w:r w:rsidR="009240B7">
      <w:rPr>
        <w:rStyle w:val="PageNumber"/>
        <w:noProof/>
      </w:rPr>
      <w:t>5</w:t>
    </w:r>
    <w:r>
      <w:rPr>
        <w:rStyle w:val="PageNumber"/>
      </w:rPr>
      <w:fldChar w:fldCharType="end"/>
    </w:r>
    <w:r w:rsidR="00C27298">
      <w:rPr>
        <w:noProof/>
        <w:lang w:eastAsia="en-GB"/>
      </w:rPr>
      <mc:AlternateContent>
        <mc:Choice Requires="wps">
          <w:drawing>
            <wp:anchor distT="0" distB="0" distL="114300" distR="114300" simplePos="0" relativeHeight="251656704" behindDoc="0" locked="1" layoutInCell="1" allowOverlap="1" wp14:anchorId="7315A496" wp14:editId="2057F286">
              <wp:simplePos x="0" y="0"/>
              <wp:positionH relativeFrom="column">
                <wp:posOffset>8509000</wp:posOffset>
              </wp:positionH>
              <wp:positionV relativeFrom="paragraph">
                <wp:posOffset>-1171575</wp:posOffset>
              </wp:positionV>
              <wp:extent cx="381000" cy="1257300"/>
              <wp:effectExtent l="3175"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594" w:rsidRPr="00512AD1" w:rsidRDefault="00BF0594" w:rsidP="00D44EAE">
                          <w:pPr>
                            <w:pStyle w:val="Header"/>
                            <w:pBdr>
                              <w:bottom w:val="single" w:sz="4" w:space="31" w:color="auto"/>
                            </w:pBdr>
                            <w:rPr>
                              <w:lang w:val="fr-CH"/>
                            </w:rPr>
                          </w:pPr>
                          <w:r>
                            <w:rPr>
                              <w:lang w:val="fr-CH"/>
                            </w:rPr>
                            <w:t>UN/SCETDG/37/INF.7</w:t>
                          </w:r>
                        </w:p>
                        <w:p w:rsidR="00BF0594" w:rsidRDefault="00BF0594" w:rsidP="00D44EAE"/>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670pt;margin-top:-92.25pt;width:30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" stroked="f">
              <v:textbox style="layout-flow:vertical">
                <w:txbxContent>
                  <w:p w:rsidR="00BF0594" w:rsidRPr="00512AD1" w:rsidRDefault="00BF0594" w:rsidP="00D44EAE">
                    <w:pPr>
                      <w:pStyle w:val="Header"/>
                      <w:pBdr>
                        <w:bottom w:val="single" w:sz="4" w:space="31" w:color="auto"/>
                      </w:pBdr>
                      <w:rPr>
                        <w:lang w:val="fr-CH"/>
                      </w:rPr>
                    </w:pPr>
                    <w:r>
                      <w:rPr>
                        <w:lang w:val="fr-CH"/>
                      </w:rPr>
                      <w:t>UN/SCETDG/37/INF.7</w:t>
                    </w:r>
                  </w:p>
                  <w:p w:rsidR="00BF0594" w:rsidRDefault="00BF0594" w:rsidP="00D44EAE"/>
                </w:txbxContent>
              </v:textbox>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0B9" w:rsidRDefault="00A23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8B6" w:rsidRPr="000B175B" w:rsidRDefault="005E28B6" w:rsidP="000B175B">
      <w:pPr>
        <w:tabs>
          <w:tab w:val="right" w:pos="2155"/>
        </w:tabs>
        <w:spacing w:after="80"/>
        <w:ind w:left="680"/>
        <w:rPr>
          <w:u w:val="single"/>
        </w:rPr>
      </w:pPr>
      <w:r>
        <w:rPr>
          <w:u w:val="single"/>
        </w:rPr>
        <w:tab/>
      </w:r>
    </w:p>
  </w:footnote>
  <w:footnote w:type="continuationSeparator" w:id="0">
    <w:p w:rsidR="005E28B6" w:rsidRPr="00FC68B7" w:rsidRDefault="005E28B6" w:rsidP="00FC68B7">
      <w:pPr>
        <w:tabs>
          <w:tab w:val="left" w:pos="2155"/>
        </w:tabs>
        <w:spacing w:after="80"/>
        <w:ind w:left="680"/>
        <w:rPr>
          <w:u w:val="single"/>
        </w:rPr>
      </w:pPr>
      <w:r>
        <w:rPr>
          <w:u w:val="single"/>
        </w:rPr>
        <w:tab/>
      </w:r>
    </w:p>
  </w:footnote>
  <w:footnote w:type="continuationNotice" w:id="1">
    <w:p w:rsidR="005E28B6" w:rsidRDefault="005E28B6"/>
  </w:footnote>
  <w:footnote w:id="2">
    <w:p w:rsidR="00C40508" w:rsidRPr="007656AE" w:rsidRDefault="00C40508" w:rsidP="00C40508">
      <w:pPr>
        <w:pStyle w:val="FootnoteText"/>
        <w:ind w:firstLine="0"/>
        <w:rPr>
          <w:lang w:val="fr-CH"/>
        </w:rPr>
      </w:pPr>
      <w:r>
        <w:rPr>
          <w:rStyle w:val="FootnoteReference"/>
        </w:rPr>
        <w:footnoteRef/>
      </w:r>
      <w:r>
        <w:t xml:space="preserve"> </w:t>
      </w:r>
      <w:r w:rsidRPr="00554D27">
        <w:t xml:space="preserve">In accordance </w:t>
      </w:r>
      <w:r w:rsidRPr="00221AA5">
        <w:t>with</w:t>
      </w:r>
      <w:r w:rsidRPr="00554D27">
        <w:t xml:space="preserve"> the programme of wo</w:t>
      </w:r>
      <w:r>
        <w:t>rk of the Sub-Committee for 2015</w:t>
      </w:r>
      <w:r w:rsidRPr="00554D27">
        <w:t>–201</w:t>
      </w:r>
      <w:r>
        <w:t>6</w:t>
      </w:r>
      <w:r w:rsidRPr="00554D27">
        <w:t xml:space="preserve"> approved by the Committee at its </w:t>
      </w:r>
      <w:r>
        <w:t>seven</w:t>
      </w:r>
      <w:r w:rsidRPr="00554D27">
        <w:t xml:space="preserve">th </w:t>
      </w:r>
      <w:proofErr w:type="gramStart"/>
      <w:r w:rsidRPr="00554D27">
        <w:t>session</w:t>
      </w:r>
      <w:proofErr w:type="gramEnd"/>
      <w:r w:rsidRPr="00554D27">
        <w:t xml:space="preserve"> (</w:t>
      </w:r>
      <w:r>
        <w:t>see</w:t>
      </w:r>
      <w:r w:rsidRPr="00554D27">
        <w:t xml:space="preserve"> </w:t>
      </w:r>
      <w:r w:rsidRPr="00A04E8C">
        <w:t>ST/SG/AC.10/C.3/92, paragraph 95</w:t>
      </w:r>
      <w:r>
        <w:t xml:space="preserve"> and ST/SG/AC.10/</w:t>
      </w:r>
      <w:r w:rsidRPr="00A04E8C">
        <w:t>4</w:t>
      </w:r>
      <w:r>
        <w:t>2</w:t>
      </w:r>
      <w:r w:rsidRPr="00A04E8C">
        <w:t>, para. 1</w:t>
      </w:r>
      <w:r>
        <w:t>5</w:t>
      </w:r>
      <w:r w:rsidRPr="00554D27">
        <w:t>).</w:t>
      </w:r>
    </w:p>
    <w:p w:rsidR="00C40508" w:rsidRPr="00C40508" w:rsidRDefault="00C40508">
      <w:pPr>
        <w:pStyle w:val="FootnoteText"/>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94" w:rsidRPr="00FB3D8C" w:rsidRDefault="00C77A18" w:rsidP="00FB3D8C">
    <w:pPr>
      <w:pStyle w:val="Header"/>
    </w:pPr>
    <w:r>
      <w:t>ST/SG/AC.10/C.3/</w:t>
    </w:r>
    <w:r w:rsidR="00A230B9">
      <w:t>2016/26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94" w:rsidRPr="001E4813" w:rsidRDefault="00FE4A23" w:rsidP="001E4813">
    <w:pPr>
      <w:pStyle w:val="Header"/>
      <w:jc w:val="right"/>
      <w:rPr>
        <w:lang w:val="fr-CH"/>
      </w:rPr>
    </w:pPr>
    <w:r>
      <w:rPr>
        <w:lang w:val="fr-CH"/>
      </w:rPr>
      <w:t>ST/SG/AC.10/C.3/</w:t>
    </w:r>
    <w:r w:rsidR="00A230B9">
      <w:rPr>
        <w:lang w:val="fr-CH"/>
      </w:rPr>
      <w:t>2016/26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0B9" w:rsidRDefault="00A230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18pt" o:bullet="t">
        <v:imagedata r:id="rId1" o:title=""/>
      </v:shape>
    </w:pict>
  </w:numPicBullet>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en-G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n-G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n-G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211106"/>
    <w:multiLevelType w:val="multilevel"/>
    <w:tmpl w:val="72849632"/>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9"/>
      <w:numFmt w:val="decimal"/>
      <w:lvlText w:val="%1.%2.%3.%4"/>
      <w:lvlJc w:val="left"/>
      <w:pPr>
        <w:tabs>
          <w:tab w:val="num" w:pos="1140"/>
        </w:tabs>
        <w:ind w:left="1140" w:hanging="1140"/>
      </w:pPr>
      <w:rPr>
        <w:rFonts w:hint="default"/>
      </w:rPr>
    </w:lvl>
    <w:lvl w:ilvl="4">
      <w:start w:val="2"/>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14B4E9C"/>
    <w:multiLevelType w:val="hybridMultilevel"/>
    <w:tmpl w:val="FFCA7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1B5268"/>
    <w:multiLevelType w:val="hybridMultilevel"/>
    <w:tmpl w:val="932EF3BC"/>
    <w:lvl w:ilvl="0" w:tplc="0082EB5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3DB2151"/>
    <w:multiLevelType w:val="hybridMultilevel"/>
    <w:tmpl w:val="FB348880"/>
    <w:lvl w:ilvl="0" w:tplc="2D28DE34">
      <w:start w:val="8"/>
      <w:numFmt w:val="bullet"/>
      <w:lvlText w:val="-"/>
      <w:lvlJc w:val="left"/>
      <w:pPr>
        <w:ind w:left="2064" w:hanging="360"/>
      </w:pPr>
      <w:rPr>
        <w:rFonts w:ascii="Times New Roman" w:eastAsia="Times New Roman" w:hAnsi="Times New Roman" w:cs="Times New Roman" w:hint="default"/>
      </w:rPr>
    </w:lvl>
    <w:lvl w:ilvl="1" w:tplc="10090003" w:tentative="1">
      <w:start w:val="1"/>
      <w:numFmt w:val="bullet"/>
      <w:lvlText w:val="o"/>
      <w:lvlJc w:val="left"/>
      <w:pPr>
        <w:ind w:left="2784" w:hanging="360"/>
      </w:pPr>
      <w:rPr>
        <w:rFonts w:ascii="Courier New" w:hAnsi="Courier New" w:cs="Courier New" w:hint="default"/>
      </w:rPr>
    </w:lvl>
    <w:lvl w:ilvl="2" w:tplc="10090005" w:tentative="1">
      <w:start w:val="1"/>
      <w:numFmt w:val="bullet"/>
      <w:lvlText w:val=""/>
      <w:lvlJc w:val="left"/>
      <w:pPr>
        <w:ind w:left="3504" w:hanging="360"/>
      </w:pPr>
      <w:rPr>
        <w:rFonts w:ascii="Wingdings" w:hAnsi="Wingdings" w:hint="default"/>
      </w:rPr>
    </w:lvl>
    <w:lvl w:ilvl="3" w:tplc="10090001" w:tentative="1">
      <w:start w:val="1"/>
      <w:numFmt w:val="bullet"/>
      <w:lvlText w:val=""/>
      <w:lvlJc w:val="left"/>
      <w:pPr>
        <w:ind w:left="4224" w:hanging="360"/>
      </w:pPr>
      <w:rPr>
        <w:rFonts w:ascii="Symbol" w:hAnsi="Symbol" w:hint="default"/>
      </w:rPr>
    </w:lvl>
    <w:lvl w:ilvl="4" w:tplc="10090003" w:tentative="1">
      <w:start w:val="1"/>
      <w:numFmt w:val="bullet"/>
      <w:lvlText w:val="o"/>
      <w:lvlJc w:val="left"/>
      <w:pPr>
        <w:ind w:left="4944" w:hanging="360"/>
      </w:pPr>
      <w:rPr>
        <w:rFonts w:ascii="Courier New" w:hAnsi="Courier New" w:cs="Courier New" w:hint="default"/>
      </w:rPr>
    </w:lvl>
    <w:lvl w:ilvl="5" w:tplc="10090005" w:tentative="1">
      <w:start w:val="1"/>
      <w:numFmt w:val="bullet"/>
      <w:lvlText w:val=""/>
      <w:lvlJc w:val="left"/>
      <w:pPr>
        <w:ind w:left="5664" w:hanging="360"/>
      </w:pPr>
      <w:rPr>
        <w:rFonts w:ascii="Wingdings" w:hAnsi="Wingdings" w:hint="default"/>
      </w:rPr>
    </w:lvl>
    <w:lvl w:ilvl="6" w:tplc="10090001" w:tentative="1">
      <w:start w:val="1"/>
      <w:numFmt w:val="bullet"/>
      <w:lvlText w:val=""/>
      <w:lvlJc w:val="left"/>
      <w:pPr>
        <w:ind w:left="6384" w:hanging="360"/>
      </w:pPr>
      <w:rPr>
        <w:rFonts w:ascii="Symbol" w:hAnsi="Symbol" w:hint="default"/>
      </w:rPr>
    </w:lvl>
    <w:lvl w:ilvl="7" w:tplc="10090003" w:tentative="1">
      <w:start w:val="1"/>
      <w:numFmt w:val="bullet"/>
      <w:lvlText w:val="o"/>
      <w:lvlJc w:val="left"/>
      <w:pPr>
        <w:ind w:left="7104" w:hanging="360"/>
      </w:pPr>
      <w:rPr>
        <w:rFonts w:ascii="Courier New" w:hAnsi="Courier New" w:cs="Courier New" w:hint="default"/>
      </w:rPr>
    </w:lvl>
    <w:lvl w:ilvl="8" w:tplc="10090005" w:tentative="1">
      <w:start w:val="1"/>
      <w:numFmt w:val="bullet"/>
      <w:lvlText w:val=""/>
      <w:lvlJc w:val="left"/>
      <w:pPr>
        <w:ind w:left="7824" w:hanging="360"/>
      </w:pPr>
      <w:rPr>
        <w:rFonts w:ascii="Wingdings" w:hAnsi="Wingdings" w:hint="default"/>
      </w:rPr>
    </w:lvl>
  </w:abstractNum>
  <w:abstractNum w:abstractNumId="5">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5181C7D"/>
    <w:multiLevelType w:val="hybridMultilevel"/>
    <w:tmpl w:val="D1CAE3E4"/>
    <w:lvl w:ilvl="0" w:tplc="280A8994">
      <w:start w:val="1"/>
      <w:numFmt w:val="decimal"/>
      <w:pStyle w:val="UNParagraph"/>
      <w:lvlText w:val="%1."/>
      <w:lvlJc w:val="left"/>
      <w:pPr>
        <w:ind w:left="1494" w:hanging="360"/>
      </w:p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7">
    <w:nsid w:val="05E95B97"/>
    <w:multiLevelType w:val="multilevel"/>
    <w:tmpl w:val="FB628A22"/>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0CFC5F72"/>
    <w:multiLevelType w:val="hybridMultilevel"/>
    <w:tmpl w:val="99FCD014"/>
    <w:lvl w:ilvl="0" w:tplc="61FA1426">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14F81C80"/>
    <w:multiLevelType w:val="hybridMultilevel"/>
    <w:tmpl w:val="F2006C08"/>
    <w:lvl w:ilvl="0" w:tplc="FD869844">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15C55804"/>
    <w:multiLevelType w:val="hybridMultilevel"/>
    <w:tmpl w:val="5060F7A6"/>
    <w:lvl w:ilvl="0" w:tplc="214470BC">
      <w:start w:val="1"/>
      <w:numFmt w:val="decimal"/>
      <w:pStyle w:val="UNparagraph0"/>
      <w:lvlText w:val="%1."/>
      <w:lvlJc w:val="left"/>
      <w:pPr>
        <w:ind w:left="1494" w:hanging="360"/>
      </w:p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1">
    <w:nsid w:val="200D59DD"/>
    <w:multiLevelType w:val="hybridMultilevel"/>
    <w:tmpl w:val="D44CF84C"/>
    <w:lvl w:ilvl="0" w:tplc="61AC707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20AC192F"/>
    <w:multiLevelType w:val="hybridMultilevel"/>
    <w:tmpl w:val="741E22A6"/>
    <w:lvl w:ilvl="0" w:tplc="7946167C">
      <w:start w:val="1"/>
      <w:numFmt w:val="decimal"/>
      <w:lvlText w:val="%1."/>
      <w:lvlJc w:val="left"/>
      <w:pPr>
        <w:tabs>
          <w:tab w:val="num" w:pos="360"/>
        </w:tabs>
        <w:ind w:left="432" w:hanging="432"/>
      </w:pPr>
      <w:rPr>
        <w:rFonts w:cs="Times New Roman" w:hint="default"/>
      </w:rPr>
    </w:lvl>
    <w:lvl w:ilvl="1" w:tplc="F12816A8">
      <w:start w:val="3"/>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22666D7B"/>
    <w:multiLevelType w:val="hybridMultilevel"/>
    <w:tmpl w:val="B19EA34C"/>
    <w:lvl w:ilvl="0" w:tplc="39388C4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23367EE9"/>
    <w:multiLevelType w:val="hybridMultilevel"/>
    <w:tmpl w:val="A5204186"/>
    <w:lvl w:ilvl="0" w:tplc="640CB984">
      <w:start w:val="1"/>
      <w:numFmt w:val="lowerLetter"/>
      <w:lvlText w:val="(%1)"/>
      <w:lvlJc w:val="left"/>
      <w:pPr>
        <w:ind w:left="2628" w:hanging="360"/>
      </w:pPr>
      <w:rPr>
        <w:rFonts w:hint="default"/>
      </w:rPr>
    </w:lvl>
    <w:lvl w:ilvl="1" w:tplc="10090019" w:tentative="1">
      <w:start w:val="1"/>
      <w:numFmt w:val="lowerLetter"/>
      <w:lvlText w:val="%2."/>
      <w:lvlJc w:val="left"/>
      <w:pPr>
        <w:ind w:left="3348" w:hanging="360"/>
      </w:pPr>
    </w:lvl>
    <w:lvl w:ilvl="2" w:tplc="1009001B" w:tentative="1">
      <w:start w:val="1"/>
      <w:numFmt w:val="lowerRoman"/>
      <w:lvlText w:val="%3."/>
      <w:lvlJc w:val="right"/>
      <w:pPr>
        <w:ind w:left="4068" w:hanging="180"/>
      </w:pPr>
    </w:lvl>
    <w:lvl w:ilvl="3" w:tplc="1009000F" w:tentative="1">
      <w:start w:val="1"/>
      <w:numFmt w:val="decimal"/>
      <w:lvlText w:val="%4."/>
      <w:lvlJc w:val="left"/>
      <w:pPr>
        <w:ind w:left="4788" w:hanging="360"/>
      </w:pPr>
    </w:lvl>
    <w:lvl w:ilvl="4" w:tplc="10090019" w:tentative="1">
      <w:start w:val="1"/>
      <w:numFmt w:val="lowerLetter"/>
      <w:lvlText w:val="%5."/>
      <w:lvlJc w:val="left"/>
      <w:pPr>
        <w:ind w:left="5508" w:hanging="360"/>
      </w:pPr>
    </w:lvl>
    <w:lvl w:ilvl="5" w:tplc="1009001B" w:tentative="1">
      <w:start w:val="1"/>
      <w:numFmt w:val="lowerRoman"/>
      <w:lvlText w:val="%6."/>
      <w:lvlJc w:val="right"/>
      <w:pPr>
        <w:ind w:left="6228" w:hanging="180"/>
      </w:pPr>
    </w:lvl>
    <w:lvl w:ilvl="6" w:tplc="1009000F" w:tentative="1">
      <w:start w:val="1"/>
      <w:numFmt w:val="decimal"/>
      <w:lvlText w:val="%7."/>
      <w:lvlJc w:val="left"/>
      <w:pPr>
        <w:ind w:left="6948" w:hanging="360"/>
      </w:pPr>
    </w:lvl>
    <w:lvl w:ilvl="7" w:tplc="10090019" w:tentative="1">
      <w:start w:val="1"/>
      <w:numFmt w:val="lowerLetter"/>
      <w:lvlText w:val="%8."/>
      <w:lvlJc w:val="left"/>
      <w:pPr>
        <w:ind w:left="7668" w:hanging="360"/>
      </w:pPr>
    </w:lvl>
    <w:lvl w:ilvl="8" w:tplc="1009001B" w:tentative="1">
      <w:start w:val="1"/>
      <w:numFmt w:val="lowerRoman"/>
      <w:lvlText w:val="%9."/>
      <w:lvlJc w:val="right"/>
      <w:pPr>
        <w:ind w:left="8388" w:hanging="180"/>
      </w:pPr>
    </w:lvl>
  </w:abstractNum>
  <w:abstractNum w:abstractNumId="15">
    <w:nsid w:val="28940118"/>
    <w:multiLevelType w:val="hybridMultilevel"/>
    <w:tmpl w:val="9A24E8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A6F281B"/>
    <w:multiLevelType w:val="hybridMultilevel"/>
    <w:tmpl w:val="345C1A5A"/>
    <w:lvl w:ilvl="0" w:tplc="0FE065F0">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2C556B86"/>
    <w:multiLevelType w:val="hybridMultilevel"/>
    <w:tmpl w:val="A7481782"/>
    <w:lvl w:ilvl="0" w:tplc="06D228D4">
      <w:start w:val="1"/>
      <w:numFmt w:val="lowerLetter"/>
      <w:lvlText w:val="(%1)"/>
      <w:lvlJc w:val="left"/>
      <w:pPr>
        <w:tabs>
          <w:tab w:val="num" w:pos="2271"/>
        </w:tabs>
        <w:ind w:left="2271" w:hanging="57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18">
    <w:nsid w:val="2D28202B"/>
    <w:multiLevelType w:val="hybridMultilevel"/>
    <w:tmpl w:val="A71EB6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ECA257B"/>
    <w:multiLevelType w:val="hybridMultilevel"/>
    <w:tmpl w:val="3E90A262"/>
    <w:lvl w:ilvl="0" w:tplc="AC84F1B4">
      <w:start w:val="110"/>
      <w:numFmt w:val="decimal"/>
      <w:lvlText w:val="%1"/>
      <w:lvlJc w:val="left"/>
      <w:pPr>
        <w:tabs>
          <w:tab w:val="num" w:pos="2985"/>
        </w:tabs>
        <w:ind w:left="2985" w:hanging="1665"/>
      </w:pPr>
      <w:rPr>
        <w:rFonts w:hint="default"/>
      </w:r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20">
    <w:nsid w:val="35913412"/>
    <w:multiLevelType w:val="hybridMultilevel"/>
    <w:tmpl w:val="97F043D8"/>
    <w:lvl w:ilvl="0" w:tplc="32DA1E40">
      <w:start w:val="1"/>
      <w:numFmt w:val="decimal"/>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37A91095"/>
    <w:multiLevelType w:val="hybridMultilevel"/>
    <w:tmpl w:val="8356F9A0"/>
    <w:lvl w:ilvl="0" w:tplc="2B6ACB68">
      <w:start w:val="1"/>
      <w:numFmt w:val="decimal"/>
      <w:lvlText w:val="%1."/>
      <w:lvlJc w:val="left"/>
      <w:pPr>
        <w:tabs>
          <w:tab w:val="num" w:pos="1864"/>
        </w:tabs>
        <w:ind w:left="1864" w:hanging="115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43D5035F"/>
    <w:multiLevelType w:val="hybridMultilevel"/>
    <w:tmpl w:val="0F8CD830"/>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3">
    <w:nsid w:val="4F7C1CBB"/>
    <w:multiLevelType w:val="hybridMultilevel"/>
    <w:tmpl w:val="762AA33A"/>
    <w:lvl w:ilvl="0" w:tplc="045203AE">
      <w:start w:val="1"/>
      <w:numFmt w:val="decimal"/>
      <w:lvlText w:val="%1."/>
      <w:lvlJc w:val="left"/>
      <w:pPr>
        <w:ind w:left="1494" w:hanging="360"/>
      </w:pPr>
      <w:rPr>
        <w:rFonts w:hint="default"/>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4">
    <w:nsid w:val="53AA7794"/>
    <w:multiLevelType w:val="hybridMultilevel"/>
    <w:tmpl w:val="91D4FB2A"/>
    <w:lvl w:ilvl="0" w:tplc="FFFFFFFF">
      <w:start w:val="3"/>
      <w:numFmt w:val="lowerRoman"/>
      <w:lvlText w:val="(%1)"/>
      <w:lvlJc w:val="left"/>
      <w:pPr>
        <w:tabs>
          <w:tab w:val="num" w:pos="1905"/>
        </w:tabs>
        <w:ind w:left="1905" w:hanging="720"/>
      </w:pPr>
      <w:rPr>
        <w:rFonts w:hint="default"/>
      </w:rPr>
    </w:lvl>
    <w:lvl w:ilvl="1" w:tplc="FFFFFFFF" w:tentative="1">
      <w:start w:val="1"/>
      <w:numFmt w:val="lowerLetter"/>
      <w:lvlText w:val="%2."/>
      <w:lvlJc w:val="left"/>
      <w:pPr>
        <w:tabs>
          <w:tab w:val="num" w:pos="2265"/>
        </w:tabs>
        <w:ind w:left="2265" w:hanging="360"/>
      </w:pPr>
    </w:lvl>
    <w:lvl w:ilvl="2" w:tplc="FFFFFFFF" w:tentative="1">
      <w:start w:val="1"/>
      <w:numFmt w:val="lowerRoman"/>
      <w:lvlText w:val="%3."/>
      <w:lvlJc w:val="right"/>
      <w:pPr>
        <w:tabs>
          <w:tab w:val="num" w:pos="2985"/>
        </w:tabs>
        <w:ind w:left="2985" w:hanging="180"/>
      </w:pPr>
    </w:lvl>
    <w:lvl w:ilvl="3" w:tplc="FFFFFFFF" w:tentative="1">
      <w:start w:val="1"/>
      <w:numFmt w:val="decimal"/>
      <w:lvlText w:val="%4."/>
      <w:lvlJc w:val="left"/>
      <w:pPr>
        <w:tabs>
          <w:tab w:val="num" w:pos="3705"/>
        </w:tabs>
        <w:ind w:left="3705" w:hanging="360"/>
      </w:pPr>
    </w:lvl>
    <w:lvl w:ilvl="4" w:tplc="FFFFFFFF" w:tentative="1">
      <w:start w:val="1"/>
      <w:numFmt w:val="lowerLetter"/>
      <w:lvlText w:val="%5."/>
      <w:lvlJc w:val="left"/>
      <w:pPr>
        <w:tabs>
          <w:tab w:val="num" w:pos="4425"/>
        </w:tabs>
        <w:ind w:left="4425" w:hanging="360"/>
      </w:pPr>
    </w:lvl>
    <w:lvl w:ilvl="5" w:tplc="FFFFFFFF" w:tentative="1">
      <w:start w:val="1"/>
      <w:numFmt w:val="lowerRoman"/>
      <w:lvlText w:val="%6."/>
      <w:lvlJc w:val="right"/>
      <w:pPr>
        <w:tabs>
          <w:tab w:val="num" w:pos="5145"/>
        </w:tabs>
        <w:ind w:left="5145" w:hanging="180"/>
      </w:pPr>
    </w:lvl>
    <w:lvl w:ilvl="6" w:tplc="FFFFFFFF" w:tentative="1">
      <w:start w:val="1"/>
      <w:numFmt w:val="decimal"/>
      <w:lvlText w:val="%7."/>
      <w:lvlJc w:val="left"/>
      <w:pPr>
        <w:tabs>
          <w:tab w:val="num" w:pos="5865"/>
        </w:tabs>
        <w:ind w:left="5865" w:hanging="360"/>
      </w:pPr>
    </w:lvl>
    <w:lvl w:ilvl="7" w:tplc="FFFFFFFF" w:tentative="1">
      <w:start w:val="1"/>
      <w:numFmt w:val="lowerLetter"/>
      <w:lvlText w:val="%8."/>
      <w:lvlJc w:val="left"/>
      <w:pPr>
        <w:tabs>
          <w:tab w:val="num" w:pos="6585"/>
        </w:tabs>
        <w:ind w:left="6585" w:hanging="360"/>
      </w:pPr>
    </w:lvl>
    <w:lvl w:ilvl="8" w:tplc="FFFFFFFF" w:tentative="1">
      <w:start w:val="1"/>
      <w:numFmt w:val="lowerRoman"/>
      <w:lvlText w:val="%9."/>
      <w:lvlJc w:val="right"/>
      <w:pPr>
        <w:tabs>
          <w:tab w:val="num" w:pos="7305"/>
        </w:tabs>
        <w:ind w:left="7305" w:hanging="180"/>
      </w:pPr>
    </w:lvl>
  </w:abstractNum>
  <w:abstractNum w:abstractNumId="25">
    <w:nsid w:val="5B7905B6"/>
    <w:multiLevelType w:val="hybridMultilevel"/>
    <w:tmpl w:val="0DB067E4"/>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6">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7">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8625A2"/>
    <w:multiLevelType w:val="hybridMultilevel"/>
    <w:tmpl w:val="56C63CD6"/>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9">
    <w:nsid w:val="655C3CEF"/>
    <w:multiLevelType w:val="multilevel"/>
    <w:tmpl w:val="64AC95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6AF1C9F"/>
    <w:multiLevelType w:val="hybridMultilevel"/>
    <w:tmpl w:val="870E97D4"/>
    <w:lvl w:ilvl="0" w:tplc="10090001">
      <w:start w:val="1"/>
      <w:numFmt w:val="bullet"/>
      <w:lvlText w:val=""/>
      <w:lvlJc w:val="left"/>
      <w:pPr>
        <w:ind w:left="1854" w:hanging="360"/>
      </w:pPr>
      <w:rPr>
        <w:rFonts w:ascii="Symbol" w:hAnsi="Symbol"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3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FE1645C"/>
    <w:multiLevelType w:val="hybridMultilevel"/>
    <w:tmpl w:val="408825C2"/>
    <w:lvl w:ilvl="0" w:tplc="0A92C090">
      <w:start w:val="1"/>
      <w:numFmt w:val="decimal"/>
      <w:lvlText w:val="%1-"/>
      <w:lvlJc w:val="left"/>
      <w:pPr>
        <w:tabs>
          <w:tab w:val="num" w:pos="2839"/>
        </w:tabs>
        <w:ind w:left="2839" w:hanging="360"/>
      </w:pPr>
      <w:rPr>
        <w:rFonts w:ascii="Times New Roman" w:eastAsia="Times New Roman" w:hAnsi="Times New Roman" w:cs="Times New Roman"/>
      </w:rPr>
    </w:lvl>
    <w:lvl w:ilvl="1" w:tplc="04190019" w:tentative="1">
      <w:start w:val="1"/>
      <w:numFmt w:val="lowerLetter"/>
      <w:lvlText w:val="%2."/>
      <w:lvlJc w:val="left"/>
      <w:pPr>
        <w:tabs>
          <w:tab w:val="num" w:pos="3559"/>
        </w:tabs>
        <w:ind w:left="3559" w:hanging="360"/>
      </w:pPr>
    </w:lvl>
    <w:lvl w:ilvl="2" w:tplc="0419001B" w:tentative="1">
      <w:start w:val="1"/>
      <w:numFmt w:val="lowerRoman"/>
      <w:lvlText w:val="%3."/>
      <w:lvlJc w:val="right"/>
      <w:pPr>
        <w:tabs>
          <w:tab w:val="num" w:pos="4279"/>
        </w:tabs>
        <w:ind w:left="4279" w:hanging="180"/>
      </w:pPr>
    </w:lvl>
    <w:lvl w:ilvl="3" w:tplc="0419000F" w:tentative="1">
      <w:start w:val="1"/>
      <w:numFmt w:val="decimal"/>
      <w:lvlText w:val="%4."/>
      <w:lvlJc w:val="left"/>
      <w:pPr>
        <w:tabs>
          <w:tab w:val="num" w:pos="4999"/>
        </w:tabs>
        <w:ind w:left="4999" w:hanging="360"/>
      </w:pPr>
    </w:lvl>
    <w:lvl w:ilvl="4" w:tplc="04190019" w:tentative="1">
      <w:start w:val="1"/>
      <w:numFmt w:val="lowerLetter"/>
      <w:lvlText w:val="%5."/>
      <w:lvlJc w:val="left"/>
      <w:pPr>
        <w:tabs>
          <w:tab w:val="num" w:pos="5719"/>
        </w:tabs>
        <w:ind w:left="5719" w:hanging="360"/>
      </w:pPr>
    </w:lvl>
    <w:lvl w:ilvl="5" w:tplc="0419001B" w:tentative="1">
      <w:start w:val="1"/>
      <w:numFmt w:val="lowerRoman"/>
      <w:lvlText w:val="%6."/>
      <w:lvlJc w:val="right"/>
      <w:pPr>
        <w:tabs>
          <w:tab w:val="num" w:pos="6439"/>
        </w:tabs>
        <w:ind w:left="6439" w:hanging="180"/>
      </w:pPr>
    </w:lvl>
    <w:lvl w:ilvl="6" w:tplc="0419000F" w:tentative="1">
      <w:start w:val="1"/>
      <w:numFmt w:val="decimal"/>
      <w:lvlText w:val="%7."/>
      <w:lvlJc w:val="left"/>
      <w:pPr>
        <w:tabs>
          <w:tab w:val="num" w:pos="7159"/>
        </w:tabs>
        <w:ind w:left="7159" w:hanging="360"/>
      </w:pPr>
    </w:lvl>
    <w:lvl w:ilvl="7" w:tplc="04190019" w:tentative="1">
      <w:start w:val="1"/>
      <w:numFmt w:val="lowerLetter"/>
      <w:lvlText w:val="%8."/>
      <w:lvlJc w:val="left"/>
      <w:pPr>
        <w:tabs>
          <w:tab w:val="num" w:pos="7879"/>
        </w:tabs>
        <w:ind w:left="7879" w:hanging="360"/>
      </w:pPr>
    </w:lvl>
    <w:lvl w:ilvl="8" w:tplc="0419001B" w:tentative="1">
      <w:start w:val="1"/>
      <w:numFmt w:val="lowerRoman"/>
      <w:lvlText w:val="%9."/>
      <w:lvlJc w:val="right"/>
      <w:pPr>
        <w:tabs>
          <w:tab w:val="num" w:pos="8599"/>
        </w:tabs>
        <w:ind w:left="8599" w:hanging="180"/>
      </w:pPr>
    </w:lvl>
  </w:abstractNum>
  <w:abstractNum w:abstractNumId="33">
    <w:nsid w:val="71E81394"/>
    <w:multiLevelType w:val="hybridMultilevel"/>
    <w:tmpl w:val="8AE6215A"/>
    <w:lvl w:ilvl="0" w:tplc="F07EDA76">
      <w:start w:val="1"/>
      <w:numFmt w:val="bullet"/>
      <w:lvlText w:val=""/>
      <w:lvlJc w:val="left"/>
      <w:pPr>
        <w:tabs>
          <w:tab w:val="num" w:pos="952"/>
        </w:tabs>
        <w:ind w:left="952"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34">
    <w:nsid w:val="7377697B"/>
    <w:multiLevelType w:val="hybridMultilevel"/>
    <w:tmpl w:val="2EE681CA"/>
    <w:lvl w:ilvl="0" w:tplc="E26A9B16">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5"/>
  </w:num>
  <w:num w:numId="2">
    <w:abstractNumId w:val="31"/>
  </w:num>
  <w:num w:numId="3">
    <w:abstractNumId w:val="1"/>
  </w:num>
  <w:num w:numId="4">
    <w:abstractNumId w:val="33"/>
  </w:num>
  <w:num w:numId="5">
    <w:abstractNumId w:val="24"/>
  </w:num>
  <w:num w:numId="6">
    <w:abstractNumId w:val="7"/>
  </w:num>
  <w:num w:numId="7">
    <w:abstractNumId w:val="12"/>
  </w:num>
  <w:num w:numId="8">
    <w:abstractNumId w:val="21"/>
  </w:num>
  <w:num w:numId="9">
    <w:abstractNumId w:val="32"/>
  </w:num>
  <w:num w:numId="10">
    <w:abstractNumId w:val="19"/>
  </w:num>
  <w:num w:numId="11">
    <w:abstractNumId w:val="2"/>
  </w:num>
  <w:num w:numId="12">
    <w:abstractNumId w:val="17"/>
  </w:num>
  <w:num w:numId="13">
    <w:abstractNumId w:val="34"/>
  </w:num>
  <w:num w:numId="14">
    <w:abstractNumId w:val="26"/>
  </w:num>
  <w:num w:numId="15">
    <w:abstractNumId w:val="27"/>
  </w:num>
  <w:num w:numId="16">
    <w:abstractNumId w:val="15"/>
  </w:num>
  <w:num w:numId="17">
    <w:abstractNumId w:val="9"/>
  </w:num>
  <w:num w:numId="18">
    <w:abstractNumId w:val="11"/>
  </w:num>
  <w:num w:numId="19">
    <w:abstractNumId w:val="20"/>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0"/>
  </w:num>
  <w:num w:numId="24">
    <w:abstractNumId w:val="14"/>
  </w:num>
  <w:num w:numId="25">
    <w:abstractNumId w:val="4"/>
  </w:num>
  <w:num w:numId="26">
    <w:abstractNumId w:val="23"/>
  </w:num>
  <w:num w:numId="27">
    <w:abstractNumId w:val="29"/>
  </w:num>
  <w:num w:numId="28">
    <w:abstractNumId w:val="18"/>
  </w:num>
  <w:num w:numId="29">
    <w:abstractNumId w:val="16"/>
  </w:num>
  <w:num w:numId="30">
    <w:abstractNumId w:val="3"/>
  </w:num>
  <w:num w:numId="31">
    <w:abstractNumId w:val="10"/>
  </w:num>
  <w:num w:numId="32">
    <w:abstractNumId w:val="30"/>
  </w:num>
  <w:num w:numId="33">
    <w:abstractNumId w:val="22"/>
  </w:num>
  <w:num w:numId="34">
    <w:abstractNumId w:val="25"/>
  </w:num>
  <w:num w:numId="35">
    <w:abstractNumId w:val="28"/>
  </w:num>
  <w:num w:numId="36">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ston, David">
    <w15:presenceInfo w15:providerId="AD" w15:userId="S-1-5-21-1705761367-2505620512-3895969145-3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en-CA" w:vendorID="64" w:dllVersion="131078" w:nlCheck="1" w:checkStyle="1"/>
  <w:activeWritingStyle w:appName="MSWord" w:lang="fr-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3332"/>
    <w:rsid w:val="00012BEE"/>
    <w:rsid w:val="000171FC"/>
    <w:rsid w:val="000210EC"/>
    <w:rsid w:val="00025C10"/>
    <w:rsid w:val="000261F6"/>
    <w:rsid w:val="00034899"/>
    <w:rsid w:val="000413DA"/>
    <w:rsid w:val="000426AF"/>
    <w:rsid w:val="00044CD7"/>
    <w:rsid w:val="00050F6B"/>
    <w:rsid w:val="0005340B"/>
    <w:rsid w:val="00057262"/>
    <w:rsid w:val="00057EF1"/>
    <w:rsid w:val="00060C82"/>
    <w:rsid w:val="00067341"/>
    <w:rsid w:val="00072C8C"/>
    <w:rsid w:val="0007325A"/>
    <w:rsid w:val="00080F0A"/>
    <w:rsid w:val="00083A13"/>
    <w:rsid w:val="00085784"/>
    <w:rsid w:val="00090473"/>
    <w:rsid w:val="000918C2"/>
    <w:rsid w:val="000931C0"/>
    <w:rsid w:val="00094053"/>
    <w:rsid w:val="000B0DCA"/>
    <w:rsid w:val="000B175B"/>
    <w:rsid w:val="000B3A0F"/>
    <w:rsid w:val="000C64FF"/>
    <w:rsid w:val="000C69A6"/>
    <w:rsid w:val="000D13B5"/>
    <w:rsid w:val="000E0415"/>
    <w:rsid w:val="000E2262"/>
    <w:rsid w:val="000E2F43"/>
    <w:rsid w:val="000E2FEC"/>
    <w:rsid w:val="000E5884"/>
    <w:rsid w:val="00105FDD"/>
    <w:rsid w:val="0011529F"/>
    <w:rsid w:val="001156AA"/>
    <w:rsid w:val="001220B8"/>
    <w:rsid w:val="001262C0"/>
    <w:rsid w:val="00126EA1"/>
    <w:rsid w:val="001336B2"/>
    <w:rsid w:val="00133C7A"/>
    <w:rsid w:val="00133ED6"/>
    <w:rsid w:val="00137553"/>
    <w:rsid w:val="001418E8"/>
    <w:rsid w:val="00145FFD"/>
    <w:rsid w:val="001506C9"/>
    <w:rsid w:val="001604C0"/>
    <w:rsid w:val="00161DED"/>
    <w:rsid w:val="00162157"/>
    <w:rsid w:val="00162703"/>
    <w:rsid w:val="00166DD2"/>
    <w:rsid w:val="00172A5D"/>
    <w:rsid w:val="00173C41"/>
    <w:rsid w:val="00173E97"/>
    <w:rsid w:val="001811F3"/>
    <w:rsid w:val="001832E3"/>
    <w:rsid w:val="00186037"/>
    <w:rsid w:val="001A00CE"/>
    <w:rsid w:val="001B4B04"/>
    <w:rsid w:val="001B7882"/>
    <w:rsid w:val="001C0A2D"/>
    <w:rsid w:val="001C2917"/>
    <w:rsid w:val="001C6663"/>
    <w:rsid w:val="001C719B"/>
    <w:rsid w:val="001C7895"/>
    <w:rsid w:val="001D26DF"/>
    <w:rsid w:val="001D3183"/>
    <w:rsid w:val="001E0EC3"/>
    <w:rsid w:val="001E2993"/>
    <w:rsid w:val="001E2A42"/>
    <w:rsid w:val="001E428B"/>
    <w:rsid w:val="001E4813"/>
    <w:rsid w:val="00202F2F"/>
    <w:rsid w:val="0020313C"/>
    <w:rsid w:val="00211E0B"/>
    <w:rsid w:val="0021245D"/>
    <w:rsid w:val="00230C96"/>
    <w:rsid w:val="00232E70"/>
    <w:rsid w:val="002405A7"/>
    <w:rsid w:val="00240C33"/>
    <w:rsid w:val="00241101"/>
    <w:rsid w:val="00246F3E"/>
    <w:rsid w:val="00247F42"/>
    <w:rsid w:val="00254938"/>
    <w:rsid w:val="00260DAB"/>
    <w:rsid w:val="00261C17"/>
    <w:rsid w:val="00267F1A"/>
    <w:rsid w:val="00270492"/>
    <w:rsid w:val="002775FB"/>
    <w:rsid w:val="00280C9A"/>
    <w:rsid w:val="00281563"/>
    <w:rsid w:val="00282F16"/>
    <w:rsid w:val="00291560"/>
    <w:rsid w:val="0029653B"/>
    <w:rsid w:val="0029712C"/>
    <w:rsid w:val="002B4232"/>
    <w:rsid w:val="002D5E30"/>
    <w:rsid w:val="002D78BB"/>
    <w:rsid w:val="002E03D9"/>
    <w:rsid w:val="002E42C4"/>
    <w:rsid w:val="002E45A0"/>
    <w:rsid w:val="002E4DC6"/>
    <w:rsid w:val="002E6B09"/>
    <w:rsid w:val="002F6E0F"/>
    <w:rsid w:val="003025AB"/>
    <w:rsid w:val="00302CC0"/>
    <w:rsid w:val="00303038"/>
    <w:rsid w:val="003107FA"/>
    <w:rsid w:val="00311C15"/>
    <w:rsid w:val="00317109"/>
    <w:rsid w:val="003229D8"/>
    <w:rsid w:val="0033069A"/>
    <w:rsid w:val="00330D86"/>
    <w:rsid w:val="00334089"/>
    <w:rsid w:val="0033745A"/>
    <w:rsid w:val="00341EB4"/>
    <w:rsid w:val="00355FB8"/>
    <w:rsid w:val="0036347F"/>
    <w:rsid w:val="00365502"/>
    <w:rsid w:val="00373FC5"/>
    <w:rsid w:val="003742FC"/>
    <w:rsid w:val="00391104"/>
    <w:rsid w:val="0039277A"/>
    <w:rsid w:val="003972E0"/>
    <w:rsid w:val="0039798C"/>
    <w:rsid w:val="00397DE2"/>
    <w:rsid w:val="003A0867"/>
    <w:rsid w:val="003A2B2B"/>
    <w:rsid w:val="003A7F0D"/>
    <w:rsid w:val="003B0241"/>
    <w:rsid w:val="003B16CF"/>
    <w:rsid w:val="003C2CC4"/>
    <w:rsid w:val="003C3936"/>
    <w:rsid w:val="003D4B23"/>
    <w:rsid w:val="003D5BA1"/>
    <w:rsid w:val="003E7507"/>
    <w:rsid w:val="003F1ED3"/>
    <w:rsid w:val="003F32D9"/>
    <w:rsid w:val="003F6500"/>
    <w:rsid w:val="00403098"/>
    <w:rsid w:val="00403EAE"/>
    <w:rsid w:val="004143A7"/>
    <w:rsid w:val="00424A40"/>
    <w:rsid w:val="00427EC1"/>
    <w:rsid w:val="004325CB"/>
    <w:rsid w:val="00435726"/>
    <w:rsid w:val="00435EE3"/>
    <w:rsid w:val="00436DEF"/>
    <w:rsid w:val="00442BB5"/>
    <w:rsid w:val="00443C1D"/>
    <w:rsid w:val="00446DE4"/>
    <w:rsid w:val="00447ACD"/>
    <w:rsid w:val="004501A7"/>
    <w:rsid w:val="004532E1"/>
    <w:rsid w:val="00456600"/>
    <w:rsid w:val="00465AC8"/>
    <w:rsid w:val="004735DE"/>
    <w:rsid w:val="0047798C"/>
    <w:rsid w:val="0048539B"/>
    <w:rsid w:val="0048605D"/>
    <w:rsid w:val="0049238A"/>
    <w:rsid w:val="004936EA"/>
    <w:rsid w:val="004949D0"/>
    <w:rsid w:val="004A0699"/>
    <w:rsid w:val="004A0F33"/>
    <w:rsid w:val="004A41CA"/>
    <w:rsid w:val="004A7FFD"/>
    <w:rsid w:val="004B1385"/>
    <w:rsid w:val="004B394B"/>
    <w:rsid w:val="004B40B2"/>
    <w:rsid w:val="004C3136"/>
    <w:rsid w:val="004E0E90"/>
    <w:rsid w:val="004F4928"/>
    <w:rsid w:val="004F721F"/>
    <w:rsid w:val="004F7E77"/>
    <w:rsid w:val="00500AC6"/>
    <w:rsid w:val="00503228"/>
    <w:rsid w:val="00505384"/>
    <w:rsid w:val="00512AD1"/>
    <w:rsid w:val="00514641"/>
    <w:rsid w:val="005275C3"/>
    <w:rsid w:val="005311FB"/>
    <w:rsid w:val="0053290B"/>
    <w:rsid w:val="005414C0"/>
    <w:rsid w:val="005420F2"/>
    <w:rsid w:val="00543E64"/>
    <w:rsid w:val="00557BBE"/>
    <w:rsid w:val="005602BC"/>
    <w:rsid w:val="00564A8C"/>
    <w:rsid w:val="0056584E"/>
    <w:rsid w:val="00567492"/>
    <w:rsid w:val="00582EEE"/>
    <w:rsid w:val="00587909"/>
    <w:rsid w:val="00592B8C"/>
    <w:rsid w:val="00596017"/>
    <w:rsid w:val="0059637C"/>
    <w:rsid w:val="005964D7"/>
    <w:rsid w:val="00596940"/>
    <w:rsid w:val="005A6006"/>
    <w:rsid w:val="005B12DD"/>
    <w:rsid w:val="005B3DB3"/>
    <w:rsid w:val="005B675E"/>
    <w:rsid w:val="005B793F"/>
    <w:rsid w:val="005D01BA"/>
    <w:rsid w:val="005D0566"/>
    <w:rsid w:val="005D69A1"/>
    <w:rsid w:val="005D74E8"/>
    <w:rsid w:val="005E28B6"/>
    <w:rsid w:val="005E3584"/>
    <w:rsid w:val="005F1684"/>
    <w:rsid w:val="005F491C"/>
    <w:rsid w:val="005F57B5"/>
    <w:rsid w:val="00603986"/>
    <w:rsid w:val="00610339"/>
    <w:rsid w:val="00611FB1"/>
    <w:rsid w:val="00611FC4"/>
    <w:rsid w:val="00612127"/>
    <w:rsid w:val="00612594"/>
    <w:rsid w:val="00613135"/>
    <w:rsid w:val="00613225"/>
    <w:rsid w:val="0061540F"/>
    <w:rsid w:val="00615ADE"/>
    <w:rsid w:val="00615BEE"/>
    <w:rsid w:val="006176FB"/>
    <w:rsid w:val="0062323E"/>
    <w:rsid w:val="00624AAB"/>
    <w:rsid w:val="00624CB0"/>
    <w:rsid w:val="00627ED0"/>
    <w:rsid w:val="00633F2A"/>
    <w:rsid w:val="0063576C"/>
    <w:rsid w:val="006362E9"/>
    <w:rsid w:val="00637C1A"/>
    <w:rsid w:val="00640B26"/>
    <w:rsid w:val="0064418D"/>
    <w:rsid w:val="006522E7"/>
    <w:rsid w:val="00652520"/>
    <w:rsid w:val="00660094"/>
    <w:rsid w:val="00660E37"/>
    <w:rsid w:val="00665396"/>
    <w:rsid w:val="00665595"/>
    <w:rsid w:val="00677071"/>
    <w:rsid w:val="00694FF3"/>
    <w:rsid w:val="00695A9B"/>
    <w:rsid w:val="006A68AB"/>
    <w:rsid w:val="006A7392"/>
    <w:rsid w:val="006A7A99"/>
    <w:rsid w:val="006B20B5"/>
    <w:rsid w:val="006B4ADA"/>
    <w:rsid w:val="006B5B7C"/>
    <w:rsid w:val="006C13D4"/>
    <w:rsid w:val="006C52A3"/>
    <w:rsid w:val="006D5429"/>
    <w:rsid w:val="006D7CD5"/>
    <w:rsid w:val="006E0290"/>
    <w:rsid w:val="006E0A8C"/>
    <w:rsid w:val="006E564B"/>
    <w:rsid w:val="006E6DE6"/>
    <w:rsid w:val="006F02D2"/>
    <w:rsid w:val="006F0D1D"/>
    <w:rsid w:val="006F1EFF"/>
    <w:rsid w:val="007032EE"/>
    <w:rsid w:val="00704BCD"/>
    <w:rsid w:val="007218CD"/>
    <w:rsid w:val="0072632A"/>
    <w:rsid w:val="00733AAE"/>
    <w:rsid w:val="00735F8E"/>
    <w:rsid w:val="00744DCF"/>
    <w:rsid w:val="00755D24"/>
    <w:rsid w:val="00760441"/>
    <w:rsid w:val="007675D8"/>
    <w:rsid w:val="00771D8B"/>
    <w:rsid w:val="00772712"/>
    <w:rsid w:val="00772BD6"/>
    <w:rsid w:val="00773288"/>
    <w:rsid w:val="0077426A"/>
    <w:rsid w:val="00774A1A"/>
    <w:rsid w:val="007756DC"/>
    <w:rsid w:val="00780488"/>
    <w:rsid w:val="00782570"/>
    <w:rsid w:val="00783A99"/>
    <w:rsid w:val="00784BBB"/>
    <w:rsid w:val="0079606E"/>
    <w:rsid w:val="00796E0D"/>
    <w:rsid w:val="007A1923"/>
    <w:rsid w:val="007B204D"/>
    <w:rsid w:val="007B3310"/>
    <w:rsid w:val="007B5103"/>
    <w:rsid w:val="007B5960"/>
    <w:rsid w:val="007B6BA5"/>
    <w:rsid w:val="007B6F24"/>
    <w:rsid w:val="007B7EB1"/>
    <w:rsid w:val="007C0E2E"/>
    <w:rsid w:val="007C3390"/>
    <w:rsid w:val="007C4F4B"/>
    <w:rsid w:val="007C4F77"/>
    <w:rsid w:val="007D1BCB"/>
    <w:rsid w:val="007D3ADF"/>
    <w:rsid w:val="007D4DE2"/>
    <w:rsid w:val="007E028F"/>
    <w:rsid w:val="007E0778"/>
    <w:rsid w:val="007F0B83"/>
    <w:rsid w:val="007F272B"/>
    <w:rsid w:val="007F4FCD"/>
    <w:rsid w:val="007F6611"/>
    <w:rsid w:val="007F768B"/>
    <w:rsid w:val="00805178"/>
    <w:rsid w:val="00811877"/>
    <w:rsid w:val="008175E9"/>
    <w:rsid w:val="00820837"/>
    <w:rsid w:val="00821CC5"/>
    <w:rsid w:val="008242D7"/>
    <w:rsid w:val="00826BFB"/>
    <w:rsid w:val="00827E05"/>
    <w:rsid w:val="00830DAF"/>
    <w:rsid w:val="008311A3"/>
    <w:rsid w:val="008467F9"/>
    <w:rsid w:val="008577F2"/>
    <w:rsid w:val="00860A33"/>
    <w:rsid w:val="0086423F"/>
    <w:rsid w:val="008703E7"/>
    <w:rsid w:val="00871FD5"/>
    <w:rsid w:val="00872C11"/>
    <w:rsid w:val="00873B3B"/>
    <w:rsid w:val="00874E70"/>
    <w:rsid w:val="00876710"/>
    <w:rsid w:val="00884D20"/>
    <w:rsid w:val="008979B1"/>
    <w:rsid w:val="008A296D"/>
    <w:rsid w:val="008A6B25"/>
    <w:rsid w:val="008A6C4F"/>
    <w:rsid w:val="008B01F9"/>
    <w:rsid w:val="008B0E1D"/>
    <w:rsid w:val="008B411B"/>
    <w:rsid w:val="008B6F6E"/>
    <w:rsid w:val="008D54CD"/>
    <w:rsid w:val="008E09AC"/>
    <w:rsid w:val="008E0E46"/>
    <w:rsid w:val="008E3D2D"/>
    <w:rsid w:val="008F1782"/>
    <w:rsid w:val="008F4AB2"/>
    <w:rsid w:val="00903E58"/>
    <w:rsid w:val="00906E93"/>
    <w:rsid w:val="0090771C"/>
    <w:rsid w:val="00907AD2"/>
    <w:rsid w:val="009104B2"/>
    <w:rsid w:val="009111C7"/>
    <w:rsid w:val="0091455F"/>
    <w:rsid w:val="0092035F"/>
    <w:rsid w:val="00921B66"/>
    <w:rsid w:val="00922876"/>
    <w:rsid w:val="009240B7"/>
    <w:rsid w:val="00925353"/>
    <w:rsid w:val="00934214"/>
    <w:rsid w:val="009402C2"/>
    <w:rsid w:val="00940685"/>
    <w:rsid w:val="00941D3C"/>
    <w:rsid w:val="00951741"/>
    <w:rsid w:val="009616A8"/>
    <w:rsid w:val="009619F2"/>
    <w:rsid w:val="00963CBA"/>
    <w:rsid w:val="009647D9"/>
    <w:rsid w:val="00971294"/>
    <w:rsid w:val="009727E1"/>
    <w:rsid w:val="009749EA"/>
    <w:rsid w:val="00974A8D"/>
    <w:rsid w:val="00975AAB"/>
    <w:rsid w:val="009772DC"/>
    <w:rsid w:val="0097794A"/>
    <w:rsid w:val="0099001C"/>
    <w:rsid w:val="00991261"/>
    <w:rsid w:val="009A3BA9"/>
    <w:rsid w:val="009B10F0"/>
    <w:rsid w:val="009B4ACF"/>
    <w:rsid w:val="009C418B"/>
    <w:rsid w:val="009D1BEF"/>
    <w:rsid w:val="009E0F2F"/>
    <w:rsid w:val="009F3A17"/>
    <w:rsid w:val="009F4329"/>
    <w:rsid w:val="00A071D1"/>
    <w:rsid w:val="00A11C1F"/>
    <w:rsid w:val="00A1427D"/>
    <w:rsid w:val="00A1540E"/>
    <w:rsid w:val="00A230B9"/>
    <w:rsid w:val="00A304F8"/>
    <w:rsid w:val="00A3172C"/>
    <w:rsid w:val="00A320C7"/>
    <w:rsid w:val="00A33628"/>
    <w:rsid w:val="00A37B8D"/>
    <w:rsid w:val="00A4329A"/>
    <w:rsid w:val="00A4390F"/>
    <w:rsid w:val="00A47FEB"/>
    <w:rsid w:val="00A51BA2"/>
    <w:rsid w:val="00A72F22"/>
    <w:rsid w:val="00A748A6"/>
    <w:rsid w:val="00A805EB"/>
    <w:rsid w:val="00A8121B"/>
    <w:rsid w:val="00A879A4"/>
    <w:rsid w:val="00AA048B"/>
    <w:rsid w:val="00AA59B9"/>
    <w:rsid w:val="00AB6DCD"/>
    <w:rsid w:val="00AC0759"/>
    <w:rsid w:val="00AC3F5A"/>
    <w:rsid w:val="00AD3A50"/>
    <w:rsid w:val="00AD701B"/>
    <w:rsid w:val="00AD7C47"/>
    <w:rsid w:val="00AE0162"/>
    <w:rsid w:val="00AE0873"/>
    <w:rsid w:val="00AE3D03"/>
    <w:rsid w:val="00AE52B5"/>
    <w:rsid w:val="00AF04A4"/>
    <w:rsid w:val="00AF0D0C"/>
    <w:rsid w:val="00AF4E86"/>
    <w:rsid w:val="00AF5010"/>
    <w:rsid w:val="00AF5976"/>
    <w:rsid w:val="00B04F48"/>
    <w:rsid w:val="00B109BD"/>
    <w:rsid w:val="00B10A66"/>
    <w:rsid w:val="00B12377"/>
    <w:rsid w:val="00B12EF7"/>
    <w:rsid w:val="00B16F5D"/>
    <w:rsid w:val="00B30179"/>
    <w:rsid w:val="00B33D93"/>
    <w:rsid w:val="00B33EC0"/>
    <w:rsid w:val="00B356B8"/>
    <w:rsid w:val="00B35B6B"/>
    <w:rsid w:val="00B37A59"/>
    <w:rsid w:val="00B45CC5"/>
    <w:rsid w:val="00B52A3E"/>
    <w:rsid w:val="00B55627"/>
    <w:rsid w:val="00B6108E"/>
    <w:rsid w:val="00B625AB"/>
    <w:rsid w:val="00B62B55"/>
    <w:rsid w:val="00B712CD"/>
    <w:rsid w:val="00B72447"/>
    <w:rsid w:val="00B81E12"/>
    <w:rsid w:val="00B84EA9"/>
    <w:rsid w:val="00B912BE"/>
    <w:rsid w:val="00BA0EA4"/>
    <w:rsid w:val="00BA6971"/>
    <w:rsid w:val="00BC0413"/>
    <w:rsid w:val="00BC74E9"/>
    <w:rsid w:val="00BD14E2"/>
    <w:rsid w:val="00BD2146"/>
    <w:rsid w:val="00BD253D"/>
    <w:rsid w:val="00BD2A07"/>
    <w:rsid w:val="00BD3F6C"/>
    <w:rsid w:val="00BD4FA8"/>
    <w:rsid w:val="00BE4F74"/>
    <w:rsid w:val="00BE618E"/>
    <w:rsid w:val="00BE74EF"/>
    <w:rsid w:val="00BF0594"/>
    <w:rsid w:val="00BF34E3"/>
    <w:rsid w:val="00BF5C71"/>
    <w:rsid w:val="00BF6291"/>
    <w:rsid w:val="00C04153"/>
    <w:rsid w:val="00C143B4"/>
    <w:rsid w:val="00C17699"/>
    <w:rsid w:val="00C20118"/>
    <w:rsid w:val="00C21674"/>
    <w:rsid w:val="00C223EC"/>
    <w:rsid w:val="00C27298"/>
    <w:rsid w:val="00C27434"/>
    <w:rsid w:val="00C309A6"/>
    <w:rsid w:val="00C31B61"/>
    <w:rsid w:val="00C3396E"/>
    <w:rsid w:val="00C40508"/>
    <w:rsid w:val="00C407EE"/>
    <w:rsid w:val="00C41A28"/>
    <w:rsid w:val="00C45639"/>
    <w:rsid w:val="00C463DD"/>
    <w:rsid w:val="00C54CCB"/>
    <w:rsid w:val="00C54FF0"/>
    <w:rsid w:val="00C56170"/>
    <w:rsid w:val="00C65812"/>
    <w:rsid w:val="00C70D56"/>
    <w:rsid w:val="00C7383C"/>
    <w:rsid w:val="00C73C64"/>
    <w:rsid w:val="00C745C3"/>
    <w:rsid w:val="00C74DB9"/>
    <w:rsid w:val="00C756ED"/>
    <w:rsid w:val="00C75C4B"/>
    <w:rsid w:val="00C77A18"/>
    <w:rsid w:val="00C8012E"/>
    <w:rsid w:val="00C84FF4"/>
    <w:rsid w:val="00C87A98"/>
    <w:rsid w:val="00C92E61"/>
    <w:rsid w:val="00C94465"/>
    <w:rsid w:val="00CA2B7F"/>
    <w:rsid w:val="00CA4B0E"/>
    <w:rsid w:val="00CA5B67"/>
    <w:rsid w:val="00CD455E"/>
    <w:rsid w:val="00CD6661"/>
    <w:rsid w:val="00CE3368"/>
    <w:rsid w:val="00CE4A8F"/>
    <w:rsid w:val="00CE5435"/>
    <w:rsid w:val="00CF41EA"/>
    <w:rsid w:val="00CF4B7F"/>
    <w:rsid w:val="00CF5B31"/>
    <w:rsid w:val="00D0099B"/>
    <w:rsid w:val="00D02F6D"/>
    <w:rsid w:val="00D03F43"/>
    <w:rsid w:val="00D11A2D"/>
    <w:rsid w:val="00D2031B"/>
    <w:rsid w:val="00D228C0"/>
    <w:rsid w:val="00D25FE2"/>
    <w:rsid w:val="00D317BB"/>
    <w:rsid w:val="00D3281C"/>
    <w:rsid w:val="00D3344B"/>
    <w:rsid w:val="00D43252"/>
    <w:rsid w:val="00D4433A"/>
    <w:rsid w:val="00D44EAE"/>
    <w:rsid w:val="00D8399D"/>
    <w:rsid w:val="00D91497"/>
    <w:rsid w:val="00D924F4"/>
    <w:rsid w:val="00D978C6"/>
    <w:rsid w:val="00D978F3"/>
    <w:rsid w:val="00DA67AD"/>
    <w:rsid w:val="00DB5D0F"/>
    <w:rsid w:val="00DB79B2"/>
    <w:rsid w:val="00DC0141"/>
    <w:rsid w:val="00DC1A84"/>
    <w:rsid w:val="00DC3242"/>
    <w:rsid w:val="00DD222A"/>
    <w:rsid w:val="00DE379C"/>
    <w:rsid w:val="00DE3A0C"/>
    <w:rsid w:val="00DE78DA"/>
    <w:rsid w:val="00DF12F7"/>
    <w:rsid w:val="00E02C81"/>
    <w:rsid w:val="00E05E6F"/>
    <w:rsid w:val="00E130AB"/>
    <w:rsid w:val="00E148E7"/>
    <w:rsid w:val="00E16031"/>
    <w:rsid w:val="00E201CB"/>
    <w:rsid w:val="00E2307D"/>
    <w:rsid w:val="00E24B3E"/>
    <w:rsid w:val="00E25A99"/>
    <w:rsid w:val="00E31E80"/>
    <w:rsid w:val="00E33C28"/>
    <w:rsid w:val="00E37E28"/>
    <w:rsid w:val="00E4094C"/>
    <w:rsid w:val="00E41868"/>
    <w:rsid w:val="00E42808"/>
    <w:rsid w:val="00E43853"/>
    <w:rsid w:val="00E470C5"/>
    <w:rsid w:val="00E54137"/>
    <w:rsid w:val="00E62142"/>
    <w:rsid w:val="00E7260F"/>
    <w:rsid w:val="00E7733E"/>
    <w:rsid w:val="00E86543"/>
    <w:rsid w:val="00E86D1F"/>
    <w:rsid w:val="00E87921"/>
    <w:rsid w:val="00E93B8F"/>
    <w:rsid w:val="00E96630"/>
    <w:rsid w:val="00EA264E"/>
    <w:rsid w:val="00EA5690"/>
    <w:rsid w:val="00EB31E8"/>
    <w:rsid w:val="00EB7B03"/>
    <w:rsid w:val="00EC1DA2"/>
    <w:rsid w:val="00EC3C48"/>
    <w:rsid w:val="00EC3D7E"/>
    <w:rsid w:val="00EC4291"/>
    <w:rsid w:val="00EC5A8A"/>
    <w:rsid w:val="00EC7CB8"/>
    <w:rsid w:val="00ED42EB"/>
    <w:rsid w:val="00ED7A2A"/>
    <w:rsid w:val="00ED7E78"/>
    <w:rsid w:val="00EE5D7E"/>
    <w:rsid w:val="00EE6D04"/>
    <w:rsid w:val="00EE6DBA"/>
    <w:rsid w:val="00EF1D7F"/>
    <w:rsid w:val="00EF31CF"/>
    <w:rsid w:val="00EF381F"/>
    <w:rsid w:val="00EF49AF"/>
    <w:rsid w:val="00EF66AA"/>
    <w:rsid w:val="00EF7873"/>
    <w:rsid w:val="00F0058A"/>
    <w:rsid w:val="00F065D0"/>
    <w:rsid w:val="00F06AE7"/>
    <w:rsid w:val="00F10CCD"/>
    <w:rsid w:val="00F13FE3"/>
    <w:rsid w:val="00F14C89"/>
    <w:rsid w:val="00F212B0"/>
    <w:rsid w:val="00F227EE"/>
    <w:rsid w:val="00F43F80"/>
    <w:rsid w:val="00F4559F"/>
    <w:rsid w:val="00F461BF"/>
    <w:rsid w:val="00F50610"/>
    <w:rsid w:val="00F53EDA"/>
    <w:rsid w:val="00F56BFE"/>
    <w:rsid w:val="00F6227B"/>
    <w:rsid w:val="00F65B42"/>
    <w:rsid w:val="00F708A8"/>
    <w:rsid w:val="00F719A2"/>
    <w:rsid w:val="00F7753D"/>
    <w:rsid w:val="00F805CA"/>
    <w:rsid w:val="00F80636"/>
    <w:rsid w:val="00F83C0F"/>
    <w:rsid w:val="00F849F0"/>
    <w:rsid w:val="00F85F34"/>
    <w:rsid w:val="00F91C32"/>
    <w:rsid w:val="00F93D13"/>
    <w:rsid w:val="00F973FB"/>
    <w:rsid w:val="00FA06F7"/>
    <w:rsid w:val="00FA5CA3"/>
    <w:rsid w:val="00FA5F28"/>
    <w:rsid w:val="00FB171A"/>
    <w:rsid w:val="00FB24B1"/>
    <w:rsid w:val="00FB3D8C"/>
    <w:rsid w:val="00FC24D4"/>
    <w:rsid w:val="00FC68B7"/>
    <w:rsid w:val="00FD0E1B"/>
    <w:rsid w:val="00FD3F13"/>
    <w:rsid w:val="00FD7BF6"/>
    <w:rsid w:val="00FE13F7"/>
    <w:rsid w:val="00FE4A23"/>
    <w:rsid w:val="00FE646C"/>
    <w:rsid w:val="00FF0EC1"/>
    <w:rsid w:val="00FF116A"/>
    <w:rsid w:val="00FF19A2"/>
    <w:rsid w:val="00FF3A32"/>
    <w:rsid w:val="00FF55DD"/>
    <w:rsid w:val="00FF5677"/>
    <w:rsid w:val="00FF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F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semiHidden/>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character" w:customStyle="1" w:styleId="FootnoteCharacters">
    <w:name w:val="Footnote Characters"/>
    <w:rsid w:val="00615ADE"/>
    <w:rPr>
      <w:rFonts w:ascii="Times New Roman" w:hAnsi="Times New Roman" w:cs="Times New Roman"/>
      <w:sz w:val="18"/>
      <w:vertAlign w:val="superscript"/>
    </w:rPr>
  </w:style>
  <w:style w:type="character" w:customStyle="1" w:styleId="FootnoteReference1">
    <w:name w:val="Footnote Reference1"/>
    <w:rsid w:val="00615ADE"/>
    <w:rPr>
      <w:rFonts w:ascii="Times New Roman" w:hAnsi="Times New Roman" w:cs="Times New Roman"/>
      <w:sz w:val="18"/>
      <w:vertAlign w:val="superscript"/>
    </w:rPr>
  </w:style>
  <w:style w:type="paragraph" w:customStyle="1" w:styleId="NormalWeb1">
    <w:name w:val="Normal (Web)1"/>
    <w:basedOn w:val="Normal"/>
    <w:rsid w:val="00615ADE"/>
    <w:pPr>
      <w:widowControl w:val="0"/>
      <w:spacing w:line="240" w:lineRule="auto"/>
    </w:pPr>
    <w:rPr>
      <w:rFonts w:eastAsia="Droid Sans" w:cs="FreeSans"/>
      <w:kern w:val="1"/>
      <w:sz w:val="24"/>
      <w:szCs w:val="24"/>
      <w:lang w:eastAsia="zh-CN" w:bidi="hi-IN"/>
    </w:rPr>
  </w:style>
  <w:style w:type="character" w:customStyle="1" w:styleId="WW8Num1z0">
    <w:name w:val="WW8Num1z0"/>
    <w:rsid w:val="00F93D13"/>
    <w:rPr>
      <w:rFonts w:ascii="Symbol" w:hAnsi="Symbol" w:cs="OpenSymbol"/>
      <w:lang w:val="en-GB"/>
    </w:rPr>
  </w:style>
  <w:style w:type="paragraph" w:customStyle="1" w:styleId="Default">
    <w:name w:val="Default"/>
    <w:rsid w:val="00B04F48"/>
    <w:pPr>
      <w:widowControl w:val="0"/>
      <w:autoSpaceDE w:val="0"/>
      <w:autoSpaceDN w:val="0"/>
      <w:adjustRightInd w:val="0"/>
    </w:pPr>
    <w:rPr>
      <w:color w:val="000000"/>
      <w:sz w:val="24"/>
      <w:szCs w:val="24"/>
      <w:lang w:val="en-US" w:eastAsia="en-US"/>
    </w:rPr>
  </w:style>
  <w:style w:type="character" w:customStyle="1" w:styleId="SingleTxtGCar">
    <w:name w:val="_ Single Txt_G Car"/>
    <w:link w:val="SingleTxtG"/>
    <w:locked/>
    <w:rsid w:val="00B04F48"/>
    <w:rPr>
      <w:lang w:eastAsia="en-US"/>
    </w:rPr>
  </w:style>
  <w:style w:type="paragraph" w:customStyle="1" w:styleId="ManualBodyText">
    <w:name w:val="Manual Body Text"/>
    <w:basedOn w:val="BodyText"/>
    <w:rsid w:val="00B04F48"/>
    <w:pPr>
      <w:numPr>
        <w:ilvl w:val="12"/>
      </w:numPr>
      <w:tabs>
        <w:tab w:val="clear" w:pos="1985"/>
        <w:tab w:val="clear" w:pos="2552"/>
        <w:tab w:val="clear" w:pos="3119"/>
        <w:tab w:val="clear" w:pos="3686"/>
        <w:tab w:val="clear" w:pos="4253"/>
        <w:tab w:val="clear" w:pos="4820"/>
      </w:tabs>
      <w:autoSpaceDE w:val="0"/>
      <w:autoSpaceDN w:val="0"/>
      <w:adjustRightInd w:val="0"/>
    </w:pPr>
    <w:rPr>
      <w:szCs w:val="22"/>
      <w:lang w:eastAsia="fr-FR"/>
    </w:rPr>
  </w:style>
  <w:style w:type="paragraph" w:customStyle="1" w:styleId="UNparagraph0">
    <w:name w:val="UN paragraph"/>
    <w:basedOn w:val="Normal"/>
    <w:link w:val="UNparagraphChar"/>
    <w:qFormat/>
    <w:rsid w:val="00BC0413"/>
    <w:pPr>
      <w:numPr>
        <w:numId w:val="31"/>
      </w:numPr>
      <w:ind w:left="1134" w:right="43" w:firstLine="0"/>
      <w:jc w:val="both"/>
    </w:pPr>
    <w:rPr>
      <w:lang w:val="fr-CH"/>
    </w:rPr>
  </w:style>
  <w:style w:type="character" w:customStyle="1" w:styleId="UNparagraphChar">
    <w:name w:val="UN paragraph Char"/>
    <w:link w:val="UNparagraph0"/>
    <w:rsid w:val="00BC0413"/>
    <w:rPr>
      <w:lang w:val="fr-CH" w:eastAsia="en-US"/>
    </w:rPr>
  </w:style>
  <w:style w:type="character" w:customStyle="1" w:styleId="hps">
    <w:name w:val="hps"/>
    <w:basedOn w:val="DefaultParagraphFont"/>
    <w:rsid w:val="00C40508"/>
  </w:style>
  <w:style w:type="character" w:customStyle="1" w:styleId="shorttext">
    <w:name w:val="short_text"/>
    <w:basedOn w:val="DefaultParagraphFont"/>
    <w:rsid w:val="00C40508"/>
  </w:style>
  <w:style w:type="paragraph" w:customStyle="1" w:styleId="UNParagraph">
    <w:name w:val="UN Paragraph"/>
    <w:basedOn w:val="Normal"/>
    <w:link w:val="UNParagraphChar0"/>
    <w:qFormat/>
    <w:rsid w:val="00C40508"/>
    <w:pPr>
      <w:numPr>
        <w:numId w:val="36"/>
      </w:numPr>
      <w:ind w:left="1134" w:right="43" w:firstLine="0"/>
      <w:jc w:val="both"/>
    </w:pPr>
    <w:rPr>
      <w:color w:val="222222"/>
      <w:lang w:val="en"/>
    </w:rPr>
  </w:style>
  <w:style w:type="character" w:customStyle="1" w:styleId="UNParagraphChar0">
    <w:name w:val="UN Paragraph Char"/>
    <w:link w:val="UNParagraph"/>
    <w:rsid w:val="00C40508"/>
    <w:rPr>
      <w:color w:val="222222"/>
      <w:lang w:val="e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semiHidden/>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character" w:customStyle="1" w:styleId="FootnoteCharacters">
    <w:name w:val="Footnote Characters"/>
    <w:rsid w:val="00615ADE"/>
    <w:rPr>
      <w:rFonts w:ascii="Times New Roman" w:hAnsi="Times New Roman" w:cs="Times New Roman"/>
      <w:sz w:val="18"/>
      <w:vertAlign w:val="superscript"/>
    </w:rPr>
  </w:style>
  <w:style w:type="character" w:customStyle="1" w:styleId="FootnoteReference1">
    <w:name w:val="Footnote Reference1"/>
    <w:rsid w:val="00615ADE"/>
    <w:rPr>
      <w:rFonts w:ascii="Times New Roman" w:hAnsi="Times New Roman" w:cs="Times New Roman"/>
      <w:sz w:val="18"/>
      <w:vertAlign w:val="superscript"/>
    </w:rPr>
  </w:style>
  <w:style w:type="paragraph" w:customStyle="1" w:styleId="NormalWeb1">
    <w:name w:val="Normal (Web)1"/>
    <w:basedOn w:val="Normal"/>
    <w:rsid w:val="00615ADE"/>
    <w:pPr>
      <w:widowControl w:val="0"/>
      <w:spacing w:line="240" w:lineRule="auto"/>
    </w:pPr>
    <w:rPr>
      <w:rFonts w:eastAsia="Droid Sans" w:cs="FreeSans"/>
      <w:kern w:val="1"/>
      <w:sz w:val="24"/>
      <w:szCs w:val="24"/>
      <w:lang w:eastAsia="zh-CN" w:bidi="hi-IN"/>
    </w:rPr>
  </w:style>
  <w:style w:type="character" w:customStyle="1" w:styleId="WW8Num1z0">
    <w:name w:val="WW8Num1z0"/>
    <w:rsid w:val="00F93D13"/>
    <w:rPr>
      <w:rFonts w:ascii="Symbol" w:hAnsi="Symbol" w:cs="OpenSymbol"/>
      <w:lang w:val="en-GB"/>
    </w:rPr>
  </w:style>
  <w:style w:type="paragraph" w:customStyle="1" w:styleId="Default">
    <w:name w:val="Default"/>
    <w:rsid w:val="00B04F48"/>
    <w:pPr>
      <w:widowControl w:val="0"/>
      <w:autoSpaceDE w:val="0"/>
      <w:autoSpaceDN w:val="0"/>
      <w:adjustRightInd w:val="0"/>
    </w:pPr>
    <w:rPr>
      <w:color w:val="000000"/>
      <w:sz w:val="24"/>
      <w:szCs w:val="24"/>
      <w:lang w:val="en-US" w:eastAsia="en-US"/>
    </w:rPr>
  </w:style>
  <w:style w:type="character" w:customStyle="1" w:styleId="SingleTxtGCar">
    <w:name w:val="_ Single Txt_G Car"/>
    <w:link w:val="SingleTxtG"/>
    <w:locked/>
    <w:rsid w:val="00B04F48"/>
    <w:rPr>
      <w:lang w:eastAsia="en-US"/>
    </w:rPr>
  </w:style>
  <w:style w:type="paragraph" w:customStyle="1" w:styleId="ManualBodyText">
    <w:name w:val="Manual Body Text"/>
    <w:basedOn w:val="BodyText"/>
    <w:rsid w:val="00B04F48"/>
    <w:pPr>
      <w:numPr>
        <w:ilvl w:val="12"/>
      </w:numPr>
      <w:tabs>
        <w:tab w:val="clear" w:pos="1985"/>
        <w:tab w:val="clear" w:pos="2552"/>
        <w:tab w:val="clear" w:pos="3119"/>
        <w:tab w:val="clear" w:pos="3686"/>
        <w:tab w:val="clear" w:pos="4253"/>
        <w:tab w:val="clear" w:pos="4820"/>
      </w:tabs>
      <w:autoSpaceDE w:val="0"/>
      <w:autoSpaceDN w:val="0"/>
      <w:adjustRightInd w:val="0"/>
    </w:pPr>
    <w:rPr>
      <w:szCs w:val="22"/>
      <w:lang w:eastAsia="fr-FR"/>
    </w:rPr>
  </w:style>
  <w:style w:type="paragraph" w:customStyle="1" w:styleId="UNparagraph0">
    <w:name w:val="UN paragraph"/>
    <w:basedOn w:val="Normal"/>
    <w:link w:val="UNparagraphChar"/>
    <w:qFormat/>
    <w:rsid w:val="00BC0413"/>
    <w:pPr>
      <w:numPr>
        <w:numId w:val="31"/>
      </w:numPr>
      <w:ind w:left="1134" w:right="43" w:firstLine="0"/>
      <w:jc w:val="both"/>
    </w:pPr>
    <w:rPr>
      <w:lang w:val="fr-CH"/>
    </w:rPr>
  </w:style>
  <w:style w:type="character" w:customStyle="1" w:styleId="UNparagraphChar">
    <w:name w:val="UN paragraph Char"/>
    <w:link w:val="UNparagraph0"/>
    <w:rsid w:val="00BC0413"/>
    <w:rPr>
      <w:lang w:val="fr-CH" w:eastAsia="en-US"/>
    </w:rPr>
  </w:style>
  <w:style w:type="character" w:customStyle="1" w:styleId="hps">
    <w:name w:val="hps"/>
    <w:basedOn w:val="DefaultParagraphFont"/>
    <w:rsid w:val="00C40508"/>
  </w:style>
  <w:style w:type="character" w:customStyle="1" w:styleId="shorttext">
    <w:name w:val="short_text"/>
    <w:basedOn w:val="DefaultParagraphFont"/>
    <w:rsid w:val="00C40508"/>
  </w:style>
  <w:style w:type="paragraph" w:customStyle="1" w:styleId="UNParagraph">
    <w:name w:val="UN Paragraph"/>
    <w:basedOn w:val="Normal"/>
    <w:link w:val="UNParagraphChar0"/>
    <w:qFormat/>
    <w:rsid w:val="00C40508"/>
    <w:pPr>
      <w:numPr>
        <w:numId w:val="36"/>
      </w:numPr>
      <w:ind w:left="1134" w:right="43" w:firstLine="0"/>
      <w:jc w:val="both"/>
    </w:pPr>
    <w:rPr>
      <w:color w:val="222222"/>
      <w:lang w:val="en"/>
    </w:rPr>
  </w:style>
  <w:style w:type="character" w:customStyle="1" w:styleId="UNParagraphChar0">
    <w:name w:val="UN Paragraph Char"/>
    <w:link w:val="UNParagraph"/>
    <w:rsid w:val="00C40508"/>
    <w:rPr>
      <w:color w:val="222222"/>
      <w:lang w:val="en"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75B81-1C94-4925-837D-1B0D90D7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25</TotalTime>
  <Pages>5</Pages>
  <Words>1919</Words>
  <Characters>10184</Characters>
  <Application>Microsoft Office Word</Application>
  <DocSecurity>0</DocSecurity>
  <Lines>199</Lines>
  <Paragraphs>110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49th TDG WP to correct Section 1.1.2 of the MTC</vt:lpstr>
      <vt:lpstr>UN/SCEGHS/19/INF</vt:lpstr>
      <vt:lpstr>UN/SCEGHS/19/INF</vt:lpstr>
    </vt:vector>
  </TitlesOfParts>
  <Company>CSD</Company>
  <LinksUpToDate>false</LinksUpToDate>
  <CharactersWithSpaces>12328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49th TDG WP to correct Section 1.1.2 of the MTC</dc:title>
  <dc:creator>dboston@ime.org</dc:creator>
  <cp:lastModifiedBy>Laurence Berthet</cp:lastModifiedBy>
  <cp:revision>7</cp:revision>
  <cp:lastPrinted>2016-04-12T09:27:00Z</cp:lastPrinted>
  <dcterms:created xsi:type="dcterms:W3CDTF">2016-04-01T08:36:00Z</dcterms:created>
  <dcterms:modified xsi:type="dcterms:W3CDTF">2016-04-12T09:27:00Z</dcterms:modified>
</cp:coreProperties>
</file>