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672B42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/SG/AC.10/C.3/201</w:t>
            </w:r>
            <w:r w:rsidR="008D1CA8">
              <w:t>6</w:t>
            </w:r>
            <w:r>
              <w:t>/</w:t>
            </w:r>
            <w:r w:rsidR="00672B42">
              <w:t>23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381E99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3740" cy="588645"/>
                  <wp:effectExtent l="0" t="0" r="0" b="1905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4A2FFF">
              <w:t xml:space="preserve">7 </w:t>
            </w:r>
            <w:r w:rsidR="00467DB4">
              <w:t>April</w:t>
            </w:r>
            <w:r w:rsidR="00083A13">
              <w:t xml:space="preserve"> 201</w:t>
            </w:r>
            <w:r w:rsidR="008D1CA8">
              <w:t>6</w:t>
            </w:r>
          </w:p>
          <w:p w:rsidR="0048539B" w:rsidRDefault="0048539B" w:rsidP="00FE646C">
            <w:pPr>
              <w:spacing w:line="240" w:lineRule="exact"/>
            </w:pPr>
          </w:p>
          <w:p w:rsidR="00672B42" w:rsidRDefault="00672B42" w:rsidP="00FE646C">
            <w:pPr>
              <w:spacing w:line="240" w:lineRule="exact"/>
            </w:pPr>
            <w:r>
              <w:t>English</w:t>
            </w: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  <w:r w:rsidR="00672B42">
              <w:t xml:space="preserve"> and French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F708A8" w:rsidP="0048539B">
      <w:pPr>
        <w:spacing w:before="100"/>
        <w:rPr>
          <w:b/>
        </w:rPr>
      </w:pPr>
      <w:r>
        <w:rPr>
          <w:b/>
        </w:rPr>
        <w:t>Fort</w:t>
      </w:r>
      <w:r w:rsidR="00083A13">
        <w:rPr>
          <w:b/>
        </w:rPr>
        <w:t>y-</w:t>
      </w:r>
      <w:r w:rsidR="008D1CA8">
        <w:rPr>
          <w:b/>
        </w:rPr>
        <w:t>ninth</w:t>
      </w:r>
      <w:r w:rsidR="0048539B">
        <w:rPr>
          <w:b/>
        </w:rPr>
        <w:t xml:space="preserve"> </w:t>
      </w:r>
      <w:proofErr w:type="gramStart"/>
      <w:r w:rsidR="0048539B" w:rsidRPr="006500BA">
        <w:rPr>
          <w:b/>
        </w:rPr>
        <w:t>session</w:t>
      </w:r>
      <w:proofErr w:type="gramEnd"/>
    </w:p>
    <w:p w:rsidR="0048539B" w:rsidRPr="006500BA" w:rsidRDefault="0048539B" w:rsidP="0048539B">
      <w:r w:rsidRPr="006500BA">
        <w:t xml:space="preserve">Geneva, </w:t>
      </w:r>
      <w:r w:rsidR="008D1CA8">
        <w:t>27</w:t>
      </w:r>
      <w:r w:rsidR="003A0867">
        <w:t xml:space="preserve"> </w:t>
      </w:r>
      <w:r w:rsidR="008D1CA8">
        <w:t>June</w:t>
      </w:r>
      <w:r w:rsidR="00F708A8">
        <w:t xml:space="preserve"> – </w:t>
      </w:r>
      <w:r w:rsidR="008D1CA8">
        <w:t>6</w:t>
      </w:r>
      <w:r w:rsidR="003A0867">
        <w:t xml:space="preserve"> </w:t>
      </w:r>
      <w:r w:rsidR="008D1CA8">
        <w:t>July</w:t>
      </w:r>
      <w:r w:rsidR="00AE3D03">
        <w:t xml:space="preserve"> 201</w:t>
      </w:r>
      <w:r w:rsidR="008D1CA8">
        <w:t>6</w:t>
      </w:r>
    </w:p>
    <w:p w:rsidR="004A2FFF" w:rsidRPr="00E10A57" w:rsidRDefault="004A2FFF" w:rsidP="004A2FFF">
      <w:pPr>
        <w:ind w:right="57"/>
      </w:pPr>
      <w:r w:rsidRPr="00E10A57">
        <w:t>Item 3 of the provisional agenda</w:t>
      </w:r>
    </w:p>
    <w:p w:rsidR="00083A13" w:rsidRPr="00672B42" w:rsidRDefault="004A2FFF" w:rsidP="004A2FFF">
      <w:pPr>
        <w:rPr>
          <w:b/>
        </w:rPr>
      </w:pPr>
      <w:r w:rsidRPr="00E10A57">
        <w:rPr>
          <w:b/>
        </w:rPr>
        <w:t>Listing, classification and packing</w:t>
      </w:r>
    </w:p>
    <w:p w:rsidR="00672B42" w:rsidRPr="00873A93" w:rsidRDefault="00615ADE" w:rsidP="00672B42">
      <w:pPr>
        <w:pStyle w:val="HChG"/>
        <w:rPr>
          <w:lang w:val="en-CA"/>
        </w:rPr>
      </w:pPr>
      <w:r>
        <w:tab/>
      </w:r>
      <w:r w:rsidR="00672B42">
        <w:tab/>
      </w:r>
      <w:r w:rsidR="00672B42" w:rsidRPr="00873A93">
        <w:rPr>
          <w:lang w:val="en"/>
        </w:rPr>
        <w:t xml:space="preserve">Revision of packing instruction </w:t>
      </w:r>
      <w:r w:rsidR="00672B42">
        <w:rPr>
          <w:lang w:val="en"/>
        </w:rPr>
        <w:t>L</w:t>
      </w:r>
      <w:r w:rsidR="00672B42" w:rsidRPr="00873A93">
        <w:rPr>
          <w:lang w:val="en"/>
        </w:rPr>
        <w:t>P902 in the Model Regulations</w:t>
      </w:r>
      <w:r w:rsidR="00672B42" w:rsidRPr="00873A93" w:rsidDel="009C4F4A">
        <w:rPr>
          <w:lang w:val="en-CA"/>
        </w:rPr>
        <w:t xml:space="preserve"> </w:t>
      </w:r>
    </w:p>
    <w:p w:rsidR="00672B42" w:rsidRPr="00873A93" w:rsidRDefault="00672B42" w:rsidP="00672B42">
      <w:pPr>
        <w:pStyle w:val="H1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873A93">
        <w:rPr>
          <w:lang w:val="en"/>
        </w:rPr>
        <w:t>Transmitted by the expert from Canada</w:t>
      </w:r>
      <w:r>
        <w:rPr>
          <w:rStyle w:val="FootnoteReference"/>
          <w:lang w:val="en"/>
        </w:rPr>
        <w:footnoteReference w:id="2"/>
      </w:r>
    </w:p>
    <w:p w:rsidR="00672B42" w:rsidRPr="00B80EFA" w:rsidRDefault="00672B42" w:rsidP="00672B42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B80EFA">
        <w:rPr>
          <w:lang w:val="en-CA"/>
        </w:rPr>
        <w:t>Objective</w:t>
      </w:r>
    </w:p>
    <w:p w:rsidR="00672B42" w:rsidRDefault="00672B42" w:rsidP="00672B42">
      <w:pPr>
        <w:pStyle w:val="SingleTxtG"/>
      </w:pPr>
      <w:r>
        <w:t>1.</w:t>
      </w:r>
      <w:r>
        <w:tab/>
        <w:t>To m</w:t>
      </w:r>
      <w:r w:rsidRPr="00873A93">
        <w:t xml:space="preserve">odify </w:t>
      </w:r>
      <w:r w:rsidR="004A2FFF">
        <w:t>p</w:t>
      </w:r>
      <w:r w:rsidRPr="00873A93">
        <w:t xml:space="preserve">acking </w:t>
      </w:r>
      <w:r w:rsidR="004A2FFF">
        <w:t>i</w:t>
      </w:r>
      <w:r w:rsidRPr="00873A93">
        <w:t xml:space="preserve">nstruction LP902 </w:t>
      </w:r>
      <w:r w:rsidRPr="00873A93">
        <w:rPr>
          <w:rStyle w:val="hps"/>
          <w:color w:val="222222"/>
          <w:lang w:val="en"/>
        </w:rPr>
        <w:t>to</w:t>
      </w:r>
      <w:r w:rsidRPr="00873A93">
        <w:t xml:space="preserve"> </w:t>
      </w:r>
      <w:r>
        <w:rPr>
          <w:rStyle w:val="hps"/>
          <w:color w:val="222222"/>
          <w:lang w:val="en"/>
        </w:rPr>
        <w:t>eliminate inconsistencies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between the two</w:t>
      </w:r>
      <w:r>
        <w:rPr>
          <w:rStyle w:val="hps"/>
          <w:color w:val="222222"/>
          <w:lang w:val="en"/>
        </w:rPr>
        <w:t xml:space="preserve"> authorized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(</w:t>
      </w:r>
      <w:r w:rsidRPr="00873A93">
        <w:t xml:space="preserve">P902 </w:t>
      </w:r>
      <w:r w:rsidRPr="00873A93">
        <w:rPr>
          <w:rStyle w:val="hps"/>
          <w:color w:val="222222"/>
          <w:lang w:val="en"/>
        </w:rPr>
        <w:t>and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t xml:space="preserve">) for </w:t>
      </w:r>
      <w:r w:rsidRPr="00873A93">
        <w:rPr>
          <w:rStyle w:val="hps"/>
          <w:color w:val="222222"/>
          <w:lang w:val="en"/>
        </w:rPr>
        <w:t>SAFETY DEVICES,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electrically initiated</w:t>
      </w:r>
      <w:r>
        <w:t xml:space="preserve"> (UN</w:t>
      </w:r>
      <w:r w:rsidRPr="00873A93">
        <w:rPr>
          <w:rStyle w:val="hps"/>
          <w:color w:val="222222"/>
          <w:lang w:val="en"/>
        </w:rPr>
        <w:t>3268</w:t>
      </w:r>
      <w:r w:rsidRPr="00873A93">
        <w:t>).</w:t>
      </w:r>
    </w:p>
    <w:p w:rsidR="00672B42" w:rsidRPr="00873A93" w:rsidRDefault="00672B42" w:rsidP="004A2FFF">
      <w:pPr>
        <w:pStyle w:val="SingleTxtG"/>
      </w:pPr>
      <w:r>
        <w:t>2.</w:t>
      </w:r>
      <w:r>
        <w:tab/>
        <w:t xml:space="preserve">Reference is made to </w:t>
      </w:r>
      <w:r w:rsidR="004A2FFF">
        <w:t xml:space="preserve">document </w:t>
      </w:r>
      <w:hyperlink r:id="rId10" w:history="1">
        <w:r w:rsidRPr="007D62C1">
          <w:rPr>
            <w:rStyle w:val="Hyperlink"/>
          </w:rPr>
          <w:t>ST/SG/AC.10/C.3/2010/26</w:t>
        </w:r>
      </w:hyperlink>
      <w:r>
        <w:t>.</w:t>
      </w:r>
    </w:p>
    <w:p w:rsidR="00672B42" w:rsidRPr="009F5D7A" w:rsidRDefault="00672B42" w:rsidP="00672B42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9F5D7A">
        <w:rPr>
          <w:lang w:val="en-CA"/>
        </w:rPr>
        <w:t>Introduction</w:t>
      </w:r>
    </w:p>
    <w:p w:rsidR="00672B42" w:rsidRPr="00873A93" w:rsidRDefault="00672B42" w:rsidP="00672B42">
      <w:pPr>
        <w:pStyle w:val="SingleTxtG"/>
      </w:pPr>
      <w:r>
        <w:t>3.</w:t>
      </w:r>
      <w:r>
        <w:tab/>
      </w:r>
      <w:r w:rsidRPr="00873A93">
        <w:t xml:space="preserve">The expert from Canada recommends modifying packing instruction LP902 </w:t>
      </w:r>
      <w:r w:rsidRPr="00873A93">
        <w:rPr>
          <w:rStyle w:val="hps"/>
          <w:color w:val="222222"/>
          <w:lang w:val="en"/>
        </w:rPr>
        <w:t>to introduce a</w:t>
      </w:r>
      <w:r w:rsidRPr="00873A93">
        <w:t xml:space="preserve"> list of </w:t>
      </w:r>
      <w:r>
        <w:t xml:space="preserve">codes of </w:t>
      </w:r>
      <w:r w:rsidRPr="00873A93">
        <w:t xml:space="preserve">rigid </w:t>
      </w:r>
      <w:r w:rsidRPr="00873A93">
        <w:rPr>
          <w:rStyle w:val="hps"/>
          <w:color w:val="222222"/>
          <w:lang w:val="en"/>
        </w:rPr>
        <w:t>large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packaging</w:t>
      </w:r>
      <w:r w:rsidRPr="00873A93">
        <w:t>s</w:t>
      </w:r>
      <w:r w:rsidRPr="00873A93">
        <w:rPr>
          <w:rStyle w:val="hps"/>
          <w:color w:val="222222"/>
          <w:lang w:val="en"/>
        </w:rPr>
        <w:t xml:space="preserve"> (</w:t>
      </w:r>
      <w:r w:rsidRPr="00873A93">
        <w:t>LP)</w:t>
      </w:r>
      <w:r w:rsidRPr="00873A93">
        <w:rPr>
          <w:rStyle w:val="hps"/>
          <w:color w:val="222222"/>
          <w:lang w:val="en"/>
        </w:rPr>
        <w:t>.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</w:t>
      </w:r>
      <w:r>
        <w:rPr>
          <w:rStyle w:val="hps"/>
          <w:color w:val="222222"/>
          <w:lang w:val="en"/>
        </w:rPr>
        <w:t>is</w:t>
      </w:r>
      <w:r w:rsidRPr="00873A93">
        <w:rPr>
          <w:rStyle w:val="hps"/>
          <w:color w:val="222222"/>
          <w:lang w:val="en"/>
        </w:rPr>
        <w:t xml:space="preserve"> modification is recommended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to avoid</w:t>
      </w:r>
      <w:r w:rsidRPr="00873A93">
        <w:t xml:space="preserve"> </w:t>
      </w:r>
      <w:r>
        <w:t>an interpretation</w:t>
      </w:r>
      <w:r w:rsidRPr="00873A93">
        <w:t xml:space="preserve"> </w:t>
      </w:r>
      <w:r>
        <w:t xml:space="preserve">that does </w:t>
      </w:r>
      <w:r w:rsidRPr="00873A93">
        <w:rPr>
          <w:rStyle w:val="hps"/>
          <w:color w:val="222222"/>
          <w:lang w:val="en"/>
        </w:rPr>
        <w:t>not meet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the objective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and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to harmonize this instruction with other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 xml:space="preserve">large packaging </w:t>
      </w:r>
      <w:r>
        <w:rPr>
          <w:rStyle w:val="hps"/>
          <w:color w:val="222222"/>
          <w:lang w:val="en"/>
        </w:rPr>
        <w:t xml:space="preserve">(LP) </w:t>
      </w:r>
      <w:r w:rsidRPr="00873A93">
        <w:rPr>
          <w:rStyle w:val="hps"/>
          <w:color w:val="222222"/>
          <w:lang w:val="en"/>
        </w:rPr>
        <w:t>instructions.</w:t>
      </w:r>
    </w:p>
    <w:p w:rsidR="00672B42" w:rsidRPr="009F5D7A" w:rsidRDefault="00672B42" w:rsidP="00672B42">
      <w:pPr>
        <w:pStyle w:val="HChG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 w:rsidRPr="009F5D7A">
        <w:rPr>
          <w:lang w:val="en-CA"/>
        </w:rPr>
        <w:t>Context</w:t>
      </w:r>
    </w:p>
    <w:p w:rsidR="00672B42" w:rsidRPr="00672B42" w:rsidRDefault="00672B42" w:rsidP="00672B42">
      <w:pPr>
        <w:pStyle w:val="SingleTxtG"/>
      </w:pPr>
      <w:r>
        <w:t>4.</w:t>
      </w:r>
      <w:r>
        <w:tab/>
      </w:r>
      <w:r w:rsidRPr="00873A93">
        <w:t xml:space="preserve">During the thirty-seventh session of the Sub-Committee, the experts of the United Kingdom and Sweden and the representative of the International Air Transport Association (IATA) submitted document ST/SG/AC.10/C.3/2010/26 to clarify </w:t>
      </w:r>
      <w:r>
        <w:t>certain</w:t>
      </w:r>
      <w:r w:rsidRPr="00873A93">
        <w:t xml:space="preserve"> packing instruction</w:t>
      </w:r>
      <w:r>
        <w:t>s</w:t>
      </w:r>
      <w:r w:rsidRPr="00873A93">
        <w:t xml:space="preserve">. </w:t>
      </w:r>
    </w:p>
    <w:p w:rsidR="00672B42" w:rsidRPr="007D62C1" w:rsidRDefault="00672B42" w:rsidP="00672B42">
      <w:pPr>
        <w:pStyle w:val="SingleTxtG"/>
        <w:rPr>
          <w:rStyle w:val="hps"/>
        </w:rPr>
      </w:pPr>
      <w:r>
        <w:rPr>
          <w:rStyle w:val="hps"/>
          <w:color w:val="222222"/>
          <w:lang w:val="en"/>
        </w:rPr>
        <w:t>5.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>Following this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session,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P902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was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amended to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clarify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its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objective.</w:t>
      </w:r>
      <w:r w:rsidRPr="00873A93">
        <w:t xml:space="preserve"> </w:t>
      </w:r>
      <w:r>
        <w:t xml:space="preserve">Prior to the amendment, </w:t>
      </w:r>
      <w:r>
        <w:rPr>
          <w:rStyle w:val="hps"/>
          <w:color w:val="222222"/>
          <w:lang w:val="en"/>
        </w:rPr>
        <w:t>t</w:t>
      </w:r>
      <w:r w:rsidRPr="00873A93">
        <w:rPr>
          <w:rStyle w:val="hps"/>
          <w:color w:val="222222"/>
          <w:lang w:val="en"/>
        </w:rPr>
        <w:t xml:space="preserve">he </w:t>
      </w:r>
      <w:r w:rsidRPr="00873A93">
        <w:rPr>
          <w:lang w:eastAsia="en-CA"/>
        </w:rPr>
        <w:t>packing instruction</w:t>
      </w:r>
      <w:r>
        <w:rPr>
          <w:lang w:eastAsia="en-CA"/>
        </w:rPr>
        <w:t xml:space="preserve"> </w:t>
      </w:r>
      <w:r w:rsidRPr="00873A93">
        <w:rPr>
          <w:lang w:eastAsia="en-CA"/>
        </w:rPr>
        <w:t>simply stat</w:t>
      </w:r>
      <w:r>
        <w:rPr>
          <w:lang w:eastAsia="en-CA"/>
        </w:rPr>
        <w:t>ed</w:t>
      </w:r>
      <w:r w:rsidRPr="00873A93">
        <w:rPr>
          <w:lang w:eastAsia="en-CA"/>
        </w:rPr>
        <w:t xml:space="preserve"> that </w:t>
      </w:r>
      <w:proofErr w:type="spellStart"/>
      <w:r w:rsidRPr="00873A93">
        <w:rPr>
          <w:lang w:eastAsia="en-CA"/>
        </w:rPr>
        <w:t>packagings</w:t>
      </w:r>
      <w:proofErr w:type="spellEnd"/>
      <w:r w:rsidRPr="00873A93">
        <w:rPr>
          <w:lang w:eastAsia="en-CA"/>
        </w:rPr>
        <w:t xml:space="preserve"> had to meet the packing group III performance level.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The authors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 document</w:t>
      </w:r>
      <w:r w:rsidRPr="00873A93">
        <w:t xml:space="preserve"> </w:t>
      </w:r>
      <w:r>
        <w:t>S</w:t>
      </w:r>
      <w:r w:rsidRPr="00873A93">
        <w:t xml:space="preserve">T/SG/AC.10/C.3/2010/26 had </w:t>
      </w:r>
      <w:r w:rsidRPr="00873A93">
        <w:rPr>
          <w:rStyle w:val="hps"/>
          <w:color w:val="222222"/>
          <w:lang w:val="en"/>
        </w:rPr>
        <w:t>explained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that this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could be interpreted to indicate that:</w:t>
      </w:r>
    </w:p>
    <w:p w:rsidR="00672B42" w:rsidRPr="007D62C1" w:rsidRDefault="00672B42" w:rsidP="00672B42">
      <w:pPr>
        <w:pStyle w:val="SingleTxtG"/>
        <w:ind w:left="1701"/>
        <w:rPr>
          <w:lang w:eastAsia="en-CA"/>
        </w:rPr>
      </w:pPr>
      <w:r>
        <w:rPr>
          <w:lang w:eastAsia="en-CA"/>
        </w:rPr>
        <w:t>(a)</w:t>
      </w:r>
      <w:r>
        <w:rPr>
          <w:lang w:eastAsia="en-CA"/>
        </w:rPr>
        <w:tab/>
      </w:r>
      <w:r w:rsidRPr="00873A93">
        <w:rPr>
          <w:lang w:eastAsia="en-CA"/>
        </w:rPr>
        <w:t>As long as a consignor’s package can meet the performance level it does not</w:t>
      </w:r>
      <w:r>
        <w:rPr>
          <w:lang w:eastAsia="en-CA"/>
        </w:rPr>
        <w:t xml:space="preserve"> </w:t>
      </w:r>
      <w:r w:rsidRPr="007D62C1">
        <w:rPr>
          <w:lang w:eastAsia="en-CA"/>
        </w:rPr>
        <w:t>need a UN packaging mark; and</w:t>
      </w:r>
    </w:p>
    <w:p w:rsidR="00672B42" w:rsidRPr="00873A93" w:rsidRDefault="00672B42" w:rsidP="00672B42">
      <w:pPr>
        <w:pStyle w:val="SingleTxtG"/>
        <w:ind w:left="1701"/>
      </w:pPr>
      <w:r>
        <w:rPr>
          <w:lang w:eastAsia="en-CA"/>
        </w:rPr>
        <w:t>(b)</w:t>
      </w:r>
      <w:r>
        <w:rPr>
          <w:lang w:eastAsia="en-CA"/>
        </w:rPr>
        <w:tab/>
      </w:r>
      <w:r w:rsidRPr="00873A93">
        <w:rPr>
          <w:lang w:eastAsia="en-CA"/>
        </w:rPr>
        <w:t>A bag could be used as an outer packaging.</w:t>
      </w:r>
    </w:p>
    <w:p w:rsidR="00672B42" w:rsidRPr="00873A93" w:rsidRDefault="00672B42" w:rsidP="00672B42">
      <w:pPr>
        <w:pStyle w:val="SingleTxtG"/>
      </w:pPr>
      <w:r>
        <w:rPr>
          <w:rStyle w:val="hps"/>
          <w:color w:val="222222"/>
          <w:lang w:val="en"/>
        </w:rPr>
        <w:t>6.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 xml:space="preserve">Since </w:t>
      </w:r>
      <w:r>
        <w:rPr>
          <w:rStyle w:val="hps"/>
          <w:color w:val="222222"/>
          <w:lang w:val="en"/>
        </w:rPr>
        <w:t>neither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 these interpretations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meet</w:t>
      </w:r>
      <w:r>
        <w:rPr>
          <w:rStyle w:val="hps"/>
          <w:color w:val="222222"/>
          <w:lang w:val="en"/>
        </w:rPr>
        <w:t>s</w:t>
      </w:r>
      <w:r w:rsidRPr="00873A93">
        <w:rPr>
          <w:rStyle w:val="hps"/>
          <w:color w:val="222222"/>
          <w:lang w:val="en"/>
        </w:rPr>
        <w:t xml:space="preserve">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objectives of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 P902</w:t>
      </w:r>
      <w:r w:rsidRPr="00873A93">
        <w:t xml:space="preserve">, the authors </w:t>
      </w:r>
      <w:r w:rsidRPr="00873A93">
        <w:rPr>
          <w:rStyle w:val="hps"/>
          <w:color w:val="222222"/>
          <w:lang w:val="en"/>
        </w:rPr>
        <w:t xml:space="preserve">of </w:t>
      </w:r>
      <w:r>
        <w:rPr>
          <w:rStyle w:val="hps"/>
          <w:color w:val="222222"/>
          <w:lang w:val="en"/>
        </w:rPr>
        <w:t xml:space="preserve">document </w:t>
      </w:r>
      <w:r w:rsidRPr="00873A93">
        <w:rPr>
          <w:rStyle w:val="hps"/>
          <w:color w:val="222222"/>
          <w:lang w:val="en"/>
        </w:rPr>
        <w:t>ST/SG/AC.10/C.3/2010/26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proposed to clarify the instruction</w:t>
      </w:r>
      <w:r w:rsidRPr="00873A93">
        <w:t xml:space="preserve">.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P902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 xml:space="preserve">was </w:t>
      </w:r>
      <w:r>
        <w:rPr>
          <w:rStyle w:val="hps"/>
          <w:color w:val="222222"/>
          <w:lang w:val="en"/>
        </w:rPr>
        <w:t xml:space="preserve">thus </w:t>
      </w:r>
      <w:r w:rsidRPr="00873A93">
        <w:rPr>
          <w:rStyle w:val="hps"/>
          <w:color w:val="222222"/>
          <w:lang w:val="en"/>
        </w:rPr>
        <w:t>amended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in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17</w:t>
      </w:r>
      <w:r w:rsidRPr="00063889">
        <w:rPr>
          <w:rStyle w:val="hps"/>
          <w:color w:val="222222"/>
          <w:vertAlign w:val="superscript"/>
          <w:lang w:val="en"/>
        </w:rPr>
        <w:t>th</w:t>
      </w:r>
      <w:r w:rsidRPr="00873A93">
        <w:rPr>
          <w:rStyle w:val="hps"/>
          <w:color w:val="222222"/>
          <w:lang w:val="en"/>
        </w:rPr>
        <w:t xml:space="preserve"> </w:t>
      </w:r>
      <w:r w:rsidR="004A2FFF">
        <w:rPr>
          <w:rStyle w:val="hps"/>
          <w:color w:val="222222"/>
          <w:lang w:val="en"/>
        </w:rPr>
        <w:t xml:space="preserve">revised </w:t>
      </w:r>
      <w:r w:rsidRPr="00873A93">
        <w:rPr>
          <w:rStyle w:val="hps"/>
          <w:color w:val="222222"/>
          <w:lang w:val="en"/>
        </w:rPr>
        <w:t>edition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 xml:space="preserve">of the </w:t>
      </w:r>
      <w:r w:rsidR="004A2FFF">
        <w:rPr>
          <w:rStyle w:val="hps"/>
          <w:color w:val="222222"/>
          <w:lang w:val="en"/>
        </w:rPr>
        <w:t>Recommendations on the Transport of Dangerous Goods, Model Regulations</w:t>
      </w:r>
      <w:r>
        <w:rPr>
          <w:rStyle w:val="hps"/>
          <w:color w:val="222222"/>
          <w:lang w:val="en"/>
        </w:rPr>
        <w:t>,</w:t>
      </w:r>
      <w:r w:rsidRPr="006C7FB4">
        <w:rPr>
          <w:rStyle w:val="hps"/>
          <w:color w:val="222222"/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as follows</w:t>
      </w:r>
      <w:r w:rsidRPr="00873A93">
        <w:t>:</w:t>
      </w:r>
    </w:p>
    <w:tbl>
      <w:tblPr>
        <w:tblW w:w="0" w:type="auto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672B42" w:rsidRPr="00873A93" w:rsidTr="004A2FFF">
        <w:tc>
          <w:tcPr>
            <w:tcW w:w="855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bCs/>
              </w:rPr>
            </w:pPr>
            <w:r w:rsidRPr="00873A93">
              <w:rPr>
                <w:b/>
              </w:rPr>
              <w:t>P902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873A93">
              <w:rPr>
                <w:b/>
                <w:bCs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873A93">
              <w:rPr>
                <w:b/>
              </w:rPr>
              <w:t>P902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>This instruction applies to UN No. 3268.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 xml:space="preserve">The following </w:t>
            </w: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are authorized provided the general provision</w:t>
            </w:r>
            <w:r>
              <w:rPr>
                <w:lang w:val="en-CA"/>
              </w:rPr>
              <w:t>s</w:t>
            </w:r>
            <w:r w:rsidRPr="00873A93">
              <w:rPr>
                <w:lang w:val="en-CA"/>
              </w:rPr>
              <w:t xml:space="preserve"> of </w:t>
            </w:r>
            <w:r w:rsidRPr="00873A93">
              <w:rPr>
                <w:b/>
                <w:lang w:val="en-CA"/>
              </w:rPr>
              <w:t>4.1.1</w:t>
            </w:r>
            <w:r w:rsidRPr="00873A93">
              <w:rPr>
                <w:lang w:val="en-CA"/>
              </w:rPr>
              <w:t xml:space="preserve"> and  </w:t>
            </w:r>
            <w:r w:rsidRPr="00873A93">
              <w:rPr>
                <w:b/>
                <w:lang w:val="en-CA"/>
              </w:rPr>
              <w:t xml:space="preserve">4.1.3 </w:t>
            </w:r>
            <w:r w:rsidRPr="00873A93">
              <w:rPr>
                <w:lang w:val="en-CA"/>
              </w:rPr>
              <w:t>are met: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Drums (1A2, 1B2, 1N2, 1H2, 1D et 1G);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Box (4A, 4B, 4N, 4C1, 4C2, 4D, 4F, 4G, 4H1, 4H2);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</w:rPr>
            </w:pPr>
            <w:proofErr w:type="spellStart"/>
            <w:r w:rsidRPr="00873A93">
              <w:rPr>
                <w:color w:val="FF0000"/>
                <w:u w:val="single"/>
              </w:rPr>
              <w:t>Jerricans</w:t>
            </w:r>
            <w:proofErr w:type="spellEnd"/>
            <w:r w:rsidRPr="00873A93">
              <w:rPr>
                <w:color w:val="FF0000"/>
                <w:u w:val="single"/>
              </w:rPr>
              <w:t xml:space="preserve"> (3A2, 3B2 et 3H2).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shall conform to the packing group III performance level.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 xml:space="preserve">The </w:t>
            </w: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shall be designed and constructed so as to prevent movement of the articles and inadvertent operation during normal conditions of transport.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Unpackaged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>The articles may also be transported unpackaged in dedicated handling devices, vehicles or containers when moved from where they are manufactured to an assembly plant.</w:t>
            </w:r>
          </w:p>
        </w:tc>
      </w:tr>
      <w:tr w:rsidR="00672B42" w:rsidRPr="00873A93" w:rsidTr="004A2FFF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Additional requirement</w:t>
            </w:r>
            <w:r w:rsidRPr="00873A93">
              <w:t>:</w:t>
            </w:r>
          </w:p>
        </w:tc>
      </w:tr>
      <w:tr w:rsidR="00672B42" w:rsidRPr="00873A93" w:rsidTr="004A2FFF">
        <w:trPr>
          <w:trHeight w:val="360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lang w:val="en-CA"/>
              </w:rPr>
            </w:pPr>
            <w:r w:rsidRPr="00873A93">
              <w:rPr>
                <w:lang w:val="en-CA"/>
              </w:rPr>
              <w:t>Any pressure receptacle shall be in accordance with the requirements of the competent authority for the substance(s) contained therein.</w:t>
            </w:r>
          </w:p>
        </w:tc>
      </w:tr>
    </w:tbl>
    <w:p w:rsidR="00672B42" w:rsidRDefault="00672B42" w:rsidP="00672B42">
      <w:pPr>
        <w:pStyle w:val="SingleTxtG"/>
        <w:spacing w:before="120"/>
      </w:pPr>
      <w:r>
        <w:rPr>
          <w:rStyle w:val="hps"/>
          <w:color w:val="222222"/>
          <w:lang w:val="en"/>
        </w:rPr>
        <w:t>7.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>However, no</w:t>
      </w:r>
      <w:r w:rsidRPr="00873A93">
        <w:t xml:space="preserve"> </w:t>
      </w:r>
      <w:r>
        <w:t xml:space="preserve">correlative </w:t>
      </w:r>
      <w:r w:rsidRPr="00873A93">
        <w:rPr>
          <w:rStyle w:val="hps"/>
          <w:color w:val="222222"/>
          <w:lang w:val="en"/>
        </w:rPr>
        <w:t>changes were made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to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following the change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 P902</w:t>
      </w:r>
      <w:r>
        <w:rPr>
          <w:rStyle w:val="hps"/>
          <w:color w:val="222222"/>
          <w:lang w:val="en"/>
        </w:rPr>
        <w:t xml:space="preserve"> in the sevent</w:t>
      </w:r>
      <w:r w:rsidR="004A2FFF">
        <w:rPr>
          <w:rStyle w:val="hps"/>
          <w:color w:val="222222"/>
          <w:lang w:val="en"/>
        </w:rPr>
        <w:t>eent</w:t>
      </w:r>
      <w:r>
        <w:rPr>
          <w:rStyle w:val="hps"/>
          <w:color w:val="222222"/>
          <w:lang w:val="en"/>
        </w:rPr>
        <w:t xml:space="preserve">h </w:t>
      </w:r>
      <w:r w:rsidR="004A2FFF">
        <w:rPr>
          <w:rStyle w:val="hps"/>
          <w:color w:val="222222"/>
          <w:lang w:val="en"/>
        </w:rPr>
        <w:t xml:space="preserve">revised </w:t>
      </w:r>
      <w:r>
        <w:rPr>
          <w:rStyle w:val="hps"/>
          <w:color w:val="222222"/>
          <w:lang w:val="en"/>
        </w:rPr>
        <w:t>edition</w:t>
      </w:r>
      <w:r w:rsidRPr="00873A93">
        <w:t>.</w:t>
      </w:r>
    </w:p>
    <w:p w:rsidR="00672B42" w:rsidRDefault="00672B42">
      <w:pPr>
        <w:suppressAutoHyphens w:val="0"/>
        <w:spacing w:line="240" w:lineRule="auto"/>
        <w:rPr>
          <w:rStyle w:val="hps"/>
          <w:color w:val="222222"/>
          <w:lang w:val="en"/>
        </w:rPr>
      </w:pPr>
      <w:r>
        <w:rPr>
          <w:rStyle w:val="hps"/>
          <w:color w:val="222222"/>
          <w:lang w:val="en"/>
        </w:rPr>
        <w:br w:type="page"/>
      </w:r>
    </w:p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672B42" w:rsidRPr="00873A93" w:rsidTr="004A2FFF">
        <w:tc>
          <w:tcPr>
            <w:tcW w:w="855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bCs/>
              </w:rPr>
            </w:pPr>
            <w:r w:rsidRPr="00873A93">
              <w:rPr>
                <w:b/>
              </w:rPr>
              <w:lastRenderedPageBreak/>
              <w:t>LP902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873A93">
              <w:rPr>
                <w:b/>
                <w:bCs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873A93">
              <w:rPr>
                <w:b/>
              </w:rPr>
              <w:t>LP902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>This instruction applies to UN No. 3268.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 xml:space="preserve">The following large </w:t>
            </w: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are authorized, provided that the general provisions of </w:t>
            </w:r>
            <w:r w:rsidRPr="00873A93">
              <w:rPr>
                <w:b/>
                <w:lang w:val="en-CA"/>
              </w:rPr>
              <w:t>4.1.1</w:t>
            </w:r>
            <w:r w:rsidRPr="00873A93">
              <w:rPr>
                <w:lang w:val="en-CA"/>
              </w:rPr>
              <w:t xml:space="preserve"> and </w:t>
            </w:r>
            <w:r w:rsidRPr="00873A93">
              <w:rPr>
                <w:b/>
                <w:lang w:val="en-CA"/>
              </w:rPr>
              <w:t xml:space="preserve">4.1.3 </w:t>
            </w:r>
            <w:r w:rsidRPr="00873A93">
              <w:rPr>
                <w:lang w:val="en-CA"/>
              </w:rPr>
              <w:t>are met: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conforming to the packing group III performance level.</w:t>
            </w:r>
            <w:r>
              <w:rPr>
                <w:lang w:val="en-CA"/>
              </w:rPr>
              <w:t xml:space="preserve"> The </w:t>
            </w:r>
            <w:proofErr w:type="spellStart"/>
            <w:r>
              <w:rPr>
                <w:lang w:val="en-CA"/>
              </w:rPr>
              <w:t>packaging</w:t>
            </w:r>
            <w:r w:rsidRPr="00873A93">
              <w:rPr>
                <w:lang w:val="en-CA"/>
              </w:rPr>
              <w:t>s</w:t>
            </w:r>
            <w:proofErr w:type="spellEnd"/>
            <w:r w:rsidRPr="00873A93">
              <w:rPr>
                <w:lang w:val="en-CA"/>
              </w:rPr>
              <w:t xml:space="preserve"> shall be designed and constructed to prevent movement of the articles and inadvertent operation during normal conditions of transport.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Unpackaged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94F16">
              <w:rPr>
                <w:lang w:val="en-CA"/>
              </w:rPr>
              <w:t>The</w:t>
            </w:r>
            <w:r w:rsidRPr="00873A93">
              <w:rPr>
                <w:lang w:val="en-CA"/>
              </w:rPr>
              <w:t xml:space="preserve"> articles may also be transported unpackaged in dedicated handling devices, vehicles, containers or wagons when moved from where they are manufactured to an assembly plant.</w:t>
            </w:r>
          </w:p>
        </w:tc>
      </w:tr>
      <w:tr w:rsidR="00672B42" w:rsidRPr="00873A93" w:rsidTr="004A2FFF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Additional requirement</w:t>
            </w:r>
            <w:r w:rsidRPr="00873A93">
              <w:t>:</w:t>
            </w:r>
          </w:p>
        </w:tc>
      </w:tr>
      <w:tr w:rsidR="00672B42" w:rsidRPr="00873A93" w:rsidTr="004A2FFF">
        <w:trPr>
          <w:trHeight w:val="360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lang w:val="en-CA"/>
              </w:rPr>
            </w:pPr>
            <w:r w:rsidRPr="00873A93">
              <w:rPr>
                <w:lang w:val="en-CA"/>
              </w:rPr>
              <w:t>Any pressure receptacle shall be in accordance with the requirements of the competent authority for the substance(s) contained therein.</w:t>
            </w:r>
          </w:p>
        </w:tc>
      </w:tr>
    </w:tbl>
    <w:p w:rsidR="00672B42" w:rsidRDefault="00672B42" w:rsidP="00672B42">
      <w:pPr>
        <w:pStyle w:val="SingleTxtG"/>
        <w:spacing w:before="120"/>
      </w:pPr>
      <w:r>
        <w:rPr>
          <w:rStyle w:val="hps"/>
          <w:color w:val="222222"/>
          <w:lang w:val="en"/>
        </w:rPr>
        <w:t>8.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>Consequently,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if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one consults</w:t>
      </w:r>
      <w:r w:rsidRPr="00873A93">
        <w:t xml:space="preserve"> </w:t>
      </w:r>
      <w:r>
        <w:t xml:space="preserve">packing </w:t>
      </w:r>
      <w:r w:rsidRPr="00873A93">
        <w:rPr>
          <w:rStyle w:val="hps"/>
          <w:color w:val="222222"/>
          <w:lang w:val="en"/>
        </w:rPr>
        <w:t>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>
        <w:rPr>
          <w:rStyle w:val="hps"/>
          <w:color w:val="222222"/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without considering</w:t>
      </w:r>
      <w:r w:rsidRPr="00873A93">
        <w:t xml:space="preserve"> </w:t>
      </w:r>
      <w:r>
        <w:rPr>
          <w:rStyle w:val="hps"/>
          <w:color w:val="222222"/>
          <w:lang w:val="en"/>
        </w:rPr>
        <w:t xml:space="preserve">packing instruction </w:t>
      </w:r>
      <w:r w:rsidRPr="00873A93">
        <w:rPr>
          <w:rStyle w:val="hps"/>
          <w:color w:val="222222"/>
          <w:lang w:val="en"/>
        </w:rPr>
        <w:t>P902</w:t>
      </w:r>
      <w:r w:rsidRPr="00873A93">
        <w:t xml:space="preserve">, </w:t>
      </w:r>
      <w:r w:rsidRPr="00873A93">
        <w:rPr>
          <w:rStyle w:val="hps"/>
          <w:color w:val="222222"/>
          <w:lang w:val="en"/>
        </w:rPr>
        <w:t xml:space="preserve">a </w:t>
      </w:r>
      <w:r>
        <w:rPr>
          <w:rStyle w:val="hps"/>
          <w:color w:val="222222"/>
          <w:lang w:val="en"/>
        </w:rPr>
        <w:t xml:space="preserve">flexible </w:t>
      </w:r>
      <w:r w:rsidRPr="00873A93">
        <w:rPr>
          <w:rStyle w:val="hps"/>
          <w:color w:val="222222"/>
          <w:lang w:val="en"/>
        </w:rPr>
        <w:t>large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packaging</w:t>
      </w:r>
      <w:r w:rsidRPr="00873A93">
        <w:t xml:space="preserve"> </w:t>
      </w:r>
      <w:r>
        <w:t xml:space="preserve">is authorized </w:t>
      </w:r>
      <w:r>
        <w:rPr>
          <w:rStyle w:val="hps"/>
          <w:color w:val="222222"/>
          <w:lang w:val="en"/>
        </w:rPr>
        <w:t>but does not meet, in the opinion of the expert from Canada,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the objec</w:t>
      </w:r>
      <w:r>
        <w:rPr>
          <w:rStyle w:val="hps"/>
          <w:color w:val="222222"/>
          <w:lang w:val="en"/>
        </w:rPr>
        <w:t>tive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</w:t>
      </w:r>
      <w:r w:rsidRPr="00873A93">
        <w:t xml:space="preserve"> </w:t>
      </w:r>
      <w:r>
        <w:t xml:space="preserve">packing </w:t>
      </w:r>
      <w:r w:rsidRPr="00873A93">
        <w:rPr>
          <w:rStyle w:val="hps"/>
          <w:color w:val="222222"/>
          <w:lang w:val="en"/>
        </w:rPr>
        <w:t>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t>.</w:t>
      </w:r>
      <w:r>
        <w:t xml:space="preserve"> We note that </w:t>
      </w:r>
      <w:r>
        <w:rPr>
          <w:rStyle w:val="hps"/>
          <w:color w:val="222222"/>
          <w:lang w:val="en"/>
        </w:rPr>
        <w:t>t</w:t>
      </w:r>
      <w:r w:rsidRPr="00873A93">
        <w:rPr>
          <w:rStyle w:val="hps"/>
          <w:color w:val="222222"/>
          <w:lang w:val="en"/>
        </w:rPr>
        <w:t>his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the only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, except </w:t>
      </w:r>
      <w:r w:rsidRPr="00873A93">
        <w:rPr>
          <w:rStyle w:val="hps"/>
          <w:color w:val="222222"/>
          <w:lang w:val="en"/>
        </w:rPr>
        <w:t>LP621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instruction,</w:t>
      </w:r>
      <w:r w:rsidRPr="00873A93">
        <w:t xml:space="preserve"> that do</w:t>
      </w:r>
      <w:r>
        <w:t>es</w:t>
      </w:r>
      <w:r w:rsidRPr="00873A93">
        <w:t xml:space="preserve"> n</w:t>
      </w:r>
      <w:proofErr w:type="spellStart"/>
      <w:r w:rsidRPr="00873A93">
        <w:rPr>
          <w:rStyle w:val="hps"/>
          <w:color w:val="222222"/>
          <w:lang w:val="en"/>
        </w:rPr>
        <w:t>ot</w:t>
      </w:r>
      <w:proofErr w:type="spellEnd"/>
      <w:r w:rsidRPr="00873A93">
        <w:rPr>
          <w:rStyle w:val="hps"/>
          <w:color w:val="222222"/>
          <w:lang w:val="en"/>
        </w:rPr>
        <w:t xml:space="preserve"> offer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a list of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codes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of</w:t>
      </w:r>
      <w:r w:rsidRPr="00873A93">
        <w:t xml:space="preserve"> </w:t>
      </w:r>
      <w:r>
        <w:t xml:space="preserve">authorized </w:t>
      </w:r>
      <w:r w:rsidRPr="00873A93">
        <w:rPr>
          <w:rStyle w:val="hps"/>
          <w:color w:val="222222"/>
          <w:lang w:val="en"/>
        </w:rPr>
        <w:t xml:space="preserve">large </w:t>
      </w:r>
      <w:proofErr w:type="spellStart"/>
      <w:r w:rsidRPr="00873A93">
        <w:rPr>
          <w:rStyle w:val="hps"/>
          <w:color w:val="222222"/>
          <w:lang w:val="en"/>
        </w:rPr>
        <w:t>packagings</w:t>
      </w:r>
      <w:proofErr w:type="spellEnd"/>
      <w:r w:rsidRPr="00873A93">
        <w:t>.</w:t>
      </w:r>
    </w:p>
    <w:p w:rsidR="00672B42" w:rsidRDefault="00672B42" w:rsidP="00672B42">
      <w:pPr>
        <w:pStyle w:val="SingleTxtG"/>
      </w:pPr>
      <w:r>
        <w:rPr>
          <w:rStyle w:val="hps"/>
          <w:color w:val="222222"/>
          <w:lang w:val="en"/>
        </w:rPr>
        <w:t>9.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>Packing</w:t>
      </w:r>
      <w:r w:rsidRPr="00873A93">
        <w:t xml:space="preserve"> </w:t>
      </w:r>
      <w:proofErr w:type="spellStart"/>
      <w:r w:rsidR="004A2FFF">
        <w:t>i</w:t>
      </w:r>
      <w:r w:rsidRPr="00873A93">
        <w:rPr>
          <w:rStyle w:val="hps"/>
          <w:color w:val="222222"/>
          <w:lang w:val="en"/>
        </w:rPr>
        <w:t>nstruction</w:t>
      </w:r>
      <w:proofErr w:type="spellEnd"/>
      <w:r w:rsidRPr="00873A93">
        <w:t xml:space="preserve"> </w:t>
      </w:r>
      <w:r w:rsidRPr="00873A93">
        <w:rPr>
          <w:rStyle w:val="hps"/>
          <w:color w:val="222222"/>
          <w:lang w:val="en"/>
        </w:rPr>
        <w:t>P902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in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19th</w:t>
      </w:r>
      <w:r w:rsidRPr="00873A93">
        <w:t xml:space="preserve"> </w:t>
      </w:r>
      <w:r w:rsidR="004A2FFF">
        <w:t xml:space="preserve">revised </w:t>
      </w:r>
      <w:r w:rsidRPr="00873A93">
        <w:rPr>
          <w:rStyle w:val="hps"/>
          <w:color w:val="222222"/>
          <w:lang w:val="en"/>
        </w:rPr>
        <w:t>edition of the</w:t>
      </w:r>
      <w:r w:rsidRPr="00873A93">
        <w:t xml:space="preserve"> </w:t>
      </w:r>
      <w:r w:rsidR="00C95901">
        <w:t xml:space="preserve">Recommendations on the Transport of Dangerous Goods, </w:t>
      </w:r>
      <w:r w:rsidRPr="00873A93">
        <w:rPr>
          <w:rStyle w:val="hps"/>
          <w:color w:val="222222"/>
          <w:lang w:val="en"/>
        </w:rPr>
        <w:t>Model Regulations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clearly states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that only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 xml:space="preserve">rigid </w:t>
      </w:r>
      <w:proofErr w:type="spellStart"/>
      <w:r w:rsidRPr="00873A93">
        <w:rPr>
          <w:rStyle w:val="hps"/>
          <w:color w:val="222222"/>
          <w:lang w:val="en"/>
        </w:rPr>
        <w:t>packaging</w:t>
      </w:r>
      <w:r>
        <w:rPr>
          <w:rStyle w:val="hps"/>
          <w:color w:val="222222"/>
          <w:lang w:val="en"/>
        </w:rPr>
        <w:t>s</w:t>
      </w:r>
      <w:proofErr w:type="spellEnd"/>
      <w:r w:rsidRPr="00873A93">
        <w:t xml:space="preserve"> </w:t>
      </w:r>
      <w:r w:rsidRPr="00873A93">
        <w:rPr>
          <w:rStyle w:val="hps"/>
          <w:color w:val="222222"/>
          <w:lang w:val="en"/>
        </w:rPr>
        <w:t>bearing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UN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mark</w:t>
      </w:r>
      <w:r w:rsidRPr="00873A93">
        <w:t xml:space="preserve"> </w:t>
      </w:r>
      <w:r>
        <w:rPr>
          <w:rStyle w:val="hps"/>
          <w:color w:val="222222"/>
          <w:lang w:val="en"/>
        </w:rPr>
        <w:t>are authorized</w:t>
      </w:r>
      <w:r w:rsidRPr="00873A93">
        <w:rPr>
          <w:rStyle w:val="hps"/>
          <w:color w:val="222222"/>
          <w:lang w:val="en"/>
        </w:rPr>
        <w:t>.</w:t>
      </w:r>
      <w:r w:rsidRPr="00873A93">
        <w:t xml:space="preserve"> </w:t>
      </w:r>
    </w:p>
    <w:p w:rsidR="00672B42" w:rsidRPr="009F5D7A" w:rsidRDefault="00672B42" w:rsidP="00672B42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Proposal</w:t>
      </w:r>
    </w:p>
    <w:p w:rsidR="00672B42" w:rsidRDefault="00672B42" w:rsidP="00672B42">
      <w:pPr>
        <w:pStyle w:val="SingleTxtG"/>
      </w:pPr>
      <w:r>
        <w:rPr>
          <w:rStyle w:val="hps"/>
          <w:color w:val="222222"/>
          <w:lang w:val="en"/>
        </w:rPr>
        <w:t>10.</w:t>
      </w:r>
      <w:r>
        <w:rPr>
          <w:rStyle w:val="hps"/>
          <w:color w:val="222222"/>
          <w:lang w:val="en"/>
        </w:rPr>
        <w:tab/>
        <w:t>The expert from Canada</w:t>
      </w:r>
      <w:r w:rsidRPr="00873A93">
        <w:rPr>
          <w:rStyle w:val="hps"/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 xml:space="preserve">recommends </w:t>
      </w:r>
      <w:r w:rsidRPr="00873A93">
        <w:rPr>
          <w:rStyle w:val="hps"/>
          <w:color w:val="222222"/>
          <w:lang w:val="en"/>
        </w:rPr>
        <w:t>making the same changes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to the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in order to</w:t>
      </w:r>
      <w:r w:rsidRPr="00873A93">
        <w:t xml:space="preserve"> </w:t>
      </w:r>
      <w:r>
        <w:rPr>
          <w:rStyle w:val="hps"/>
          <w:color w:val="222222"/>
          <w:lang w:val="en"/>
        </w:rPr>
        <w:t>eliminate inconsistencies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between the two</w:t>
      </w:r>
      <w:r w:rsidRPr="00873A93">
        <w:t xml:space="preserve"> </w:t>
      </w:r>
      <w:r>
        <w:rPr>
          <w:rStyle w:val="hps"/>
          <w:color w:val="222222"/>
          <w:lang w:val="en"/>
        </w:rPr>
        <w:t>authorized</w:t>
      </w:r>
      <w:r w:rsidRPr="00873A93">
        <w:t xml:space="preserve"> </w:t>
      </w:r>
      <w:r w:rsidR="00C95901">
        <w:rPr>
          <w:rStyle w:val="hps"/>
          <w:color w:val="222222"/>
          <w:lang w:val="en"/>
        </w:rPr>
        <w:t>pack</w:t>
      </w:r>
      <w:bookmarkStart w:id="0" w:name="_GoBack"/>
      <w:bookmarkEnd w:id="0"/>
      <w:r w:rsidRPr="00873A93">
        <w:rPr>
          <w:rStyle w:val="hps"/>
          <w:color w:val="222222"/>
          <w:lang w:val="en"/>
        </w:rPr>
        <w:t>ing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instructions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(</w:t>
      </w:r>
      <w:r w:rsidRPr="00873A93">
        <w:t xml:space="preserve">P902 </w:t>
      </w:r>
      <w:r w:rsidRPr="00873A93">
        <w:rPr>
          <w:rStyle w:val="hps"/>
          <w:color w:val="222222"/>
          <w:lang w:val="en"/>
        </w:rPr>
        <w:t>and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t xml:space="preserve">) </w:t>
      </w:r>
      <w:r w:rsidRPr="00873A93">
        <w:rPr>
          <w:rStyle w:val="hps"/>
          <w:color w:val="222222"/>
          <w:lang w:val="en"/>
        </w:rPr>
        <w:t>for UN</w:t>
      </w:r>
      <w:r w:rsidRPr="00873A93">
        <w:t xml:space="preserve"> </w:t>
      </w:r>
      <w:r w:rsidRPr="00873A93">
        <w:rPr>
          <w:rStyle w:val="hps"/>
          <w:color w:val="222222"/>
          <w:lang w:val="en"/>
        </w:rPr>
        <w:t>3268</w:t>
      </w:r>
      <w:r w:rsidRPr="00873A93">
        <w:t>.</w:t>
      </w:r>
    </w:p>
    <w:p w:rsidR="00672B42" w:rsidRDefault="00672B42">
      <w:pPr>
        <w:suppressAutoHyphens w:val="0"/>
        <w:spacing w:line="240" w:lineRule="auto"/>
        <w:rPr>
          <w:rStyle w:val="hps"/>
          <w:color w:val="222222"/>
          <w:lang w:val="en"/>
        </w:rPr>
      </w:pPr>
      <w:r>
        <w:rPr>
          <w:rStyle w:val="hps"/>
          <w:color w:val="222222"/>
          <w:lang w:val="en"/>
        </w:rPr>
        <w:br w:type="page"/>
      </w:r>
    </w:p>
    <w:p w:rsidR="00672B42" w:rsidRPr="00873A93" w:rsidRDefault="00672B42" w:rsidP="00672B42">
      <w:pPr>
        <w:pStyle w:val="SingleTxtG"/>
        <w:rPr>
          <w:lang w:val="en-CA"/>
        </w:rPr>
      </w:pPr>
      <w:r>
        <w:rPr>
          <w:rStyle w:val="hps"/>
          <w:color w:val="222222"/>
          <w:lang w:val="en"/>
        </w:rPr>
        <w:lastRenderedPageBreak/>
        <w:t>11.</w:t>
      </w:r>
      <w:r>
        <w:rPr>
          <w:rStyle w:val="hps"/>
          <w:color w:val="222222"/>
          <w:lang w:val="en"/>
        </w:rPr>
        <w:tab/>
      </w:r>
      <w:r w:rsidRPr="00873A93">
        <w:rPr>
          <w:rStyle w:val="hps"/>
          <w:color w:val="222222"/>
          <w:lang w:val="en"/>
        </w:rPr>
        <w:t>The</w:t>
      </w:r>
      <w:r w:rsidRPr="00873A93">
        <w:rPr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LP902</w:t>
      </w:r>
      <w:r w:rsidRPr="00873A93">
        <w:rPr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packing instruction</w:t>
      </w:r>
      <w:r w:rsidRPr="00873A93">
        <w:rPr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would read</w:t>
      </w:r>
      <w:r w:rsidRPr="00873A93">
        <w:rPr>
          <w:lang w:val="en"/>
        </w:rPr>
        <w:t xml:space="preserve"> </w:t>
      </w:r>
      <w:r w:rsidRPr="00873A93">
        <w:rPr>
          <w:rStyle w:val="hps"/>
          <w:color w:val="222222"/>
          <w:lang w:val="en"/>
        </w:rPr>
        <w:t>as follows:</w:t>
      </w:r>
    </w:p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672B42" w:rsidRPr="00873A93" w:rsidTr="004A2FFF">
        <w:tc>
          <w:tcPr>
            <w:tcW w:w="855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bCs/>
              </w:rPr>
            </w:pPr>
            <w:r w:rsidRPr="00873A93">
              <w:rPr>
                <w:b/>
              </w:rPr>
              <w:t>LP902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873A93">
              <w:rPr>
                <w:b/>
                <w:bCs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873A93">
              <w:rPr>
                <w:b/>
              </w:rPr>
              <w:t>P902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>This instruction applies to UN No. 3268.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top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873A93">
              <w:rPr>
                <w:lang w:val="en-CA"/>
              </w:rPr>
              <w:t xml:space="preserve">The following large </w:t>
            </w:r>
            <w:proofErr w:type="spellStart"/>
            <w:r w:rsidRPr="00873A93">
              <w:rPr>
                <w:lang w:val="en-CA"/>
              </w:rPr>
              <w:t>packagings</w:t>
            </w:r>
            <w:proofErr w:type="spellEnd"/>
            <w:r w:rsidRPr="00873A93">
              <w:rPr>
                <w:lang w:val="en-CA"/>
              </w:rPr>
              <w:t xml:space="preserve"> are authorized, provided that the general provisions of </w:t>
            </w:r>
            <w:r w:rsidRPr="00873A93">
              <w:rPr>
                <w:b/>
                <w:lang w:val="en-CA"/>
              </w:rPr>
              <w:t>4.1.1</w:t>
            </w:r>
            <w:r w:rsidRPr="00873A93">
              <w:rPr>
                <w:lang w:val="en-CA"/>
              </w:rPr>
              <w:t xml:space="preserve"> and </w:t>
            </w:r>
            <w:r w:rsidRPr="00873A93">
              <w:rPr>
                <w:b/>
                <w:lang w:val="en-CA"/>
              </w:rPr>
              <w:t xml:space="preserve">4.1.3 </w:t>
            </w:r>
            <w:r w:rsidRPr="00873A93">
              <w:rPr>
                <w:lang w:val="en-CA"/>
              </w:rPr>
              <w:t>are met:</w:t>
            </w:r>
          </w:p>
          <w:p w:rsidR="00672B42" w:rsidRPr="009F5D7A" w:rsidRDefault="00672B42" w:rsidP="004A2FFF">
            <w:pPr>
              <w:spacing w:before="60" w:after="60" w:line="240" w:lineRule="auto"/>
              <w:rPr>
                <w:color w:val="FF0000"/>
                <w:u w:val="single"/>
                <w:lang w:val="en-CA"/>
              </w:rPr>
            </w:pPr>
            <w:proofErr w:type="spellStart"/>
            <w:r w:rsidRPr="00393D97">
              <w:rPr>
                <w:strike/>
                <w:lang w:val="en-CA"/>
              </w:rPr>
              <w:t>Packagings</w:t>
            </w:r>
            <w:proofErr w:type="spellEnd"/>
            <w:r w:rsidRPr="00393D97">
              <w:rPr>
                <w:strike/>
                <w:lang w:val="en-CA"/>
              </w:rPr>
              <w:t xml:space="preserve"> conforming to the packing group III performance level.</w:t>
            </w:r>
            <w:r w:rsidRPr="00393D97">
              <w:rPr>
                <w:lang w:val="en-CA"/>
              </w:rPr>
              <w:t xml:space="preserve"> </w:t>
            </w:r>
            <w:r w:rsidRPr="009F5D7A">
              <w:rPr>
                <w:color w:val="FF0000"/>
                <w:u w:val="single"/>
                <w:lang w:val="en-CA"/>
              </w:rPr>
              <w:t xml:space="preserve">Rigid large </w:t>
            </w:r>
            <w:proofErr w:type="spellStart"/>
            <w:r w:rsidRPr="009F5D7A">
              <w:rPr>
                <w:color w:val="FF0000"/>
                <w:u w:val="single"/>
                <w:lang w:val="en-CA"/>
              </w:rPr>
              <w:t>packagings</w:t>
            </w:r>
            <w:proofErr w:type="spellEnd"/>
            <w:r w:rsidRPr="009F5D7A">
              <w:rPr>
                <w:color w:val="FF0000"/>
                <w:u w:val="single"/>
                <w:lang w:val="en-CA"/>
              </w:rPr>
              <w:t xml:space="preserve"> conforming to the packing group III performance level, made of: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steel (50A)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aluminium (50B)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metal other than steel or aluminium (50N)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rigid plastics (50H)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natural wood (50C)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plywood (50D)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  <w:lang w:val="en-CA"/>
              </w:rPr>
            </w:pPr>
            <w:r w:rsidRPr="00873A93">
              <w:rPr>
                <w:color w:val="FF0000"/>
                <w:u w:val="single"/>
                <w:lang w:val="en-CA"/>
              </w:rPr>
              <w:t>reconstituted wood (50F)</w:t>
            </w:r>
          </w:p>
          <w:p w:rsidR="00672B42" w:rsidRPr="00873A93" w:rsidRDefault="00672B42" w:rsidP="004A2FFF">
            <w:pPr>
              <w:spacing w:before="60" w:after="60" w:line="240" w:lineRule="auto"/>
              <w:ind w:left="567"/>
              <w:rPr>
                <w:color w:val="FF0000"/>
                <w:u w:val="single"/>
              </w:rPr>
            </w:pPr>
            <w:r w:rsidRPr="00873A93">
              <w:rPr>
                <w:color w:val="FF0000"/>
                <w:u w:val="single"/>
              </w:rPr>
              <w:t>rigid fibreboard (50G)</w:t>
            </w:r>
          </w:p>
          <w:p w:rsidR="00672B42" w:rsidRPr="00873A93" w:rsidRDefault="00672B42" w:rsidP="004A2FFF">
            <w:pPr>
              <w:spacing w:before="60" w:after="60" w:line="240" w:lineRule="auto"/>
              <w:rPr>
                <w:color w:val="FF0000"/>
              </w:rPr>
            </w:pP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proofErr w:type="spellStart"/>
            <w:r>
              <w:rPr>
                <w:lang w:val="en-CA"/>
              </w:rPr>
              <w:t>packaging</w:t>
            </w:r>
            <w:r w:rsidRPr="00873A93">
              <w:rPr>
                <w:lang w:val="en-CA"/>
              </w:rPr>
              <w:t>s</w:t>
            </w:r>
            <w:proofErr w:type="spellEnd"/>
            <w:r w:rsidRPr="00873A93">
              <w:rPr>
                <w:lang w:val="en-CA"/>
              </w:rPr>
              <w:t xml:space="preserve"> shall be designed and constructed to prevent movement of the articles and inadvertent operation during normal conditions of transport.</w:t>
            </w:r>
          </w:p>
        </w:tc>
      </w:tr>
      <w:tr w:rsidR="00672B42" w:rsidRPr="00873A93" w:rsidTr="004A2FFF">
        <w:tc>
          <w:tcPr>
            <w:tcW w:w="9643" w:type="dxa"/>
            <w:gridSpan w:val="3"/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Unpackaged articles:</w:t>
            </w:r>
          </w:p>
        </w:tc>
      </w:tr>
      <w:tr w:rsidR="00672B42" w:rsidRPr="00873A93" w:rsidTr="004A2FFF">
        <w:tc>
          <w:tcPr>
            <w:tcW w:w="9643" w:type="dxa"/>
            <w:gridSpan w:val="3"/>
            <w:tcBorders>
              <w:bottom w:val="single" w:sz="4" w:space="0" w:color="000000"/>
            </w:tcBorders>
          </w:tcPr>
          <w:p w:rsidR="00672B42" w:rsidRPr="00873A93" w:rsidRDefault="00672B42" w:rsidP="004A2FFF">
            <w:pPr>
              <w:spacing w:before="60" w:after="60" w:line="240" w:lineRule="auto"/>
              <w:rPr>
                <w:lang w:val="en-CA"/>
              </w:rPr>
            </w:pPr>
            <w:r w:rsidRPr="00CD3D21">
              <w:rPr>
                <w:lang w:val="en-CA"/>
              </w:rPr>
              <w:t>The</w:t>
            </w:r>
            <w:r w:rsidRPr="00873A93">
              <w:rPr>
                <w:lang w:val="en-CA"/>
              </w:rPr>
              <w:t xml:space="preserve"> articles may also be transported unpackaged in dedicated handling devices, vehicles, containers or wagons when moved from where they are manufactured to an assembly plant.</w:t>
            </w:r>
          </w:p>
        </w:tc>
      </w:tr>
      <w:tr w:rsidR="00672B42" w:rsidRPr="00873A93" w:rsidTr="004A2FFF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672B42" w:rsidRPr="00873A93" w:rsidRDefault="00672B42" w:rsidP="004A2FFF">
            <w:pPr>
              <w:spacing w:before="60" w:after="60" w:line="240" w:lineRule="auto"/>
            </w:pPr>
            <w:r w:rsidRPr="00873A93">
              <w:rPr>
                <w:b/>
              </w:rPr>
              <w:t>Additional requirement</w:t>
            </w:r>
            <w:r w:rsidRPr="00873A93">
              <w:t>:</w:t>
            </w:r>
          </w:p>
        </w:tc>
      </w:tr>
      <w:tr w:rsidR="00672B42" w:rsidRPr="00873A93" w:rsidTr="004A2FFF">
        <w:trPr>
          <w:trHeight w:val="360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672B42" w:rsidRPr="00873A93" w:rsidRDefault="00672B42" w:rsidP="004A2FFF">
            <w:pPr>
              <w:spacing w:before="60" w:after="60" w:line="240" w:lineRule="auto"/>
              <w:rPr>
                <w:b/>
                <w:lang w:val="en-CA"/>
              </w:rPr>
            </w:pPr>
            <w:r w:rsidRPr="00873A93">
              <w:rPr>
                <w:lang w:val="en-CA"/>
              </w:rPr>
              <w:t>Any pressure receptacle shall be in accordance with the requirements of the competent authority for the substance(s) contained therein.</w:t>
            </w:r>
          </w:p>
        </w:tc>
      </w:tr>
    </w:tbl>
    <w:p w:rsidR="00672B42" w:rsidRPr="00672B42" w:rsidRDefault="00672B42" w:rsidP="00672B42">
      <w:pPr>
        <w:spacing w:before="240"/>
        <w:ind w:left="1134" w:right="1134"/>
        <w:jc w:val="center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672B42" w:rsidRPr="00672B42" w:rsidRDefault="00672B42" w:rsidP="00672B42"/>
    <w:sectPr w:rsidR="00672B42" w:rsidRPr="00672B42" w:rsidSect="00E05E6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FF" w:rsidRDefault="004A2FFF"/>
  </w:endnote>
  <w:endnote w:type="continuationSeparator" w:id="0">
    <w:p w:rsidR="004A2FFF" w:rsidRDefault="004A2FFF"/>
  </w:endnote>
  <w:endnote w:type="continuationNotice" w:id="1">
    <w:p w:rsidR="004A2FFF" w:rsidRDefault="004A2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FF" w:rsidRPr="0099001C" w:rsidRDefault="004A2FFF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FFF" w:rsidRPr="00512AD1" w:rsidRDefault="004A2FFF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4A2FFF" w:rsidRDefault="004A2FFF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0pt;margin-top:-443.25pt;width:3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YxhAIAABA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" stroked="f">
              <v:textbox style="layout-flow:vertical">
                <w:txbxContent>
                  <w:p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BF0594" w:rsidRDefault="00BF0594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590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FF" w:rsidRPr="0099001C" w:rsidRDefault="004A2FFF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590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317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FFF" w:rsidRPr="00512AD1" w:rsidRDefault="004A2FFF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4A2FFF" w:rsidRDefault="004A2FFF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670pt;margin-top:-92.25pt;width:3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5c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6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VMgO&#10;X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:rsidR="00BF0594" w:rsidRPr="00512AD1" w:rsidRDefault="00BF0594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BF0594" w:rsidRDefault="00BF0594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FF" w:rsidRPr="000B175B" w:rsidRDefault="004A2F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2FFF" w:rsidRPr="00FC68B7" w:rsidRDefault="004A2F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2FFF" w:rsidRDefault="004A2FFF"/>
  </w:footnote>
  <w:footnote w:id="2">
    <w:p w:rsidR="004A2FFF" w:rsidRPr="00672B42" w:rsidRDefault="004A2FFF" w:rsidP="00672B42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FF" w:rsidRPr="00FB3D8C" w:rsidRDefault="004A2FFF" w:rsidP="00FB3D8C">
    <w:pPr>
      <w:pStyle w:val="Header"/>
    </w:pPr>
    <w:r>
      <w:t>ST/SG/AC.10/C.3/2016/23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FF" w:rsidRPr="001E4813" w:rsidRDefault="004A2FFF" w:rsidP="001E4813">
    <w:pPr>
      <w:pStyle w:val="Header"/>
      <w:jc w:val="right"/>
      <w:rPr>
        <w:lang w:val="fr-CH"/>
      </w:rPr>
    </w:pPr>
    <w:r>
      <w:rPr>
        <w:lang w:val="fr-CH"/>
      </w:rPr>
      <w:t>ST/SG/AC.10/C.3/2016/23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pt;height:18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B2151"/>
    <w:multiLevelType w:val="hybridMultilevel"/>
    <w:tmpl w:val="FB348880"/>
    <w:lvl w:ilvl="0" w:tplc="2D28DE34">
      <w:start w:val="8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367EE9"/>
    <w:multiLevelType w:val="hybridMultilevel"/>
    <w:tmpl w:val="A5204186"/>
    <w:lvl w:ilvl="0" w:tplc="640CB9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>
    <w:nsid w:val="5CCB2B9E"/>
    <w:multiLevelType w:val="hybridMultilevel"/>
    <w:tmpl w:val="E7065C10"/>
    <w:lvl w:ilvl="0" w:tplc="4DF2A5CA">
      <w:start w:val="1"/>
      <w:numFmt w:val="decimal"/>
      <w:pStyle w:val="UNParagraph"/>
      <w:lvlText w:val="%1."/>
      <w:lvlJc w:val="left"/>
      <w:pPr>
        <w:ind w:left="1494" w:hanging="360"/>
      </w:p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3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4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23"/>
  </w:num>
  <w:num w:numId="5">
    <w:abstractNumId w:val="17"/>
  </w:num>
  <w:num w:numId="6">
    <w:abstractNumId w:val="5"/>
  </w:num>
  <w:num w:numId="7">
    <w:abstractNumId w:val="9"/>
  </w:num>
  <w:num w:numId="8">
    <w:abstractNumId w:val="16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4"/>
  </w:num>
  <w:num w:numId="14">
    <w:abstractNumId w:val="19"/>
  </w:num>
  <w:num w:numId="15">
    <w:abstractNumId w:val="20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11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2BEE"/>
    <w:rsid w:val="000171FC"/>
    <w:rsid w:val="00025C10"/>
    <w:rsid w:val="000261F6"/>
    <w:rsid w:val="00034899"/>
    <w:rsid w:val="000413DA"/>
    <w:rsid w:val="000426AF"/>
    <w:rsid w:val="00042E3E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0F0A"/>
    <w:rsid w:val="00083A13"/>
    <w:rsid w:val="00085784"/>
    <w:rsid w:val="000918C2"/>
    <w:rsid w:val="000931C0"/>
    <w:rsid w:val="00094053"/>
    <w:rsid w:val="000B0DCA"/>
    <w:rsid w:val="000B175B"/>
    <w:rsid w:val="000B3A0F"/>
    <w:rsid w:val="000C64FF"/>
    <w:rsid w:val="000C69A6"/>
    <w:rsid w:val="000D13B5"/>
    <w:rsid w:val="000E0415"/>
    <w:rsid w:val="000E2262"/>
    <w:rsid w:val="000E2F43"/>
    <w:rsid w:val="000E2FEC"/>
    <w:rsid w:val="00105FDD"/>
    <w:rsid w:val="0011529F"/>
    <w:rsid w:val="001156AA"/>
    <w:rsid w:val="001220B8"/>
    <w:rsid w:val="001262C0"/>
    <w:rsid w:val="00126EA1"/>
    <w:rsid w:val="001336B2"/>
    <w:rsid w:val="00133C7A"/>
    <w:rsid w:val="00133ED6"/>
    <w:rsid w:val="00137553"/>
    <w:rsid w:val="001418E8"/>
    <w:rsid w:val="00145FFD"/>
    <w:rsid w:val="001506C9"/>
    <w:rsid w:val="001604C0"/>
    <w:rsid w:val="00161DED"/>
    <w:rsid w:val="00162157"/>
    <w:rsid w:val="00162703"/>
    <w:rsid w:val="00172A5D"/>
    <w:rsid w:val="00173C41"/>
    <w:rsid w:val="00173E97"/>
    <w:rsid w:val="001811F3"/>
    <w:rsid w:val="001832E3"/>
    <w:rsid w:val="00186037"/>
    <w:rsid w:val="001B4B04"/>
    <w:rsid w:val="001B7882"/>
    <w:rsid w:val="001C0A2D"/>
    <w:rsid w:val="001C2917"/>
    <w:rsid w:val="001C6663"/>
    <w:rsid w:val="001C719B"/>
    <w:rsid w:val="001C7895"/>
    <w:rsid w:val="001D26DF"/>
    <w:rsid w:val="001D3183"/>
    <w:rsid w:val="001E0EC3"/>
    <w:rsid w:val="001E2993"/>
    <w:rsid w:val="001E2A42"/>
    <w:rsid w:val="001E428B"/>
    <w:rsid w:val="001E4813"/>
    <w:rsid w:val="00202F2F"/>
    <w:rsid w:val="0020313C"/>
    <w:rsid w:val="00211E0B"/>
    <w:rsid w:val="0021245D"/>
    <w:rsid w:val="00232E70"/>
    <w:rsid w:val="002405A7"/>
    <w:rsid w:val="00240C33"/>
    <w:rsid w:val="00241101"/>
    <w:rsid w:val="00246F3E"/>
    <w:rsid w:val="00254938"/>
    <w:rsid w:val="00260DAB"/>
    <w:rsid w:val="00261C17"/>
    <w:rsid w:val="00263593"/>
    <w:rsid w:val="00267F1A"/>
    <w:rsid w:val="00270492"/>
    <w:rsid w:val="002775FB"/>
    <w:rsid w:val="00280C9A"/>
    <w:rsid w:val="00281563"/>
    <w:rsid w:val="00282F16"/>
    <w:rsid w:val="00291560"/>
    <w:rsid w:val="0029653B"/>
    <w:rsid w:val="0029712C"/>
    <w:rsid w:val="002B4232"/>
    <w:rsid w:val="002D5E30"/>
    <w:rsid w:val="002D78BB"/>
    <w:rsid w:val="002E03D9"/>
    <w:rsid w:val="002E42C4"/>
    <w:rsid w:val="002E45A0"/>
    <w:rsid w:val="002E4DC6"/>
    <w:rsid w:val="002E6B09"/>
    <w:rsid w:val="002F6E0F"/>
    <w:rsid w:val="003025AB"/>
    <w:rsid w:val="00302CC0"/>
    <w:rsid w:val="00303038"/>
    <w:rsid w:val="003107FA"/>
    <w:rsid w:val="00311C15"/>
    <w:rsid w:val="00317109"/>
    <w:rsid w:val="003229D8"/>
    <w:rsid w:val="0033069A"/>
    <w:rsid w:val="00330D86"/>
    <w:rsid w:val="00334089"/>
    <w:rsid w:val="0033745A"/>
    <w:rsid w:val="00355FB8"/>
    <w:rsid w:val="0036347F"/>
    <w:rsid w:val="00365502"/>
    <w:rsid w:val="00373FC5"/>
    <w:rsid w:val="003742FC"/>
    <w:rsid w:val="00381E99"/>
    <w:rsid w:val="00391104"/>
    <w:rsid w:val="0039277A"/>
    <w:rsid w:val="003972E0"/>
    <w:rsid w:val="0039798C"/>
    <w:rsid w:val="00397DE2"/>
    <w:rsid w:val="003A0867"/>
    <w:rsid w:val="003A2B2B"/>
    <w:rsid w:val="003A7F0D"/>
    <w:rsid w:val="003B0241"/>
    <w:rsid w:val="003B16CF"/>
    <w:rsid w:val="003C2CC4"/>
    <w:rsid w:val="003C3936"/>
    <w:rsid w:val="003D4B23"/>
    <w:rsid w:val="003D5BA1"/>
    <w:rsid w:val="003E7507"/>
    <w:rsid w:val="003F1ED3"/>
    <w:rsid w:val="003F32D9"/>
    <w:rsid w:val="003F6500"/>
    <w:rsid w:val="00401537"/>
    <w:rsid w:val="00403098"/>
    <w:rsid w:val="004143A7"/>
    <w:rsid w:val="00424A40"/>
    <w:rsid w:val="00427EC1"/>
    <w:rsid w:val="004325CB"/>
    <w:rsid w:val="00435726"/>
    <w:rsid w:val="00435EE3"/>
    <w:rsid w:val="00436DEF"/>
    <w:rsid w:val="00442BB5"/>
    <w:rsid w:val="00446DE4"/>
    <w:rsid w:val="00447ACD"/>
    <w:rsid w:val="004501A7"/>
    <w:rsid w:val="004532E1"/>
    <w:rsid w:val="00456600"/>
    <w:rsid w:val="00465AC8"/>
    <w:rsid w:val="00467DB4"/>
    <w:rsid w:val="004735DE"/>
    <w:rsid w:val="0047798C"/>
    <w:rsid w:val="0048539B"/>
    <w:rsid w:val="0048605D"/>
    <w:rsid w:val="0049238A"/>
    <w:rsid w:val="004936EA"/>
    <w:rsid w:val="004949D0"/>
    <w:rsid w:val="004A0699"/>
    <w:rsid w:val="004A0F33"/>
    <w:rsid w:val="004A2FFF"/>
    <w:rsid w:val="004A41CA"/>
    <w:rsid w:val="004A7FFD"/>
    <w:rsid w:val="004B1385"/>
    <w:rsid w:val="004B40B2"/>
    <w:rsid w:val="004C3136"/>
    <w:rsid w:val="004E0E90"/>
    <w:rsid w:val="004F4928"/>
    <w:rsid w:val="004F721F"/>
    <w:rsid w:val="004F7E77"/>
    <w:rsid w:val="00503228"/>
    <w:rsid w:val="00505384"/>
    <w:rsid w:val="00512AD1"/>
    <w:rsid w:val="00514641"/>
    <w:rsid w:val="005311FB"/>
    <w:rsid w:val="0053290B"/>
    <w:rsid w:val="005414C0"/>
    <w:rsid w:val="005420F2"/>
    <w:rsid w:val="00543E64"/>
    <w:rsid w:val="00557BBE"/>
    <w:rsid w:val="005602BC"/>
    <w:rsid w:val="00564A8C"/>
    <w:rsid w:val="0056584E"/>
    <w:rsid w:val="00567492"/>
    <w:rsid w:val="00582EEE"/>
    <w:rsid w:val="00587909"/>
    <w:rsid w:val="00592B8C"/>
    <w:rsid w:val="00596017"/>
    <w:rsid w:val="0059637C"/>
    <w:rsid w:val="005964D7"/>
    <w:rsid w:val="00596940"/>
    <w:rsid w:val="005A6006"/>
    <w:rsid w:val="005B12DD"/>
    <w:rsid w:val="005B3DB3"/>
    <w:rsid w:val="005B675E"/>
    <w:rsid w:val="005B793F"/>
    <w:rsid w:val="005D01BA"/>
    <w:rsid w:val="005D0566"/>
    <w:rsid w:val="005D69A1"/>
    <w:rsid w:val="005D74E8"/>
    <w:rsid w:val="005E3584"/>
    <w:rsid w:val="005F1684"/>
    <w:rsid w:val="005F491C"/>
    <w:rsid w:val="005F57B5"/>
    <w:rsid w:val="00603986"/>
    <w:rsid w:val="00610339"/>
    <w:rsid w:val="00611FB1"/>
    <w:rsid w:val="00611FC4"/>
    <w:rsid w:val="00612127"/>
    <w:rsid w:val="00612594"/>
    <w:rsid w:val="00613135"/>
    <w:rsid w:val="00613225"/>
    <w:rsid w:val="0061540F"/>
    <w:rsid w:val="00615ADE"/>
    <w:rsid w:val="00615BEE"/>
    <w:rsid w:val="006176FB"/>
    <w:rsid w:val="0062323E"/>
    <w:rsid w:val="00624CB0"/>
    <w:rsid w:val="00627ED0"/>
    <w:rsid w:val="00633F2A"/>
    <w:rsid w:val="0063576C"/>
    <w:rsid w:val="006362E9"/>
    <w:rsid w:val="00637C1A"/>
    <w:rsid w:val="00640B26"/>
    <w:rsid w:val="0064418D"/>
    <w:rsid w:val="006522E7"/>
    <w:rsid w:val="00652520"/>
    <w:rsid w:val="00660E37"/>
    <w:rsid w:val="00665396"/>
    <w:rsid w:val="00665595"/>
    <w:rsid w:val="00672B42"/>
    <w:rsid w:val="00694FF3"/>
    <w:rsid w:val="00695A9B"/>
    <w:rsid w:val="006A68AB"/>
    <w:rsid w:val="006A7392"/>
    <w:rsid w:val="006A7A99"/>
    <w:rsid w:val="006B4ADA"/>
    <w:rsid w:val="006C13D4"/>
    <w:rsid w:val="006C52A3"/>
    <w:rsid w:val="006D5429"/>
    <w:rsid w:val="006D7CD5"/>
    <w:rsid w:val="006E0290"/>
    <w:rsid w:val="006E0A8C"/>
    <w:rsid w:val="006E564B"/>
    <w:rsid w:val="006F02D2"/>
    <w:rsid w:val="006F1EFF"/>
    <w:rsid w:val="007032EE"/>
    <w:rsid w:val="00704BCD"/>
    <w:rsid w:val="007218CD"/>
    <w:rsid w:val="0072632A"/>
    <w:rsid w:val="00733AAE"/>
    <w:rsid w:val="00744DCF"/>
    <w:rsid w:val="00755FB5"/>
    <w:rsid w:val="007675D8"/>
    <w:rsid w:val="00771D8B"/>
    <w:rsid w:val="00772712"/>
    <w:rsid w:val="00772BD6"/>
    <w:rsid w:val="00773288"/>
    <w:rsid w:val="0077426A"/>
    <w:rsid w:val="00774A1A"/>
    <w:rsid w:val="007756DC"/>
    <w:rsid w:val="00780488"/>
    <w:rsid w:val="00782570"/>
    <w:rsid w:val="00783A99"/>
    <w:rsid w:val="00784BBB"/>
    <w:rsid w:val="0079606E"/>
    <w:rsid w:val="00796E0D"/>
    <w:rsid w:val="007A1923"/>
    <w:rsid w:val="007B204D"/>
    <w:rsid w:val="007B3310"/>
    <w:rsid w:val="007B5103"/>
    <w:rsid w:val="007B5960"/>
    <w:rsid w:val="007B6BA5"/>
    <w:rsid w:val="007B6F24"/>
    <w:rsid w:val="007C3390"/>
    <w:rsid w:val="007C4F4B"/>
    <w:rsid w:val="007C4F77"/>
    <w:rsid w:val="007D1BCB"/>
    <w:rsid w:val="007D3ADF"/>
    <w:rsid w:val="007D4DE2"/>
    <w:rsid w:val="007E028F"/>
    <w:rsid w:val="007E0778"/>
    <w:rsid w:val="007F0B83"/>
    <w:rsid w:val="007F272B"/>
    <w:rsid w:val="007F4FCD"/>
    <w:rsid w:val="007F6611"/>
    <w:rsid w:val="007F768B"/>
    <w:rsid w:val="00805178"/>
    <w:rsid w:val="00811877"/>
    <w:rsid w:val="008175E9"/>
    <w:rsid w:val="00820837"/>
    <w:rsid w:val="008242D7"/>
    <w:rsid w:val="00826BFB"/>
    <w:rsid w:val="00827E05"/>
    <w:rsid w:val="00830DAF"/>
    <w:rsid w:val="008311A3"/>
    <w:rsid w:val="008467F9"/>
    <w:rsid w:val="008577F2"/>
    <w:rsid w:val="00860A33"/>
    <w:rsid w:val="0086423F"/>
    <w:rsid w:val="008703E7"/>
    <w:rsid w:val="00871FD5"/>
    <w:rsid w:val="00872C11"/>
    <w:rsid w:val="00873B3B"/>
    <w:rsid w:val="00874E70"/>
    <w:rsid w:val="00876710"/>
    <w:rsid w:val="00884D20"/>
    <w:rsid w:val="008979B1"/>
    <w:rsid w:val="008A296D"/>
    <w:rsid w:val="008A6B25"/>
    <w:rsid w:val="008A6C4F"/>
    <w:rsid w:val="008B01F9"/>
    <w:rsid w:val="008B0E1D"/>
    <w:rsid w:val="008B411B"/>
    <w:rsid w:val="008B6F6E"/>
    <w:rsid w:val="008D1CA8"/>
    <w:rsid w:val="008D54CD"/>
    <w:rsid w:val="008E09AC"/>
    <w:rsid w:val="008E0E46"/>
    <w:rsid w:val="008E3D2D"/>
    <w:rsid w:val="008F1782"/>
    <w:rsid w:val="008F4AB2"/>
    <w:rsid w:val="00903E58"/>
    <w:rsid w:val="00906E93"/>
    <w:rsid w:val="0090771C"/>
    <w:rsid w:val="00907AD2"/>
    <w:rsid w:val="009104B2"/>
    <w:rsid w:val="009111C7"/>
    <w:rsid w:val="0091455F"/>
    <w:rsid w:val="0092035F"/>
    <w:rsid w:val="00921B66"/>
    <w:rsid w:val="00922876"/>
    <w:rsid w:val="00925353"/>
    <w:rsid w:val="00934214"/>
    <w:rsid w:val="009402C2"/>
    <w:rsid w:val="00940685"/>
    <w:rsid w:val="00941D3C"/>
    <w:rsid w:val="00951741"/>
    <w:rsid w:val="009616A8"/>
    <w:rsid w:val="009619F2"/>
    <w:rsid w:val="00963CBA"/>
    <w:rsid w:val="009647D9"/>
    <w:rsid w:val="009727E1"/>
    <w:rsid w:val="009749EA"/>
    <w:rsid w:val="00974A8D"/>
    <w:rsid w:val="00975AAB"/>
    <w:rsid w:val="009772DC"/>
    <w:rsid w:val="0097794A"/>
    <w:rsid w:val="0099001C"/>
    <w:rsid w:val="00991261"/>
    <w:rsid w:val="009A3BA9"/>
    <w:rsid w:val="009B10F0"/>
    <w:rsid w:val="009B4ACF"/>
    <w:rsid w:val="009C418B"/>
    <w:rsid w:val="009D1BEF"/>
    <w:rsid w:val="009E0F2F"/>
    <w:rsid w:val="009F3A17"/>
    <w:rsid w:val="009F4329"/>
    <w:rsid w:val="00A071D1"/>
    <w:rsid w:val="00A11C1F"/>
    <w:rsid w:val="00A1427D"/>
    <w:rsid w:val="00A1540E"/>
    <w:rsid w:val="00A304F8"/>
    <w:rsid w:val="00A3172C"/>
    <w:rsid w:val="00A33628"/>
    <w:rsid w:val="00A37B8D"/>
    <w:rsid w:val="00A4329A"/>
    <w:rsid w:val="00A4390F"/>
    <w:rsid w:val="00A47FEB"/>
    <w:rsid w:val="00A51BA2"/>
    <w:rsid w:val="00A630BF"/>
    <w:rsid w:val="00A72F22"/>
    <w:rsid w:val="00A748A6"/>
    <w:rsid w:val="00A805EB"/>
    <w:rsid w:val="00A8121B"/>
    <w:rsid w:val="00A879A4"/>
    <w:rsid w:val="00AB6DCD"/>
    <w:rsid w:val="00AC0759"/>
    <w:rsid w:val="00AC3F5A"/>
    <w:rsid w:val="00AD3A50"/>
    <w:rsid w:val="00AD701B"/>
    <w:rsid w:val="00AD7C47"/>
    <w:rsid w:val="00AE0162"/>
    <w:rsid w:val="00AE22CD"/>
    <w:rsid w:val="00AE3D03"/>
    <w:rsid w:val="00AE52B5"/>
    <w:rsid w:val="00AF04A4"/>
    <w:rsid w:val="00AF0D0C"/>
    <w:rsid w:val="00AF4E86"/>
    <w:rsid w:val="00AF5976"/>
    <w:rsid w:val="00B109BD"/>
    <w:rsid w:val="00B10A66"/>
    <w:rsid w:val="00B12377"/>
    <w:rsid w:val="00B12EF7"/>
    <w:rsid w:val="00B16F5D"/>
    <w:rsid w:val="00B30179"/>
    <w:rsid w:val="00B33D93"/>
    <w:rsid w:val="00B33EC0"/>
    <w:rsid w:val="00B356B8"/>
    <w:rsid w:val="00B35B6B"/>
    <w:rsid w:val="00B37A59"/>
    <w:rsid w:val="00B45CC5"/>
    <w:rsid w:val="00B52A3E"/>
    <w:rsid w:val="00B55627"/>
    <w:rsid w:val="00B6108E"/>
    <w:rsid w:val="00B625AB"/>
    <w:rsid w:val="00B62B55"/>
    <w:rsid w:val="00B712CD"/>
    <w:rsid w:val="00B72447"/>
    <w:rsid w:val="00B81E12"/>
    <w:rsid w:val="00B84EA9"/>
    <w:rsid w:val="00B912BE"/>
    <w:rsid w:val="00BA0EA4"/>
    <w:rsid w:val="00BA6971"/>
    <w:rsid w:val="00BC74E9"/>
    <w:rsid w:val="00BD14E2"/>
    <w:rsid w:val="00BD2146"/>
    <w:rsid w:val="00BD2A07"/>
    <w:rsid w:val="00BD3F6C"/>
    <w:rsid w:val="00BD4FA8"/>
    <w:rsid w:val="00BE4F74"/>
    <w:rsid w:val="00BE618E"/>
    <w:rsid w:val="00BF0594"/>
    <w:rsid w:val="00BF5C71"/>
    <w:rsid w:val="00BF6291"/>
    <w:rsid w:val="00C04153"/>
    <w:rsid w:val="00C143B4"/>
    <w:rsid w:val="00C17699"/>
    <w:rsid w:val="00C20118"/>
    <w:rsid w:val="00C27434"/>
    <w:rsid w:val="00C309A6"/>
    <w:rsid w:val="00C31B61"/>
    <w:rsid w:val="00C3396E"/>
    <w:rsid w:val="00C37F44"/>
    <w:rsid w:val="00C407EE"/>
    <w:rsid w:val="00C41A28"/>
    <w:rsid w:val="00C45639"/>
    <w:rsid w:val="00C463DD"/>
    <w:rsid w:val="00C54CCB"/>
    <w:rsid w:val="00C54FF0"/>
    <w:rsid w:val="00C56170"/>
    <w:rsid w:val="00C65812"/>
    <w:rsid w:val="00C70D56"/>
    <w:rsid w:val="00C7383C"/>
    <w:rsid w:val="00C73C64"/>
    <w:rsid w:val="00C745C3"/>
    <w:rsid w:val="00C74DB9"/>
    <w:rsid w:val="00C756ED"/>
    <w:rsid w:val="00C75C4B"/>
    <w:rsid w:val="00C77A18"/>
    <w:rsid w:val="00C8012E"/>
    <w:rsid w:val="00C84FF4"/>
    <w:rsid w:val="00C87A98"/>
    <w:rsid w:val="00C92E61"/>
    <w:rsid w:val="00C94465"/>
    <w:rsid w:val="00C95901"/>
    <w:rsid w:val="00CA2B7F"/>
    <w:rsid w:val="00CA4B0E"/>
    <w:rsid w:val="00CA5B67"/>
    <w:rsid w:val="00CD455E"/>
    <w:rsid w:val="00CE0D19"/>
    <w:rsid w:val="00CE3368"/>
    <w:rsid w:val="00CE4A8F"/>
    <w:rsid w:val="00CE5435"/>
    <w:rsid w:val="00CF41EA"/>
    <w:rsid w:val="00CF4B7F"/>
    <w:rsid w:val="00CF5B31"/>
    <w:rsid w:val="00D0099B"/>
    <w:rsid w:val="00D02F6D"/>
    <w:rsid w:val="00D11A2D"/>
    <w:rsid w:val="00D2031B"/>
    <w:rsid w:val="00D228C0"/>
    <w:rsid w:val="00D25FE2"/>
    <w:rsid w:val="00D317BB"/>
    <w:rsid w:val="00D3344B"/>
    <w:rsid w:val="00D43252"/>
    <w:rsid w:val="00D4433A"/>
    <w:rsid w:val="00D44EAE"/>
    <w:rsid w:val="00D667BA"/>
    <w:rsid w:val="00D8399D"/>
    <w:rsid w:val="00D91497"/>
    <w:rsid w:val="00D924F4"/>
    <w:rsid w:val="00D978C6"/>
    <w:rsid w:val="00D978F3"/>
    <w:rsid w:val="00DA67AD"/>
    <w:rsid w:val="00DB5D0F"/>
    <w:rsid w:val="00DB79B2"/>
    <w:rsid w:val="00DC1A84"/>
    <w:rsid w:val="00DC3242"/>
    <w:rsid w:val="00DD222A"/>
    <w:rsid w:val="00DE3A0C"/>
    <w:rsid w:val="00DE78DA"/>
    <w:rsid w:val="00DF12F7"/>
    <w:rsid w:val="00E02C81"/>
    <w:rsid w:val="00E05E6F"/>
    <w:rsid w:val="00E130AB"/>
    <w:rsid w:val="00E201CB"/>
    <w:rsid w:val="00E2307D"/>
    <w:rsid w:val="00E24B3E"/>
    <w:rsid w:val="00E25A99"/>
    <w:rsid w:val="00E31E80"/>
    <w:rsid w:val="00E33C28"/>
    <w:rsid w:val="00E37E28"/>
    <w:rsid w:val="00E4094C"/>
    <w:rsid w:val="00E41868"/>
    <w:rsid w:val="00E42808"/>
    <w:rsid w:val="00E43853"/>
    <w:rsid w:val="00E470C5"/>
    <w:rsid w:val="00E54137"/>
    <w:rsid w:val="00E62142"/>
    <w:rsid w:val="00E7260F"/>
    <w:rsid w:val="00E7733E"/>
    <w:rsid w:val="00E86543"/>
    <w:rsid w:val="00E86D1F"/>
    <w:rsid w:val="00E87921"/>
    <w:rsid w:val="00E93B8F"/>
    <w:rsid w:val="00E96630"/>
    <w:rsid w:val="00EA264E"/>
    <w:rsid w:val="00EA2BE3"/>
    <w:rsid w:val="00EA5690"/>
    <w:rsid w:val="00EB31E8"/>
    <w:rsid w:val="00EB7B03"/>
    <w:rsid w:val="00EC1DA2"/>
    <w:rsid w:val="00EC3C48"/>
    <w:rsid w:val="00EC3D7E"/>
    <w:rsid w:val="00EC4291"/>
    <w:rsid w:val="00EC5A8A"/>
    <w:rsid w:val="00EC7CB8"/>
    <w:rsid w:val="00ED42EB"/>
    <w:rsid w:val="00ED7A2A"/>
    <w:rsid w:val="00ED7E78"/>
    <w:rsid w:val="00EE5D7E"/>
    <w:rsid w:val="00EE6D04"/>
    <w:rsid w:val="00EE6DBA"/>
    <w:rsid w:val="00EF1D7F"/>
    <w:rsid w:val="00EF381F"/>
    <w:rsid w:val="00EF49AF"/>
    <w:rsid w:val="00EF66AA"/>
    <w:rsid w:val="00F0058A"/>
    <w:rsid w:val="00F065D0"/>
    <w:rsid w:val="00F10CCD"/>
    <w:rsid w:val="00F13FE3"/>
    <w:rsid w:val="00F14C89"/>
    <w:rsid w:val="00F212B0"/>
    <w:rsid w:val="00F227EE"/>
    <w:rsid w:val="00F43F80"/>
    <w:rsid w:val="00F4559F"/>
    <w:rsid w:val="00F461BF"/>
    <w:rsid w:val="00F50610"/>
    <w:rsid w:val="00F53EDA"/>
    <w:rsid w:val="00F56BFE"/>
    <w:rsid w:val="00F6227B"/>
    <w:rsid w:val="00F708A8"/>
    <w:rsid w:val="00F719A2"/>
    <w:rsid w:val="00F7753D"/>
    <w:rsid w:val="00F805CA"/>
    <w:rsid w:val="00F80636"/>
    <w:rsid w:val="00F83C0F"/>
    <w:rsid w:val="00F849F0"/>
    <w:rsid w:val="00F85F34"/>
    <w:rsid w:val="00F93D13"/>
    <w:rsid w:val="00F973FB"/>
    <w:rsid w:val="00FA06F7"/>
    <w:rsid w:val="00FA5CA3"/>
    <w:rsid w:val="00FA5F28"/>
    <w:rsid w:val="00FB171A"/>
    <w:rsid w:val="00FB24B1"/>
    <w:rsid w:val="00FB3D8C"/>
    <w:rsid w:val="00FC0B60"/>
    <w:rsid w:val="00FC24D4"/>
    <w:rsid w:val="00FC68B7"/>
    <w:rsid w:val="00FD0E1B"/>
    <w:rsid w:val="00FD3F13"/>
    <w:rsid w:val="00FD7BF6"/>
    <w:rsid w:val="00FE13F7"/>
    <w:rsid w:val="00FE4A23"/>
    <w:rsid w:val="00FE646C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  <w:style w:type="character" w:customStyle="1" w:styleId="hps">
    <w:name w:val="hps"/>
    <w:basedOn w:val="DefaultParagraphFont"/>
    <w:rsid w:val="00672B42"/>
  </w:style>
  <w:style w:type="paragraph" w:customStyle="1" w:styleId="UNParagraph">
    <w:name w:val="UN Paragraph"/>
    <w:basedOn w:val="Normal"/>
    <w:link w:val="UNParagraphChar"/>
    <w:qFormat/>
    <w:rsid w:val="00672B42"/>
    <w:pPr>
      <w:numPr>
        <w:numId w:val="26"/>
      </w:numPr>
      <w:ind w:left="1134" w:right="1127" w:firstLine="0"/>
      <w:jc w:val="both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672B42"/>
    <w:pPr>
      <w:ind w:left="720"/>
    </w:pPr>
    <w:rPr>
      <w:lang w:val="fr-CH"/>
    </w:rPr>
  </w:style>
  <w:style w:type="character" w:customStyle="1" w:styleId="UNParagraphChar">
    <w:name w:val="UN Paragraph Char"/>
    <w:link w:val="UNParagraph"/>
    <w:rsid w:val="00672B42"/>
    <w:rPr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FootnoteCharacters">
    <w:name w:val="Footnote Characters"/>
    <w:rsid w:val="00615ADE"/>
    <w:rPr>
      <w:rFonts w:ascii="Times New Roman" w:hAnsi="Times New Roman" w:cs="Times New Roman"/>
      <w:sz w:val="18"/>
      <w:vertAlign w:val="superscript"/>
    </w:rPr>
  </w:style>
  <w:style w:type="character" w:customStyle="1" w:styleId="FootnoteReference1">
    <w:name w:val="Footnote Reference1"/>
    <w:rsid w:val="00615ADE"/>
    <w:rPr>
      <w:rFonts w:ascii="Times New Roman" w:hAnsi="Times New Roman" w:cs="Times New Roman"/>
      <w:sz w:val="18"/>
      <w:vertAlign w:val="superscript"/>
    </w:rPr>
  </w:style>
  <w:style w:type="paragraph" w:customStyle="1" w:styleId="NormalWeb1">
    <w:name w:val="Normal (Web)1"/>
    <w:basedOn w:val="Normal"/>
    <w:rsid w:val="00615ADE"/>
    <w:pPr>
      <w:widowControl w:val="0"/>
      <w:spacing w:line="240" w:lineRule="auto"/>
    </w:pPr>
    <w:rPr>
      <w:rFonts w:eastAsia="Droid Sans" w:cs="Free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F93D13"/>
    <w:rPr>
      <w:rFonts w:ascii="Symbol" w:hAnsi="Symbol" w:cs="OpenSymbol"/>
      <w:lang w:val="en-GB"/>
    </w:rPr>
  </w:style>
  <w:style w:type="character" w:customStyle="1" w:styleId="hps">
    <w:name w:val="hps"/>
    <w:basedOn w:val="DefaultParagraphFont"/>
    <w:rsid w:val="00672B42"/>
  </w:style>
  <w:style w:type="paragraph" w:customStyle="1" w:styleId="UNParagraph">
    <w:name w:val="UN Paragraph"/>
    <w:basedOn w:val="Normal"/>
    <w:link w:val="UNParagraphChar"/>
    <w:qFormat/>
    <w:rsid w:val="00672B42"/>
    <w:pPr>
      <w:numPr>
        <w:numId w:val="26"/>
      </w:numPr>
      <w:ind w:left="1134" w:right="1127" w:firstLine="0"/>
      <w:jc w:val="both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672B42"/>
    <w:pPr>
      <w:ind w:left="720"/>
    </w:pPr>
    <w:rPr>
      <w:lang w:val="fr-CH"/>
    </w:rPr>
  </w:style>
  <w:style w:type="character" w:customStyle="1" w:styleId="UNParagraphChar">
    <w:name w:val="UN Paragraph Char"/>
    <w:link w:val="UNParagraph"/>
    <w:rsid w:val="00672B42"/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ce.org/fileadmin/DAM/trans/doc/2010/ac10c3/ST-SG-AC10-C3-2010-26e%28redcor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7F7E-8F2C-4FC5-A709-FF06DAF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barrio-champeau</cp:lastModifiedBy>
  <cp:revision>5</cp:revision>
  <cp:lastPrinted>2016-04-01T07:21:00Z</cp:lastPrinted>
  <dcterms:created xsi:type="dcterms:W3CDTF">2016-04-01T07:12:00Z</dcterms:created>
  <dcterms:modified xsi:type="dcterms:W3CDTF">2016-04-07T08:43:00Z</dcterms:modified>
</cp:coreProperties>
</file>