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6125C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6125C4" w:rsidP="006125C4">
            <w:pPr>
              <w:jc w:val="right"/>
            </w:pPr>
            <w:r w:rsidRPr="006125C4">
              <w:rPr>
                <w:sz w:val="40"/>
              </w:rPr>
              <w:t>ST</w:t>
            </w:r>
            <w:r>
              <w:t>/SG/AC.10/C.3/2016/20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6125C4" w:rsidP="009C3129">
            <w:pPr>
              <w:spacing w:before="240"/>
            </w:pPr>
            <w:r>
              <w:t>Distr. générale</w:t>
            </w:r>
          </w:p>
          <w:p w:rsidR="006125C4" w:rsidRDefault="006125C4" w:rsidP="006125C4">
            <w:pPr>
              <w:spacing w:line="240" w:lineRule="exact"/>
            </w:pPr>
            <w:r>
              <w:t>1</w:t>
            </w:r>
            <w:r w:rsidRPr="006125C4">
              <w:rPr>
                <w:vertAlign w:val="superscript"/>
              </w:rPr>
              <w:t>er</w:t>
            </w:r>
            <w:r>
              <w:t> avril 2016</w:t>
            </w:r>
          </w:p>
          <w:p w:rsidR="006125C4" w:rsidRDefault="006125C4" w:rsidP="006125C4">
            <w:pPr>
              <w:spacing w:line="240" w:lineRule="exact"/>
            </w:pPr>
            <w:r>
              <w:t>Français</w:t>
            </w:r>
          </w:p>
          <w:p w:rsidR="006125C4" w:rsidRPr="00DB58B5" w:rsidRDefault="006125C4" w:rsidP="006125C4">
            <w:pPr>
              <w:spacing w:line="240" w:lineRule="exact"/>
            </w:pPr>
            <w:r>
              <w:t>Original : anglais</w:t>
            </w:r>
          </w:p>
        </w:tc>
      </w:tr>
    </w:tbl>
    <w:p w:rsidR="00CD3168" w:rsidRPr="00CA0680" w:rsidRDefault="00CD316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CD3168" w:rsidRPr="00CA0680" w:rsidRDefault="00CD316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CD3168" w:rsidRDefault="00CD3168" w:rsidP="000305D3">
      <w:pPr>
        <w:spacing w:before="120"/>
        <w:rPr>
          <w:b/>
        </w:rPr>
      </w:pPr>
      <w:r>
        <w:rPr>
          <w:b/>
        </w:rPr>
        <w:t xml:space="preserve">Quarante-neuvième </w:t>
      </w:r>
      <w:r w:rsidRPr="00CA0680">
        <w:rPr>
          <w:b/>
        </w:rPr>
        <w:t>session</w:t>
      </w:r>
    </w:p>
    <w:p w:rsidR="00CD3168" w:rsidRDefault="00CD3168" w:rsidP="000305D3">
      <w:r>
        <w:t>Genève, 27 juin-6 juillet 2016</w:t>
      </w:r>
    </w:p>
    <w:p w:rsidR="00CD3168" w:rsidRDefault="00CD3168" w:rsidP="000305D3">
      <w:r>
        <w:t>Point 5 b) de l’ordre du jour provisoire</w:t>
      </w:r>
    </w:p>
    <w:p w:rsidR="002D3A64" w:rsidRDefault="00DA21A0" w:rsidP="00CD3168">
      <w:pPr>
        <w:rPr>
          <w:b/>
        </w:rPr>
      </w:pPr>
      <w:r w:rsidRPr="00CD3168">
        <w:rPr>
          <w:b/>
        </w:rPr>
        <w:t>Transport de gaz</w:t>
      </w:r>
      <w:r w:rsidR="00CD3168">
        <w:rPr>
          <w:b/>
        </w:rPr>
        <w:t> : Q</w:t>
      </w:r>
      <w:r w:rsidRPr="00CD3168">
        <w:rPr>
          <w:b/>
        </w:rPr>
        <w:t>uestions diverses</w:t>
      </w:r>
    </w:p>
    <w:p w:rsidR="002D3A64" w:rsidRPr="00CD3168" w:rsidRDefault="00DA21A0" w:rsidP="00CD3168">
      <w:pPr>
        <w:pStyle w:val="HChG"/>
      </w:pPr>
      <w:r w:rsidRPr="00CD3168">
        <w:tab/>
      </w:r>
      <w:r w:rsidRPr="00CD3168">
        <w:tab/>
        <w:t xml:space="preserve">Introduction de références à des normes ISO </w:t>
      </w:r>
      <w:r w:rsidR="00CD3168">
        <w:br/>
      </w:r>
      <w:r>
        <w:t>dans la section </w:t>
      </w:r>
      <w:r w:rsidRPr="00CD3168">
        <w:t>6.2.2</w:t>
      </w:r>
    </w:p>
    <w:p w:rsidR="002D3A64" w:rsidRPr="00CD3168" w:rsidRDefault="00DA21A0" w:rsidP="00CD3168">
      <w:pPr>
        <w:pStyle w:val="H1G"/>
      </w:pPr>
      <w:r w:rsidRPr="00CD3168">
        <w:tab/>
      </w:r>
      <w:r w:rsidRPr="00CD3168">
        <w:tab/>
        <w:t>Communication de l</w:t>
      </w:r>
      <w:r w:rsidR="00CD3168" w:rsidRPr="00CD3168">
        <w:t>’</w:t>
      </w:r>
      <w:r w:rsidRPr="00CD3168">
        <w:t xml:space="preserve">Organisation internationale </w:t>
      </w:r>
      <w:r>
        <w:br/>
      </w:r>
      <w:r w:rsidRPr="00CD3168">
        <w:t>de normalisation (ISO)</w:t>
      </w:r>
      <w:r w:rsidR="00CD3168" w:rsidRPr="00CD3168">
        <w:rPr>
          <w:rStyle w:val="FootnoteReference"/>
          <w:b w:val="0"/>
        </w:rPr>
        <w:footnoteReference w:id="2"/>
      </w:r>
    </w:p>
    <w:p w:rsidR="002D3A64" w:rsidRPr="00CD3168" w:rsidRDefault="00DA21A0" w:rsidP="00CD3168">
      <w:pPr>
        <w:pStyle w:val="HChG"/>
      </w:pPr>
      <w:r w:rsidRPr="00CD3168">
        <w:tab/>
      </w:r>
      <w:r w:rsidRPr="00CD3168">
        <w:tab/>
        <w:t>Introduction</w:t>
      </w:r>
    </w:p>
    <w:p w:rsidR="00CD3168" w:rsidRDefault="00DA21A0" w:rsidP="00CD3168">
      <w:pPr>
        <w:pStyle w:val="ParNoG"/>
      </w:pPr>
      <w:r w:rsidRPr="00CD3168">
        <w:t>La première proposition concerne deux normes auxquelles il est déjà fait référence au sujet des bouteilles soudées et qu</w:t>
      </w:r>
      <w:r w:rsidR="00CD3168" w:rsidRPr="00CD3168">
        <w:t>’</w:t>
      </w:r>
      <w:r w:rsidRPr="00CD3168">
        <w:t>il s</w:t>
      </w:r>
      <w:r w:rsidR="00CD3168" w:rsidRPr="00CD3168">
        <w:t>’</w:t>
      </w:r>
      <w:r w:rsidRPr="00CD3168">
        <w:t>agirait d</w:t>
      </w:r>
      <w:r w:rsidR="00CD3168" w:rsidRPr="00CD3168">
        <w:t>’</w:t>
      </w:r>
      <w:r w:rsidRPr="00CD3168">
        <w:t>introduire dans la liste des normes pour les fûts à pression. Une nouvelle norme est proposée pour le paragraphe consacré à l</w:t>
      </w:r>
      <w:r w:rsidR="00CD3168" w:rsidRPr="00CD3168">
        <w:t>’</w:t>
      </w:r>
      <w:r w:rsidRPr="00CD3168">
        <w:t>équipement de service et la troisième proposition vise à remplacer la norme actuelle concernant le contrôle et les épreuves périodiques.</w:t>
      </w:r>
    </w:p>
    <w:p w:rsidR="002D3A64" w:rsidRPr="00CD3168" w:rsidRDefault="00DA21A0" w:rsidP="00CD3168">
      <w:pPr>
        <w:pStyle w:val="ParNoG"/>
        <w:numPr>
          <w:ilvl w:val="0"/>
          <w:numId w:val="0"/>
        </w:numPr>
        <w:ind w:left="1134" w:firstLine="567"/>
      </w:pPr>
      <w:r w:rsidRPr="00CD3168">
        <w:t>Les titres de ces normes sont</w:t>
      </w:r>
      <w:r w:rsidR="00CD3168">
        <w:t> </w:t>
      </w:r>
      <w:r w:rsidRPr="00CD3168">
        <w:t>:</w:t>
      </w:r>
    </w:p>
    <w:p w:rsidR="002D3A64" w:rsidRPr="00CD3168" w:rsidRDefault="00DA21A0" w:rsidP="00CD3168">
      <w:pPr>
        <w:pStyle w:val="Bullet1G"/>
      </w:pPr>
      <w:r w:rsidRPr="00CD3168">
        <w:t>ISO 4706</w:t>
      </w:r>
      <w:r w:rsidR="00CD3168">
        <w:t>:2008</w:t>
      </w:r>
      <w:r w:rsidRPr="00CD3168">
        <w:tab/>
        <w:t xml:space="preserve">Bouteilles à gaz </w:t>
      </w:r>
      <w:r w:rsidR="00CD3168">
        <w:t>−</w:t>
      </w:r>
      <w:r w:rsidRPr="00CD3168">
        <w:t xml:space="preserve"> Bouteilles en acier soudées rechargeables </w:t>
      </w:r>
      <w:r w:rsidR="00CD3168">
        <w:t>−</w:t>
      </w:r>
      <w:r w:rsidRPr="00CD3168">
        <w:t xml:space="preserve"> Pression d</w:t>
      </w:r>
      <w:r w:rsidR="00CD3168" w:rsidRPr="00CD3168">
        <w:t>’</w:t>
      </w:r>
      <w:r w:rsidRPr="00CD3168">
        <w:t>essai de 60</w:t>
      </w:r>
      <w:r w:rsidR="00CD3168">
        <w:t> </w:t>
      </w:r>
      <w:r w:rsidRPr="00CD3168">
        <w:t>bar et moins</w:t>
      </w:r>
      <w:r w:rsidR="00CD3168">
        <w:t> </w:t>
      </w:r>
      <w:r w:rsidRPr="00CD3168">
        <w:t>;</w:t>
      </w:r>
    </w:p>
    <w:p w:rsidR="002D3A64" w:rsidRPr="00CD3168" w:rsidRDefault="00DA21A0" w:rsidP="00CD3168">
      <w:pPr>
        <w:pStyle w:val="Bullet1G"/>
      </w:pPr>
      <w:r w:rsidRPr="00CD3168">
        <w:t>ISO 18172-1:2007</w:t>
      </w:r>
      <w:r w:rsidR="00CD3168">
        <w:tab/>
      </w:r>
      <w:r w:rsidRPr="00CD3168">
        <w:t xml:space="preserve">Bouteilles à gaz </w:t>
      </w:r>
      <w:r w:rsidR="00CD3168">
        <w:t>−</w:t>
      </w:r>
      <w:r w:rsidRPr="00CD3168">
        <w:t xml:space="preserve"> Bouteilles soudées en acier inoxydable rechargeables </w:t>
      </w:r>
      <w:r w:rsidR="00CD3168">
        <w:t>−</w:t>
      </w:r>
      <w:r w:rsidRPr="00CD3168">
        <w:t xml:space="preserve"> Partie 1</w:t>
      </w:r>
      <w:r w:rsidR="00CD3168">
        <w:t> </w:t>
      </w:r>
      <w:r w:rsidRPr="00CD3168">
        <w:t>: Pression d</w:t>
      </w:r>
      <w:r w:rsidR="00CD3168" w:rsidRPr="00CD3168">
        <w:t>’</w:t>
      </w:r>
      <w:r w:rsidRPr="00CD3168">
        <w:t>épreuve de 6</w:t>
      </w:r>
      <w:r w:rsidR="00CD3168">
        <w:t> </w:t>
      </w:r>
      <w:r w:rsidRPr="00CD3168">
        <w:t>MPa et inférieure</w:t>
      </w:r>
      <w:r w:rsidR="00CD3168">
        <w:t> </w:t>
      </w:r>
      <w:r w:rsidRPr="00CD3168">
        <w:t>;</w:t>
      </w:r>
    </w:p>
    <w:p w:rsidR="002D3A64" w:rsidRPr="00CD3168" w:rsidRDefault="00DA21A0" w:rsidP="00CD3168">
      <w:pPr>
        <w:pStyle w:val="Bullet1G"/>
      </w:pPr>
      <w:r w:rsidRPr="00CD3168">
        <w:t>ISO 17871:2015</w:t>
      </w:r>
      <w:r w:rsidR="00CD3168">
        <w:tab/>
      </w:r>
      <w:r w:rsidRPr="00CD3168">
        <w:t xml:space="preserve">Bouteilles à gaz transportables </w:t>
      </w:r>
      <w:r w:rsidR="00CD3168">
        <w:t>−</w:t>
      </w:r>
      <w:r w:rsidRPr="00CD3168">
        <w:t xml:space="preserve"> Robinets de bouteilles à ouverture rapide − Spécifications et essais de type</w:t>
      </w:r>
      <w:r w:rsidR="00CD3168">
        <w:t> </w:t>
      </w:r>
      <w:r w:rsidRPr="00CD3168">
        <w:t>;</w:t>
      </w:r>
    </w:p>
    <w:p w:rsidR="002D3A64" w:rsidRPr="00CD3168" w:rsidRDefault="00DA21A0" w:rsidP="00CD3168">
      <w:pPr>
        <w:pStyle w:val="Bullet1G"/>
      </w:pPr>
      <w:r w:rsidRPr="00CD3168">
        <w:lastRenderedPageBreak/>
        <w:t>ISO 11623:2015</w:t>
      </w:r>
      <w:r w:rsidR="00CD3168">
        <w:tab/>
      </w:r>
      <w:r w:rsidRPr="00CD3168">
        <w:t xml:space="preserve">Bouteilles à gaz </w:t>
      </w:r>
      <w:r w:rsidR="00CD3168">
        <w:t>−</w:t>
      </w:r>
      <w:r w:rsidRPr="00CD3168">
        <w:t xml:space="preserve"> Construction composite </w:t>
      </w:r>
      <w:r w:rsidR="00CD3168">
        <w:t>−</w:t>
      </w:r>
      <w:r w:rsidRPr="00CD3168">
        <w:t xml:space="preserve"> Contrôles et essais périodiques.</w:t>
      </w:r>
    </w:p>
    <w:p w:rsidR="002D3A64" w:rsidRPr="00CD3168" w:rsidRDefault="00DA21A0" w:rsidP="00CD3168">
      <w:pPr>
        <w:pStyle w:val="ParNoG"/>
        <w:numPr>
          <w:ilvl w:val="0"/>
          <w:numId w:val="0"/>
        </w:numPr>
        <w:ind w:left="1134" w:firstLine="567"/>
      </w:pPr>
      <w:r w:rsidRPr="00CD3168">
        <w:t>Les dispositions habituelles ont été prises avec le secrétariat pour que des copies PDF de ces documents soient communiquées aux experts.</w:t>
      </w:r>
    </w:p>
    <w:p w:rsidR="002D3A64" w:rsidRPr="00CD3168" w:rsidRDefault="00DA21A0" w:rsidP="00CD3168">
      <w:pPr>
        <w:pStyle w:val="HChG"/>
        <w:rPr>
          <w:lang w:val="en-GB"/>
        </w:rPr>
      </w:pPr>
      <w:r w:rsidRPr="00CD3168">
        <w:tab/>
      </w:r>
      <w:r w:rsidRPr="00CD3168">
        <w:tab/>
      </w:r>
      <w:r w:rsidRPr="00CD3168">
        <w:rPr>
          <w:lang w:val="en-GB"/>
        </w:rPr>
        <w:t>Proposition 1</w:t>
      </w:r>
    </w:p>
    <w:p w:rsidR="006125C4" w:rsidRDefault="00DA21A0" w:rsidP="00CD3168">
      <w:pPr>
        <w:pStyle w:val="ParNoG"/>
      </w:pPr>
      <w:r w:rsidRPr="00CD3168">
        <w:t>Modifier comme suit le début de la première phrase du paragraphe</w:t>
      </w:r>
      <w:r w:rsidR="00CD3168">
        <w:t> </w:t>
      </w:r>
      <w:r w:rsidRPr="00CD3168">
        <w:t>6.2.2.1.8</w:t>
      </w:r>
      <w:r w:rsidR="00CD3168">
        <w:t> </w:t>
      </w:r>
      <w:r w:rsidRPr="00CD3168">
        <w:t xml:space="preserve">: </w:t>
      </w:r>
      <w:r w:rsidR="00CD3168">
        <w:t>« </w:t>
      </w:r>
      <w:r w:rsidRPr="00CD3168">
        <w:rPr>
          <w:strike/>
        </w:rPr>
        <w:t xml:space="preserve">La </w:t>
      </w:r>
      <w:r w:rsidRPr="00CD3168">
        <w:rPr>
          <w:u w:val="single"/>
        </w:rPr>
        <w:t>Les</w:t>
      </w:r>
      <w:r w:rsidRPr="00CD3168">
        <w:t xml:space="preserve"> norme</w:t>
      </w:r>
      <w:r w:rsidRPr="00CD3168">
        <w:rPr>
          <w:u w:val="single"/>
        </w:rPr>
        <w:t>s</w:t>
      </w:r>
      <w:r w:rsidRPr="00CD3168">
        <w:t xml:space="preserve"> ci-après </w:t>
      </w:r>
      <w:r w:rsidRPr="00CD3168">
        <w:rPr>
          <w:u w:val="single"/>
        </w:rPr>
        <w:t>s</w:t>
      </w:r>
      <w:r w:rsidR="00CD3168" w:rsidRPr="00CD3168">
        <w:rPr>
          <w:u w:val="single"/>
        </w:rPr>
        <w:t>’</w:t>
      </w:r>
      <w:r w:rsidRPr="00CD3168">
        <w:rPr>
          <w:u w:val="single"/>
        </w:rPr>
        <w:t>appliquent</w:t>
      </w:r>
      <w:r w:rsidRPr="00CD3168">
        <w:t xml:space="preserve"> </w:t>
      </w:r>
      <w:r w:rsidRPr="00CD3168">
        <w:rPr>
          <w:strike/>
        </w:rPr>
        <w:t>s</w:t>
      </w:r>
      <w:r w:rsidR="00CD3168" w:rsidRPr="00CD3168">
        <w:rPr>
          <w:strike/>
        </w:rPr>
        <w:t>’</w:t>
      </w:r>
      <w:r w:rsidRPr="00CD3168">
        <w:rPr>
          <w:strike/>
        </w:rPr>
        <w:t>applique</w:t>
      </w:r>
      <w:r w:rsidR="00CD3168" w:rsidRPr="00CD3168">
        <w:rPr>
          <w:strike/>
        </w:rPr>
        <w:t xml:space="preserve"> </w:t>
      </w:r>
      <w:r w:rsidR="00CD3168">
        <w:t>à la conception</w:t>
      </w:r>
      <w:r w:rsidRPr="00CD3168">
        <w:t>…</w:t>
      </w:r>
      <w:r w:rsidR="00CD3168">
        <w:t> »</w:t>
      </w:r>
      <w:r w:rsidRPr="00CD3168">
        <w:t xml:space="preserve"> et ajouter les deux nouvelles lignes dans le tableau après celle qui correspond à la norme ISO 21172-1: 2015, comme suit</w:t>
      </w:r>
      <w:r w:rsidR="00CD3168">
        <w:t> </w:t>
      </w:r>
      <w:r w:rsidRPr="00CD3168">
        <w:t>:</w:t>
      </w:r>
    </w:p>
    <w:tbl>
      <w:tblPr>
        <w:tblStyle w:val="TableGrid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643"/>
        <w:gridCol w:w="4311"/>
        <w:gridCol w:w="1416"/>
      </w:tblGrid>
      <w:tr w:rsidR="00CD3168" w:rsidRPr="00651279" w:rsidTr="00651279">
        <w:tc>
          <w:tcPr>
            <w:tcW w:w="1643" w:type="dxa"/>
            <w:shd w:val="clear" w:color="auto" w:fill="auto"/>
          </w:tcPr>
          <w:p w:rsidR="00CD3168" w:rsidRPr="00651279" w:rsidRDefault="00651279" w:rsidP="00651279">
            <w:pPr>
              <w:spacing w:before="60" w:after="60" w:line="240" w:lineRule="exact"/>
              <w:ind w:left="57"/>
            </w:pPr>
            <w:r w:rsidRPr="00651279">
              <w:t>ISO 4706:2008</w:t>
            </w:r>
          </w:p>
        </w:tc>
        <w:tc>
          <w:tcPr>
            <w:tcW w:w="4311" w:type="dxa"/>
            <w:shd w:val="clear" w:color="auto" w:fill="auto"/>
          </w:tcPr>
          <w:p w:rsidR="00CD3168" w:rsidRPr="00651279" w:rsidRDefault="00651279" w:rsidP="00651279">
            <w:pPr>
              <w:spacing w:before="60" w:after="60" w:line="240" w:lineRule="exact"/>
              <w:ind w:left="57"/>
            </w:pPr>
            <w:r w:rsidRPr="00651279">
              <w:t>Bouteilles à gaz − Bouteilles en acier soudées rechargeables − Pression d’</w:t>
            </w:r>
            <w:r w:rsidR="00490A14">
              <w:t>essai de 60 </w:t>
            </w:r>
            <w:r w:rsidRPr="00651279">
              <w:t>bar et moins</w:t>
            </w:r>
          </w:p>
        </w:tc>
        <w:tc>
          <w:tcPr>
            <w:tcW w:w="1416" w:type="dxa"/>
            <w:shd w:val="clear" w:color="auto" w:fill="auto"/>
          </w:tcPr>
          <w:p w:rsidR="00CD3168" w:rsidRPr="00651279" w:rsidRDefault="00651279" w:rsidP="00651279">
            <w:pPr>
              <w:spacing w:before="60" w:after="60" w:line="240" w:lineRule="exact"/>
              <w:ind w:left="57"/>
            </w:pPr>
            <w:r w:rsidRPr="00651279">
              <w:t>Jusqu’à nouvel ordre</w:t>
            </w:r>
          </w:p>
        </w:tc>
      </w:tr>
      <w:tr w:rsidR="00651279" w:rsidRPr="00651279" w:rsidTr="00651279">
        <w:tc>
          <w:tcPr>
            <w:tcW w:w="1643" w:type="dxa"/>
            <w:shd w:val="clear" w:color="auto" w:fill="auto"/>
          </w:tcPr>
          <w:p w:rsidR="00651279" w:rsidRPr="00651279" w:rsidRDefault="00651279" w:rsidP="00651279">
            <w:pPr>
              <w:spacing w:before="60" w:after="60" w:line="240" w:lineRule="exact"/>
              <w:ind w:left="57"/>
              <w:rPr>
                <w:spacing w:val="-2"/>
              </w:rPr>
            </w:pPr>
            <w:r w:rsidRPr="00651279">
              <w:rPr>
                <w:spacing w:val="-2"/>
              </w:rPr>
              <w:t>ISO 18172-1:2007</w:t>
            </w:r>
          </w:p>
        </w:tc>
        <w:tc>
          <w:tcPr>
            <w:tcW w:w="4311" w:type="dxa"/>
            <w:shd w:val="clear" w:color="auto" w:fill="auto"/>
          </w:tcPr>
          <w:p w:rsidR="00651279" w:rsidRPr="00651279" w:rsidRDefault="00651279" w:rsidP="00651279">
            <w:pPr>
              <w:spacing w:before="60" w:after="60" w:line="240" w:lineRule="exact"/>
              <w:ind w:left="57"/>
            </w:pPr>
            <w:r w:rsidRPr="00651279">
              <w:t>Bouteilles à gaz − Bouteilles soudées en acier inoxydable rechargeables − Partie 1</w:t>
            </w:r>
            <w:r>
              <w:t> </w:t>
            </w:r>
            <w:r w:rsidRPr="00651279">
              <w:t>: Pression d’</w:t>
            </w:r>
            <w:r>
              <w:t>épreuve de 6 </w:t>
            </w:r>
            <w:r w:rsidRPr="00651279">
              <w:t>MPa et inférieure</w:t>
            </w:r>
          </w:p>
        </w:tc>
        <w:tc>
          <w:tcPr>
            <w:tcW w:w="1416" w:type="dxa"/>
            <w:shd w:val="clear" w:color="auto" w:fill="auto"/>
          </w:tcPr>
          <w:p w:rsidR="00651279" w:rsidRPr="00651279" w:rsidRDefault="00651279" w:rsidP="00651279">
            <w:pPr>
              <w:spacing w:before="60" w:after="60" w:line="240" w:lineRule="exact"/>
              <w:ind w:left="57"/>
            </w:pPr>
            <w:r w:rsidRPr="00651279">
              <w:t xml:space="preserve">Jusqu’à nouvel ordre </w:t>
            </w:r>
          </w:p>
        </w:tc>
      </w:tr>
    </w:tbl>
    <w:p w:rsidR="002D3A64" w:rsidRPr="00651279" w:rsidRDefault="00651279" w:rsidP="0065127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A21A0" w:rsidRPr="00651279">
        <w:rPr>
          <w:lang w:val="en-GB"/>
        </w:rPr>
        <w:t>Justification de la proposition 1</w:t>
      </w:r>
    </w:p>
    <w:p w:rsidR="002D3A64" w:rsidRPr="00651279" w:rsidRDefault="00DA21A0" w:rsidP="00651279">
      <w:pPr>
        <w:pStyle w:val="ParNoG"/>
        <w:rPr>
          <w:lang w:val="en-GB"/>
        </w:rPr>
      </w:pPr>
      <w:r w:rsidRPr="00651279">
        <w:t>Les normes ISO 4706:2008 et ISO 18172:2007 s</w:t>
      </w:r>
      <w:r w:rsidR="00651279" w:rsidRPr="00651279">
        <w:t>’</w:t>
      </w:r>
      <w:r w:rsidRPr="00651279">
        <w:t>appliquent toutes les deux jusqu</w:t>
      </w:r>
      <w:r w:rsidR="00651279" w:rsidRPr="00651279">
        <w:t>’</w:t>
      </w:r>
      <w:r w:rsidRPr="00651279">
        <w:t>à des contenances en eau de 500</w:t>
      </w:r>
      <w:r w:rsidR="00651279">
        <w:t> </w:t>
      </w:r>
      <w:r w:rsidRPr="00651279">
        <w:t>l. Toutefois, comme elles ne figurent actuellement qu</w:t>
      </w:r>
      <w:r w:rsidR="00651279" w:rsidRPr="00651279">
        <w:t>’</w:t>
      </w:r>
      <w:r w:rsidR="00651279">
        <w:t>au paragraphe </w:t>
      </w:r>
      <w:r w:rsidRPr="00651279">
        <w:t>6.2.2.1.1 du Règlement type, leur application à des récipients à pression ONU est limitée à une contenance de 150</w:t>
      </w:r>
      <w:r w:rsidR="00651279">
        <w:t> </w:t>
      </w:r>
      <w:r w:rsidRPr="00651279">
        <w:t>l d</w:t>
      </w:r>
      <w:r w:rsidR="00651279" w:rsidRPr="00651279">
        <w:t>’</w:t>
      </w:r>
      <w:r w:rsidRPr="00651279">
        <w:t>eau. Contrairement à la norme ISO 21172-1, qui permet des pressions d</w:t>
      </w:r>
      <w:r w:rsidR="00651279" w:rsidRPr="00651279">
        <w:t>’</w:t>
      </w:r>
      <w:r w:rsidRPr="00651279">
        <w:t>essai jusqu</w:t>
      </w:r>
      <w:r w:rsidR="00651279" w:rsidRPr="00651279">
        <w:t>’</w:t>
      </w:r>
      <w:r w:rsidRPr="00651279">
        <w:t>à 300 bar, ces normes sont limitées à des pressions d</w:t>
      </w:r>
      <w:r w:rsidR="00651279" w:rsidRPr="00651279">
        <w:t>’</w:t>
      </w:r>
      <w:r w:rsidRPr="00651279">
        <w:t>essai ne dépassant pas 60</w:t>
      </w:r>
      <w:r w:rsidR="00651279">
        <w:t> </w:t>
      </w:r>
      <w:r w:rsidRPr="00651279">
        <w:t>bar. Le fait de les ajouter laisse davantage de choix pour fabriquer des récipients à pression dans une gamme de volumes comprise entre 150 et 500</w:t>
      </w:r>
      <w:r w:rsidR="00651279">
        <w:t> </w:t>
      </w:r>
      <w:r w:rsidRPr="00651279">
        <w:t xml:space="preserve">l de contenance en eau et permet donc de réaliser des économies avec les fûts à pression de plus petites tailles tout </w:t>
      </w:r>
      <w:r w:rsidR="0070245A">
        <w:t xml:space="preserve">en </w:t>
      </w:r>
      <w:r w:rsidRPr="00651279">
        <w:t>continuan</w:t>
      </w:r>
      <w:r w:rsidR="00651279">
        <w:t>t à assurer un confinement sûr.</w:t>
      </w:r>
    </w:p>
    <w:p w:rsidR="002D3A64" w:rsidRPr="00651279" w:rsidRDefault="00DA21A0" w:rsidP="00651279">
      <w:pPr>
        <w:pStyle w:val="HChG"/>
        <w:rPr>
          <w:lang w:val="en-GB"/>
        </w:rPr>
      </w:pPr>
      <w:r w:rsidRPr="00651279">
        <w:rPr>
          <w:lang w:val="en-GB"/>
        </w:rPr>
        <w:tab/>
      </w:r>
      <w:r w:rsidRPr="00651279">
        <w:rPr>
          <w:lang w:val="en-GB"/>
        </w:rPr>
        <w:tab/>
        <w:t>Proposition 2</w:t>
      </w:r>
    </w:p>
    <w:p w:rsidR="00446FE5" w:rsidRDefault="00651279" w:rsidP="00651279">
      <w:pPr>
        <w:pStyle w:val="ParNoG"/>
      </w:pPr>
      <w:r>
        <w:t>Dans le tableau du paragraphe </w:t>
      </w:r>
      <w:r w:rsidR="00DA21A0" w:rsidRPr="00651279">
        <w:t xml:space="preserve">6.2.2.3 </w:t>
      </w:r>
      <w:r w:rsidR="00DA21A0" w:rsidRPr="00651279">
        <w:rPr>
          <w:i/>
        </w:rPr>
        <w:t xml:space="preserve">Équipement de service, </w:t>
      </w:r>
      <w:r w:rsidR="00DA21A0" w:rsidRPr="00651279">
        <w:t>ajouter une nouvelle dernière ligne ainsi conçue :</w:t>
      </w:r>
    </w:p>
    <w:tbl>
      <w:tblPr>
        <w:tblStyle w:val="TableGrid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643"/>
        <w:gridCol w:w="4311"/>
        <w:gridCol w:w="1416"/>
      </w:tblGrid>
      <w:tr w:rsidR="00651279" w:rsidRPr="00651279" w:rsidTr="00254DAF">
        <w:tc>
          <w:tcPr>
            <w:tcW w:w="1643" w:type="dxa"/>
            <w:shd w:val="clear" w:color="auto" w:fill="auto"/>
          </w:tcPr>
          <w:p w:rsidR="00651279" w:rsidRPr="00651279" w:rsidRDefault="00651279" w:rsidP="00651279">
            <w:pPr>
              <w:spacing w:before="60" w:after="60" w:line="240" w:lineRule="exact"/>
              <w:ind w:left="57"/>
            </w:pPr>
            <w:r w:rsidRPr="00651279">
              <w:t xml:space="preserve">ISO </w:t>
            </w:r>
            <w:r>
              <w:t>17871</w:t>
            </w:r>
            <w:r w:rsidRPr="00651279">
              <w:t>:20</w:t>
            </w:r>
            <w:r>
              <w:t>15</w:t>
            </w:r>
          </w:p>
        </w:tc>
        <w:tc>
          <w:tcPr>
            <w:tcW w:w="4311" w:type="dxa"/>
            <w:shd w:val="clear" w:color="auto" w:fill="auto"/>
          </w:tcPr>
          <w:p w:rsidR="00651279" w:rsidRPr="00651279" w:rsidRDefault="00651279" w:rsidP="00651279">
            <w:pPr>
              <w:spacing w:before="60" w:after="60" w:line="240" w:lineRule="exact"/>
              <w:ind w:left="57"/>
            </w:pPr>
            <w:r w:rsidRPr="00651279">
              <w:t>Bouteilles à gaz</w:t>
            </w:r>
            <w:r>
              <w:t xml:space="preserve"> transportables − Robinets de bouteilles à ouverture rapide − Spécifications et essais de type</w:t>
            </w:r>
          </w:p>
        </w:tc>
        <w:tc>
          <w:tcPr>
            <w:tcW w:w="1416" w:type="dxa"/>
            <w:shd w:val="clear" w:color="auto" w:fill="auto"/>
          </w:tcPr>
          <w:p w:rsidR="00651279" w:rsidRPr="00651279" w:rsidRDefault="00651279" w:rsidP="00254DAF">
            <w:pPr>
              <w:spacing w:before="60" w:after="60" w:line="240" w:lineRule="exact"/>
              <w:ind w:left="57"/>
            </w:pPr>
            <w:r w:rsidRPr="00651279">
              <w:t>Jusqu’à nouvel ordre</w:t>
            </w:r>
          </w:p>
        </w:tc>
      </w:tr>
    </w:tbl>
    <w:p w:rsidR="002F7D3D" w:rsidRPr="005F6FCE" w:rsidRDefault="002F7D3D" w:rsidP="002F7D3D">
      <w:pPr>
        <w:pStyle w:val="HChG"/>
        <w:rPr>
          <w:lang w:val="en-GB"/>
        </w:rPr>
      </w:pPr>
      <w:r w:rsidRPr="00CF386A">
        <w:rPr>
          <w:szCs w:val="24"/>
          <w:lang w:val="en-GB"/>
        </w:rPr>
        <w:tab/>
      </w:r>
      <w:r w:rsidRPr="00CF386A">
        <w:rPr>
          <w:szCs w:val="24"/>
          <w:lang w:val="en-GB"/>
        </w:rPr>
        <w:tab/>
      </w:r>
      <w:r w:rsidRPr="005F6FCE">
        <w:rPr>
          <w:lang w:val="en-GB"/>
        </w:rPr>
        <w:t>Justification de la proposition 2</w:t>
      </w:r>
    </w:p>
    <w:p w:rsidR="002F7D3D" w:rsidRPr="00774C13" w:rsidRDefault="002F7D3D" w:rsidP="002F7D3D">
      <w:pPr>
        <w:pStyle w:val="ParNoG"/>
      </w:pPr>
      <w:r w:rsidRPr="00774C13">
        <w:t>Cette norme internationale, conjointement avec les normes ISO</w:t>
      </w:r>
      <w:r>
        <w:t> </w:t>
      </w:r>
      <w:r w:rsidRPr="00774C13">
        <w:t>10297:2014 et ISO 14246:2014</w:t>
      </w:r>
      <w:r>
        <w:t>, précise la conception, les essais de type, les essais de marquage et de fabrication, ainsi que les conditions d’épreuve applicables aux r</w:t>
      </w:r>
      <w:r w:rsidRPr="00DD0F3D">
        <w:t>obinets de bouteilles à ouverture rapide</w:t>
      </w:r>
      <w:r>
        <w:t xml:space="preserve"> destinés à être montés sur des b</w:t>
      </w:r>
      <w:r w:rsidRPr="0004721D">
        <w:t xml:space="preserve">outeilles à gaz transportables rechargeables </w:t>
      </w:r>
      <w:r>
        <w:t xml:space="preserve">contenant des gaz comprimés ou liquéfiés non toxiques, non oxydants et non corrosifs ou encore des </w:t>
      </w:r>
      <w:r w:rsidRPr="0004721D">
        <w:t>agent</w:t>
      </w:r>
      <w:r>
        <w:t>s</w:t>
      </w:r>
      <w:r w:rsidRPr="0004721D">
        <w:t xml:space="preserve"> extincteur</w:t>
      </w:r>
      <w:r>
        <w:t>s chargés de gaz comprimés utilisés à des fins d’extinction d’incendies, de protection contre les explosions et dans des opérations de secours.</w:t>
      </w:r>
    </w:p>
    <w:p w:rsidR="002F7D3D" w:rsidRDefault="002F7D3D" w:rsidP="00DA21A0">
      <w:pPr>
        <w:pStyle w:val="ParNoG"/>
        <w:keepNext/>
        <w:keepLines/>
      </w:pPr>
      <w:r w:rsidRPr="000A035D">
        <w:lastRenderedPageBreak/>
        <w:t>La principale application de tels</w:t>
      </w:r>
      <w:r>
        <w:t xml:space="preserve"> robinets </w:t>
      </w:r>
      <w:r w:rsidRPr="000A035D">
        <w:t>à ouverture rapide</w:t>
      </w:r>
      <w:r>
        <w:t xml:space="preserve"> concerne la lutte contre l’incendie, mais il y a d’autres applications qui concernent par exemple les </w:t>
      </w:r>
      <w:r w:rsidRPr="005F6FCE">
        <w:t>coussins gonflables du type avalanche</w:t>
      </w:r>
      <w:r>
        <w:t xml:space="preserve"> et le gonflage des canots de sauvetage, entre autres. Ces robinets feront sans doute l’objet de transports internationaux, ce qui justifie leur introduction dans la liste </w:t>
      </w:r>
      <w:r w:rsidRPr="005F6FCE">
        <w:t xml:space="preserve">des récipients à pression </w:t>
      </w:r>
      <w:r>
        <w:t>de l’ONU.</w:t>
      </w:r>
    </w:p>
    <w:p w:rsidR="002F7D3D" w:rsidRDefault="002F7D3D" w:rsidP="00887FC5">
      <w:pPr>
        <w:pStyle w:val="HChG"/>
        <w:rPr>
          <w:lang w:val="en-GB"/>
        </w:rPr>
      </w:pPr>
      <w:r w:rsidRPr="005F6FCE">
        <w:tab/>
      </w:r>
      <w:r w:rsidRPr="005F6FCE">
        <w:tab/>
      </w:r>
      <w:r w:rsidRPr="00CF386A">
        <w:rPr>
          <w:lang w:val="en-GB"/>
        </w:rPr>
        <w:t>Propos</w:t>
      </w:r>
      <w:r>
        <w:rPr>
          <w:lang w:val="en-GB"/>
        </w:rPr>
        <w:t xml:space="preserve">ition </w:t>
      </w:r>
      <w:r w:rsidRPr="00CF386A">
        <w:rPr>
          <w:lang w:val="en-GB"/>
        </w:rPr>
        <w:t>3</w:t>
      </w:r>
    </w:p>
    <w:p w:rsidR="00651279" w:rsidRDefault="00887FC5" w:rsidP="00887FC5">
      <w:pPr>
        <w:pStyle w:val="ParNoG"/>
      </w:pPr>
      <w:r>
        <w:t>Dans le tableau du paragraphe </w:t>
      </w:r>
      <w:r w:rsidR="002F7D3D" w:rsidRPr="005F6FCE">
        <w:t xml:space="preserve">6.2.2.4, modifier la rubrique concernant la norme </w:t>
      </w:r>
      <w:r>
        <w:t>ISO </w:t>
      </w:r>
      <w:r w:rsidR="00490A14">
        <w:t>11623:</w:t>
      </w:r>
      <w:r w:rsidR="002F7D3D" w:rsidRPr="005F6FCE">
        <w:t>2002 et ajouter une nouvelle ligne pour la norme ISO</w:t>
      </w:r>
      <w:r>
        <w:t> </w:t>
      </w:r>
      <w:r w:rsidR="00490A14">
        <w:t>11623:</w:t>
      </w:r>
      <w:r w:rsidR="002F7D3D" w:rsidRPr="005F6FCE">
        <w:t>2015 comme indiqué ci-dessous.</w:t>
      </w:r>
      <w:r w:rsidR="002F7D3D" w:rsidRPr="005F6FCE">
        <w:rPr>
          <w:i/>
        </w:rPr>
        <w:t xml:space="preserve"> </w:t>
      </w:r>
      <w:r w:rsidR="002F7D3D" w:rsidRPr="005F6FCE">
        <w:t>Le texte nouveau est souligné.</w:t>
      </w:r>
    </w:p>
    <w:tbl>
      <w:tblPr>
        <w:tblStyle w:val="TableGrid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531"/>
        <w:gridCol w:w="3821"/>
        <w:gridCol w:w="2018"/>
      </w:tblGrid>
      <w:tr w:rsidR="00887FC5" w:rsidRPr="00651279" w:rsidTr="00275C60">
        <w:tc>
          <w:tcPr>
            <w:tcW w:w="1531" w:type="dxa"/>
            <w:shd w:val="clear" w:color="auto" w:fill="auto"/>
          </w:tcPr>
          <w:p w:rsidR="00887FC5" w:rsidRPr="00651279" w:rsidRDefault="00887FC5" w:rsidP="00887FC5">
            <w:pPr>
              <w:spacing w:before="60" w:after="60" w:line="240" w:lineRule="exact"/>
              <w:ind w:left="57"/>
            </w:pPr>
            <w:r w:rsidRPr="00651279">
              <w:t>ISO</w:t>
            </w:r>
            <w:r>
              <w:t xml:space="preserve"> 11623</w:t>
            </w:r>
            <w:r w:rsidRPr="00651279">
              <w:t>:200</w:t>
            </w:r>
            <w:r>
              <w:t>2</w:t>
            </w:r>
          </w:p>
        </w:tc>
        <w:tc>
          <w:tcPr>
            <w:tcW w:w="3821" w:type="dxa"/>
            <w:shd w:val="clear" w:color="auto" w:fill="auto"/>
          </w:tcPr>
          <w:p w:rsidR="00887FC5" w:rsidRPr="00651279" w:rsidRDefault="00887FC5" w:rsidP="005F3953">
            <w:pPr>
              <w:spacing w:before="60" w:after="60" w:line="240" w:lineRule="exact"/>
              <w:ind w:left="57" w:right="57"/>
            </w:pPr>
            <w:r>
              <w:t>Bouteilles à gaz transportables − Contrôles et</w:t>
            </w:r>
            <w:r w:rsidR="005F3953">
              <w:t> </w:t>
            </w:r>
            <w:r>
              <w:t>essais périodiques des bouteilles à gaz en</w:t>
            </w:r>
            <w:r w:rsidR="005F3953">
              <w:t> </w:t>
            </w:r>
            <w:r>
              <w:t>matériau composite</w:t>
            </w:r>
          </w:p>
        </w:tc>
        <w:tc>
          <w:tcPr>
            <w:tcW w:w="2018" w:type="dxa"/>
            <w:shd w:val="clear" w:color="auto" w:fill="auto"/>
          </w:tcPr>
          <w:p w:rsidR="00887FC5" w:rsidRPr="00887FC5" w:rsidRDefault="00887FC5" w:rsidP="00254DAF">
            <w:pPr>
              <w:spacing w:before="60" w:after="60" w:line="240" w:lineRule="exact"/>
              <w:ind w:left="57"/>
              <w:rPr>
                <w:strike/>
              </w:rPr>
            </w:pPr>
            <w:r w:rsidRPr="00887FC5">
              <w:rPr>
                <w:strike/>
              </w:rPr>
              <w:t>Jusqu’à nouvel ordre</w:t>
            </w:r>
          </w:p>
          <w:p w:rsidR="00887FC5" w:rsidRPr="00887FC5" w:rsidRDefault="00887FC5" w:rsidP="00254DAF">
            <w:pPr>
              <w:spacing w:before="60" w:after="60" w:line="240" w:lineRule="exact"/>
              <w:ind w:left="57"/>
              <w:rPr>
                <w:u w:val="single"/>
              </w:rPr>
            </w:pPr>
            <w:r w:rsidRPr="00887FC5">
              <w:rPr>
                <w:u w:val="single"/>
              </w:rPr>
              <w:t>Jusqu’au 31 décembre 2020</w:t>
            </w:r>
          </w:p>
        </w:tc>
      </w:tr>
      <w:tr w:rsidR="00887FC5" w:rsidRPr="00651279" w:rsidTr="00275C60">
        <w:tc>
          <w:tcPr>
            <w:tcW w:w="1531" w:type="dxa"/>
            <w:shd w:val="clear" w:color="auto" w:fill="auto"/>
          </w:tcPr>
          <w:p w:rsidR="00887FC5" w:rsidRPr="0070245A" w:rsidRDefault="00887FC5" w:rsidP="00887FC5">
            <w:pPr>
              <w:spacing w:before="60" w:after="60" w:line="240" w:lineRule="exact"/>
              <w:ind w:left="57"/>
              <w:rPr>
                <w:spacing w:val="-2"/>
                <w:u w:val="single"/>
              </w:rPr>
            </w:pPr>
            <w:r w:rsidRPr="0070245A">
              <w:rPr>
                <w:spacing w:val="-2"/>
                <w:u w:val="single"/>
              </w:rPr>
              <w:t>ISO 11623:2015</w:t>
            </w:r>
          </w:p>
        </w:tc>
        <w:tc>
          <w:tcPr>
            <w:tcW w:w="3821" w:type="dxa"/>
            <w:shd w:val="clear" w:color="auto" w:fill="auto"/>
          </w:tcPr>
          <w:p w:rsidR="00887FC5" w:rsidRPr="005F3953" w:rsidRDefault="00887FC5" w:rsidP="00887FC5">
            <w:pPr>
              <w:spacing w:before="60" w:after="60" w:line="240" w:lineRule="exact"/>
              <w:ind w:left="57"/>
              <w:rPr>
                <w:u w:val="single"/>
              </w:rPr>
            </w:pPr>
            <w:r w:rsidRPr="005F3953">
              <w:rPr>
                <w:u w:val="single"/>
              </w:rPr>
              <w:t>Bouteilles à gaz − Construction composite − Contrôles et essais périodiques</w:t>
            </w:r>
          </w:p>
        </w:tc>
        <w:tc>
          <w:tcPr>
            <w:tcW w:w="2018" w:type="dxa"/>
            <w:shd w:val="clear" w:color="auto" w:fill="auto"/>
          </w:tcPr>
          <w:p w:rsidR="00887FC5" w:rsidRPr="005F3953" w:rsidRDefault="00887FC5" w:rsidP="00254DAF">
            <w:pPr>
              <w:spacing w:before="60" w:after="60" w:line="240" w:lineRule="exact"/>
              <w:ind w:left="57"/>
              <w:rPr>
                <w:u w:val="single"/>
              </w:rPr>
            </w:pPr>
            <w:r w:rsidRPr="005F3953">
              <w:rPr>
                <w:u w:val="single"/>
              </w:rPr>
              <w:t xml:space="preserve">Jusqu’à nouvel ordre </w:t>
            </w:r>
          </w:p>
        </w:tc>
      </w:tr>
    </w:tbl>
    <w:p w:rsidR="004E1796" w:rsidRPr="005F6FCE" w:rsidRDefault="004E1796" w:rsidP="004E1796">
      <w:pPr>
        <w:pStyle w:val="HChG"/>
        <w:rPr>
          <w:lang w:val="en-GB"/>
        </w:rPr>
      </w:pPr>
      <w:r w:rsidRPr="00CF386A">
        <w:rPr>
          <w:lang w:val="en-GB"/>
        </w:rPr>
        <w:tab/>
      </w:r>
      <w:r w:rsidRPr="00CF386A">
        <w:rPr>
          <w:lang w:val="en-GB"/>
        </w:rPr>
        <w:tab/>
      </w:r>
      <w:r w:rsidRPr="005F6FCE">
        <w:rPr>
          <w:lang w:val="en-GB"/>
        </w:rPr>
        <w:t xml:space="preserve">Justification </w:t>
      </w:r>
      <w:r>
        <w:rPr>
          <w:lang w:val="en-GB"/>
        </w:rPr>
        <w:t xml:space="preserve">de la </w:t>
      </w:r>
      <w:r w:rsidRPr="005F6FCE">
        <w:rPr>
          <w:lang w:val="en-GB"/>
        </w:rPr>
        <w:t>propos</w:t>
      </w:r>
      <w:r>
        <w:rPr>
          <w:lang w:val="en-GB"/>
        </w:rPr>
        <w:t xml:space="preserve">ition </w:t>
      </w:r>
      <w:r w:rsidRPr="005F6FCE">
        <w:rPr>
          <w:lang w:val="en-GB"/>
        </w:rPr>
        <w:t>3</w:t>
      </w:r>
    </w:p>
    <w:p w:rsidR="004E1796" w:rsidRPr="00406D4A" w:rsidRDefault="004E1796" w:rsidP="004E1796">
      <w:pPr>
        <w:pStyle w:val="ParNoG"/>
      </w:pPr>
      <w:r w:rsidRPr="00406D4A">
        <w:t>La norme ISO 11623:2015 comporte les améliorations suivantes</w:t>
      </w:r>
      <w:r>
        <w:t> </w:t>
      </w:r>
      <w:r w:rsidRPr="00406D4A">
        <w:t>:</w:t>
      </w:r>
    </w:p>
    <w:p w:rsidR="004E1796" w:rsidRPr="00406D4A" w:rsidRDefault="004E1796" w:rsidP="004E1796">
      <w:pPr>
        <w:pStyle w:val="Bullet1G"/>
      </w:pPr>
      <w:r w:rsidRPr="00406D4A">
        <w:t>Une terminologie actualisée, en particulier pour les divers t</w:t>
      </w:r>
      <w:r>
        <w:t>y</w:t>
      </w:r>
      <w:r w:rsidRPr="00406D4A">
        <w:t>pes de bouteilles compos</w:t>
      </w:r>
      <w:r>
        <w:t>i</w:t>
      </w:r>
      <w:r w:rsidRPr="00406D4A">
        <w:t>tes</w:t>
      </w:r>
      <w:r w:rsidR="000A71EF">
        <w:t> </w:t>
      </w:r>
      <w:r w:rsidRPr="00406D4A">
        <w:t>;</w:t>
      </w:r>
    </w:p>
    <w:p w:rsidR="004E1796" w:rsidRPr="00406D4A" w:rsidRDefault="004E1796" w:rsidP="004E1796">
      <w:pPr>
        <w:pStyle w:val="Bullet1G"/>
      </w:pPr>
      <w:r w:rsidRPr="00406D4A">
        <w:t xml:space="preserve">Des références normatives actualisées </w:t>
      </w:r>
      <w:r>
        <w:t xml:space="preserve">pour </w:t>
      </w:r>
      <w:r w:rsidRPr="00406D4A">
        <w:t xml:space="preserve">les </w:t>
      </w:r>
      <w:r>
        <w:t>liners en acier et en alliage d’aluminium</w:t>
      </w:r>
      <w:r w:rsidR="000A71EF">
        <w:t> </w:t>
      </w:r>
      <w:r w:rsidRPr="00406D4A">
        <w:t>;</w:t>
      </w:r>
    </w:p>
    <w:p w:rsidR="004E1796" w:rsidRPr="00957847" w:rsidRDefault="004E1796" w:rsidP="004E1796">
      <w:pPr>
        <w:pStyle w:val="Bullet1G"/>
      </w:pPr>
      <w:r>
        <w:t xml:space="preserve">Un classement des </w:t>
      </w:r>
      <w:r w:rsidRPr="00957847">
        <w:t xml:space="preserve">défauts </w:t>
      </w:r>
      <w:r>
        <w:t xml:space="preserve">en </w:t>
      </w:r>
      <w:r w:rsidRPr="00957847">
        <w:t>f</w:t>
      </w:r>
      <w:r>
        <w:t>o</w:t>
      </w:r>
      <w:r w:rsidRPr="00957847">
        <w:t xml:space="preserve">nction de </w:t>
      </w:r>
      <w:r>
        <w:t xml:space="preserve">leur gravité, ainsi qu’une série supplémentaire de critères </w:t>
      </w:r>
      <w:r w:rsidRPr="00957847">
        <w:t>d</w:t>
      </w:r>
      <w:r>
        <w:t>’</w:t>
      </w:r>
      <w:r w:rsidRPr="00957847">
        <w:t>acceptation/de rejet</w:t>
      </w:r>
      <w:r>
        <w:t> ;</w:t>
      </w:r>
    </w:p>
    <w:p w:rsidR="004E1796" w:rsidRPr="00957847" w:rsidRDefault="004E1796" w:rsidP="004E1796">
      <w:pPr>
        <w:pStyle w:val="Bullet1G"/>
      </w:pPr>
      <w:r w:rsidRPr="00957847">
        <w:t xml:space="preserve">Une nouvelle annexe normative pour </w:t>
      </w:r>
      <w:r>
        <w:t>l’i</w:t>
      </w:r>
      <w:r w:rsidRPr="00957847">
        <w:t>nspection de l</w:t>
      </w:r>
      <w:r>
        <w:t>’</w:t>
      </w:r>
      <w:r w:rsidRPr="00957847">
        <w:t xml:space="preserve">intérieur </w:t>
      </w:r>
      <w:r>
        <w:t>des bouteilles composites translucides</w:t>
      </w:r>
      <w:r w:rsidR="000A71EF">
        <w:t> </w:t>
      </w:r>
      <w:r w:rsidRPr="00957847">
        <w:t>;</w:t>
      </w:r>
    </w:p>
    <w:p w:rsidR="004E1796" w:rsidRPr="00957847" w:rsidRDefault="004E1796" w:rsidP="004E1796">
      <w:pPr>
        <w:pStyle w:val="Bullet1G"/>
      </w:pPr>
      <w:r>
        <w:t>De nouvelles photographies donnant une image plus précise des dommages</w:t>
      </w:r>
      <w:r w:rsidRPr="00957847">
        <w:t>.</w:t>
      </w:r>
    </w:p>
    <w:p w:rsidR="00887FC5" w:rsidRDefault="004E1796" w:rsidP="004E1796">
      <w:pPr>
        <w:pStyle w:val="ParNoG"/>
        <w:numPr>
          <w:ilvl w:val="0"/>
          <w:numId w:val="0"/>
        </w:numPr>
        <w:ind w:left="1134" w:firstLine="567"/>
        <w:rPr>
          <w:szCs w:val="24"/>
        </w:rPr>
      </w:pPr>
      <w:r w:rsidRPr="003F6989">
        <w:rPr>
          <w:szCs w:val="24"/>
        </w:rPr>
        <w:t>La période transitoire habituelle de quatre ans est propos</w:t>
      </w:r>
      <w:r>
        <w:rPr>
          <w:szCs w:val="24"/>
        </w:rPr>
        <w:t>é</w:t>
      </w:r>
      <w:r w:rsidRPr="003F6989">
        <w:rPr>
          <w:szCs w:val="24"/>
        </w:rPr>
        <w:t>e</w:t>
      </w:r>
      <w:r>
        <w:rPr>
          <w:szCs w:val="24"/>
        </w:rPr>
        <w:t xml:space="preserve"> pour les normes relatives aux </w:t>
      </w:r>
      <w:r w:rsidRPr="003F6989">
        <w:rPr>
          <w:szCs w:val="24"/>
        </w:rPr>
        <w:t>épreuves et contrôles périodiques.</w:t>
      </w:r>
    </w:p>
    <w:p w:rsidR="004E1796" w:rsidRPr="004E1796" w:rsidRDefault="004E1796" w:rsidP="004E17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1796" w:rsidRPr="004E1796" w:rsidSect="006125C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AE" w:rsidRDefault="00CF51AE" w:rsidP="00F95C08">
      <w:pPr>
        <w:spacing w:line="240" w:lineRule="auto"/>
      </w:pPr>
    </w:p>
  </w:endnote>
  <w:endnote w:type="continuationSeparator" w:id="0">
    <w:p w:rsidR="00CF51AE" w:rsidRPr="00AC3823" w:rsidRDefault="00CF51AE" w:rsidP="00AC3823">
      <w:pPr>
        <w:pStyle w:val="Footer"/>
      </w:pPr>
    </w:p>
  </w:endnote>
  <w:endnote w:type="continuationNotice" w:id="1">
    <w:p w:rsidR="00CF51AE" w:rsidRDefault="00CF51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C4" w:rsidRPr="006125C4" w:rsidRDefault="006125C4" w:rsidP="006125C4">
    <w:pPr>
      <w:pStyle w:val="Footer"/>
      <w:tabs>
        <w:tab w:val="right" w:pos="9638"/>
      </w:tabs>
    </w:pPr>
    <w:r w:rsidRPr="006125C4">
      <w:rPr>
        <w:b/>
        <w:sz w:val="18"/>
      </w:rPr>
      <w:fldChar w:fldCharType="begin"/>
    </w:r>
    <w:r w:rsidRPr="006125C4">
      <w:rPr>
        <w:b/>
        <w:sz w:val="18"/>
      </w:rPr>
      <w:instrText xml:space="preserve"> PAGE  \* MERGEFORMAT </w:instrText>
    </w:r>
    <w:r w:rsidRPr="006125C4">
      <w:rPr>
        <w:b/>
        <w:sz w:val="18"/>
      </w:rPr>
      <w:fldChar w:fldCharType="separate"/>
    </w:r>
    <w:r w:rsidR="00A6054C">
      <w:rPr>
        <w:b/>
        <w:noProof/>
        <w:sz w:val="18"/>
      </w:rPr>
      <w:t>2</w:t>
    </w:r>
    <w:r w:rsidRPr="006125C4">
      <w:rPr>
        <w:b/>
        <w:sz w:val="18"/>
      </w:rPr>
      <w:fldChar w:fldCharType="end"/>
    </w:r>
    <w:r>
      <w:rPr>
        <w:b/>
        <w:sz w:val="18"/>
      </w:rPr>
      <w:tab/>
    </w:r>
    <w:r>
      <w:t>GE.16-05310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C4" w:rsidRPr="006125C4" w:rsidRDefault="006125C4" w:rsidP="006125C4">
    <w:pPr>
      <w:pStyle w:val="Footer"/>
      <w:tabs>
        <w:tab w:val="right" w:pos="9638"/>
      </w:tabs>
      <w:rPr>
        <w:b/>
        <w:sz w:val="18"/>
      </w:rPr>
    </w:pPr>
    <w:r>
      <w:t>GE.16-05310</w:t>
    </w:r>
    <w:r>
      <w:tab/>
    </w:r>
    <w:r w:rsidRPr="006125C4">
      <w:rPr>
        <w:b/>
        <w:sz w:val="18"/>
      </w:rPr>
      <w:fldChar w:fldCharType="begin"/>
    </w:r>
    <w:r w:rsidRPr="006125C4">
      <w:rPr>
        <w:b/>
        <w:sz w:val="18"/>
      </w:rPr>
      <w:instrText xml:space="preserve"> PAGE  \* MERGEFORMAT </w:instrText>
    </w:r>
    <w:r w:rsidRPr="006125C4">
      <w:rPr>
        <w:b/>
        <w:sz w:val="18"/>
      </w:rPr>
      <w:fldChar w:fldCharType="separate"/>
    </w:r>
    <w:r w:rsidR="00A6054C">
      <w:rPr>
        <w:b/>
        <w:noProof/>
        <w:sz w:val="18"/>
      </w:rPr>
      <w:t>3</w:t>
    </w:r>
    <w:r w:rsidRPr="006125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6125C4" w:rsidRDefault="006125C4" w:rsidP="006125C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342E7A7" wp14:editId="68BDF58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16-05310  (F)    170516    190516</w:t>
    </w:r>
    <w:r>
      <w:rPr>
        <w:sz w:val="20"/>
      </w:rPr>
      <w:br/>
    </w:r>
    <w:r w:rsidRPr="006125C4">
      <w:rPr>
        <w:rFonts w:ascii="C39T30Lfz" w:hAnsi="C39T30Lfz"/>
        <w:sz w:val="56"/>
      </w:rPr>
      <w:t></w:t>
    </w:r>
    <w:r w:rsidRPr="006125C4">
      <w:rPr>
        <w:rFonts w:ascii="C39T30Lfz" w:hAnsi="C39T30Lfz"/>
        <w:sz w:val="56"/>
      </w:rPr>
      <w:t></w:t>
    </w:r>
    <w:r w:rsidRPr="006125C4">
      <w:rPr>
        <w:rFonts w:ascii="C39T30Lfz" w:hAnsi="C39T30Lfz"/>
        <w:sz w:val="56"/>
      </w:rPr>
      <w:t></w:t>
    </w:r>
    <w:r w:rsidRPr="006125C4">
      <w:rPr>
        <w:rFonts w:ascii="C39T30Lfz" w:hAnsi="C39T30Lfz"/>
        <w:sz w:val="56"/>
      </w:rPr>
      <w:t></w:t>
    </w:r>
    <w:r w:rsidRPr="006125C4">
      <w:rPr>
        <w:rFonts w:ascii="C39T30Lfz" w:hAnsi="C39T30Lfz"/>
        <w:sz w:val="56"/>
      </w:rPr>
      <w:t></w:t>
    </w:r>
    <w:r w:rsidRPr="006125C4">
      <w:rPr>
        <w:rFonts w:ascii="C39T30Lfz" w:hAnsi="C39T30Lfz"/>
        <w:sz w:val="56"/>
      </w:rPr>
      <w:t></w:t>
    </w:r>
    <w:r w:rsidRPr="006125C4">
      <w:rPr>
        <w:rFonts w:ascii="C39T30Lfz" w:hAnsi="C39T30Lfz"/>
        <w:sz w:val="56"/>
      </w:rPr>
      <w:t></w:t>
    </w:r>
    <w:r w:rsidRPr="006125C4">
      <w:rPr>
        <w:rFonts w:ascii="C39T30Lfz" w:hAnsi="C39T30Lfz"/>
        <w:sz w:val="56"/>
      </w:rPr>
      <w:t></w:t>
    </w:r>
    <w:r w:rsidRPr="006125C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AE" w:rsidRPr="00AC3823" w:rsidRDefault="00CF51A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51AE" w:rsidRPr="00AC3823" w:rsidRDefault="00CF51A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51AE" w:rsidRPr="00AC3823" w:rsidRDefault="00CF51AE">
      <w:pPr>
        <w:spacing w:line="240" w:lineRule="auto"/>
        <w:rPr>
          <w:sz w:val="2"/>
          <w:szCs w:val="2"/>
        </w:rPr>
      </w:pPr>
    </w:p>
  </w:footnote>
  <w:footnote w:id="2">
    <w:p w:rsidR="00CD3168" w:rsidRDefault="00CD316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="00DA21A0" w:rsidRPr="00CD3168">
        <w:t>Conformément au programme de travail du Sous-Comité pour 2015-2016, adopté par le Comité à sa septième session (voir ST/SG/AC.10/C.3/92, par.</w:t>
      </w:r>
      <w:r>
        <w:t> 95, et ST/SG/AC.10/42, par. </w:t>
      </w:r>
      <w:r w:rsidR="00DA21A0" w:rsidRPr="00CD3168"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C4" w:rsidRPr="006125C4" w:rsidRDefault="006125C4">
    <w:pPr>
      <w:pStyle w:val="Header"/>
    </w:pPr>
    <w:r>
      <w:t>ST/SG/AC.10/C.3/2016/20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C4" w:rsidRPr="006125C4" w:rsidRDefault="006125C4" w:rsidP="006125C4">
    <w:pPr>
      <w:pStyle w:val="Header"/>
      <w:jc w:val="right"/>
    </w:pPr>
    <w:r>
      <w:t>ST/SG/AC.10/C.3/2016/20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AE"/>
    <w:rsid w:val="00017F94"/>
    <w:rsid w:val="00023842"/>
    <w:rsid w:val="000305D3"/>
    <w:rsid w:val="000334F9"/>
    <w:rsid w:val="0007796D"/>
    <w:rsid w:val="000A71EF"/>
    <w:rsid w:val="000B7790"/>
    <w:rsid w:val="00111F2F"/>
    <w:rsid w:val="00132EA9"/>
    <w:rsid w:val="0014365E"/>
    <w:rsid w:val="00176178"/>
    <w:rsid w:val="001C34F4"/>
    <w:rsid w:val="001E790B"/>
    <w:rsid w:val="001F525A"/>
    <w:rsid w:val="00223272"/>
    <w:rsid w:val="0024779E"/>
    <w:rsid w:val="00275C60"/>
    <w:rsid w:val="00283190"/>
    <w:rsid w:val="002832AC"/>
    <w:rsid w:val="002D7C93"/>
    <w:rsid w:val="002F7D3D"/>
    <w:rsid w:val="00441C3B"/>
    <w:rsid w:val="00446FE5"/>
    <w:rsid w:val="00452396"/>
    <w:rsid w:val="00490A14"/>
    <w:rsid w:val="004E1796"/>
    <w:rsid w:val="004E468C"/>
    <w:rsid w:val="005505B7"/>
    <w:rsid w:val="00573BE5"/>
    <w:rsid w:val="00586ED3"/>
    <w:rsid w:val="00596AA9"/>
    <w:rsid w:val="005F3953"/>
    <w:rsid w:val="006125C4"/>
    <w:rsid w:val="00651279"/>
    <w:rsid w:val="0068456F"/>
    <w:rsid w:val="0070245A"/>
    <w:rsid w:val="0071601D"/>
    <w:rsid w:val="007A62E6"/>
    <w:rsid w:val="0080684C"/>
    <w:rsid w:val="00871C75"/>
    <w:rsid w:val="008776DC"/>
    <w:rsid w:val="00887FC5"/>
    <w:rsid w:val="008F66E7"/>
    <w:rsid w:val="009705C8"/>
    <w:rsid w:val="009C1CF4"/>
    <w:rsid w:val="00A30353"/>
    <w:rsid w:val="00A6054C"/>
    <w:rsid w:val="00AC3823"/>
    <w:rsid w:val="00AE323C"/>
    <w:rsid w:val="00B00181"/>
    <w:rsid w:val="00B00B0D"/>
    <w:rsid w:val="00B765F7"/>
    <w:rsid w:val="00BA0CA9"/>
    <w:rsid w:val="00C02897"/>
    <w:rsid w:val="00CD3168"/>
    <w:rsid w:val="00CF51AE"/>
    <w:rsid w:val="00D3439C"/>
    <w:rsid w:val="00DA21A0"/>
    <w:rsid w:val="00DB1831"/>
    <w:rsid w:val="00DD3BFD"/>
    <w:rsid w:val="00DF6678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FC30-8982-44FB-956C-628F0BAB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ST/SG/AC.10/C.3/2016/20</vt:lpstr>
      <vt:lpstr>ST/SG/AC.10/C.3/2016/20</vt:lpstr>
    </vt:vector>
  </TitlesOfParts>
  <Company>DCM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ST/SG/AC.10/C.3/2016/20</dc:title>
  <dc:subject>final</dc:subject>
  <dc:creator>Deschamps</dc:creator>
  <cp:lastModifiedBy>Laurence Berthet</cp:lastModifiedBy>
  <cp:revision>2</cp:revision>
  <cp:lastPrinted>2016-05-19T12:27:00Z</cp:lastPrinted>
  <dcterms:created xsi:type="dcterms:W3CDTF">2016-05-19T12:29:00Z</dcterms:created>
  <dcterms:modified xsi:type="dcterms:W3CDTF">2016-05-19T12:29:00Z</dcterms:modified>
</cp:coreProperties>
</file>