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:rsidTr="007F20FA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DB58B5" w:rsidRDefault="00F35BAF" w:rsidP="00E87269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DB58B5" w:rsidRDefault="00F35BAF" w:rsidP="00892A2F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DB58B5" w:rsidRDefault="00E87269" w:rsidP="00E87269">
            <w:pPr>
              <w:jc w:val="right"/>
            </w:pPr>
            <w:r w:rsidRPr="00E87269">
              <w:rPr>
                <w:sz w:val="40"/>
              </w:rPr>
              <w:t>ECE</w:t>
            </w:r>
            <w:r>
              <w:t>/TRANS/WP.29/GRSP/2015/12</w:t>
            </w:r>
          </w:p>
        </w:tc>
      </w:tr>
      <w:tr w:rsidR="00F35BAF" w:rsidRPr="00DB58B5" w:rsidTr="00892A2F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DB58B5" w:rsidRDefault="00F35BAF" w:rsidP="00892A2F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6193CA36" wp14:editId="7DC16CDA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740562" w:rsidRDefault="00F35BAF" w:rsidP="00892A2F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Default="00E87269" w:rsidP="00892A2F">
            <w:pPr>
              <w:spacing w:before="240"/>
            </w:pPr>
            <w:r>
              <w:t>Distr. générale</w:t>
            </w:r>
          </w:p>
          <w:p w:rsidR="00E87269" w:rsidRDefault="00E87269" w:rsidP="00E87269">
            <w:pPr>
              <w:spacing w:line="240" w:lineRule="exact"/>
            </w:pPr>
            <w:r>
              <w:t>27 février 2015</w:t>
            </w:r>
          </w:p>
          <w:p w:rsidR="00E87269" w:rsidRDefault="00E87269" w:rsidP="00E87269">
            <w:pPr>
              <w:spacing w:line="240" w:lineRule="exact"/>
            </w:pPr>
            <w:r>
              <w:t>Français</w:t>
            </w:r>
          </w:p>
          <w:p w:rsidR="00E87269" w:rsidRPr="00DB58B5" w:rsidRDefault="00E87269" w:rsidP="00E87269">
            <w:pPr>
              <w:spacing w:line="240" w:lineRule="exact"/>
            </w:pPr>
            <w:r>
              <w:t>Original: anglais</w:t>
            </w:r>
          </w:p>
        </w:tc>
      </w:tr>
    </w:tbl>
    <w:p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:rsidR="00B805F4" w:rsidRDefault="00B805F4" w:rsidP="00AF0CB5">
      <w:pPr>
        <w:spacing w:before="120"/>
        <w:rPr>
          <w:b/>
          <w:sz w:val="24"/>
          <w:szCs w:val="24"/>
        </w:rPr>
      </w:pPr>
      <w:r w:rsidRPr="00685843">
        <w:rPr>
          <w:b/>
          <w:sz w:val="24"/>
          <w:szCs w:val="24"/>
        </w:rPr>
        <w:t>Forum mondial de l’harmonisation</w:t>
      </w:r>
      <w:r>
        <w:rPr>
          <w:b/>
          <w:sz w:val="24"/>
          <w:szCs w:val="24"/>
        </w:rPr>
        <w:br/>
      </w:r>
      <w:r w:rsidRPr="00685843">
        <w:rPr>
          <w:b/>
          <w:sz w:val="24"/>
          <w:szCs w:val="24"/>
        </w:rPr>
        <w:t>des Règlements</w:t>
      </w:r>
      <w:r>
        <w:rPr>
          <w:b/>
          <w:sz w:val="24"/>
          <w:szCs w:val="24"/>
        </w:rPr>
        <w:t xml:space="preserve"> </w:t>
      </w:r>
      <w:r w:rsidRPr="00685843">
        <w:rPr>
          <w:b/>
          <w:sz w:val="24"/>
          <w:szCs w:val="24"/>
        </w:rPr>
        <w:t>concernant les véhicules</w:t>
      </w:r>
    </w:p>
    <w:p w:rsidR="00B805F4" w:rsidRDefault="00B805F4" w:rsidP="00257168">
      <w:pPr>
        <w:spacing w:before="120" w:after="120" w:line="240" w:lineRule="exact"/>
        <w:rPr>
          <w:b/>
        </w:rPr>
      </w:pPr>
      <w:r>
        <w:rPr>
          <w:b/>
        </w:rPr>
        <w:t>Groupe de travail de la sécurité passive</w:t>
      </w:r>
    </w:p>
    <w:p w:rsidR="00B805F4" w:rsidRDefault="00E87269" w:rsidP="00257168">
      <w:pPr>
        <w:spacing w:before="120" w:line="240" w:lineRule="exact"/>
        <w:rPr>
          <w:b/>
        </w:rPr>
      </w:pPr>
      <w:r>
        <w:rPr>
          <w:b/>
        </w:rPr>
        <w:t>Cinquante-septième</w:t>
      </w:r>
      <w:r w:rsidR="00B805F4">
        <w:rPr>
          <w:b/>
        </w:rPr>
        <w:t xml:space="preserve"> session</w:t>
      </w:r>
    </w:p>
    <w:p w:rsidR="00B05A47" w:rsidRPr="00C67A68" w:rsidRDefault="00B05A47" w:rsidP="00B05A47">
      <w:pPr>
        <w:spacing w:line="240" w:lineRule="exact"/>
      </w:pPr>
      <w:r w:rsidRPr="00C67A68">
        <w:t>Genève, 18-22 mai 2015</w:t>
      </w:r>
    </w:p>
    <w:p w:rsidR="00B05A47" w:rsidRPr="00C67A68" w:rsidRDefault="00B05A47" w:rsidP="00B05A47">
      <w:pPr>
        <w:spacing w:line="240" w:lineRule="exact"/>
      </w:pPr>
      <w:r w:rsidRPr="00C67A68">
        <w:t>Point 1</w:t>
      </w:r>
      <w:r>
        <w:t>5</w:t>
      </w:r>
      <w:r w:rsidRPr="00C67A68">
        <w:t xml:space="preserve"> de l’ordre du jour provisoire</w:t>
      </w:r>
    </w:p>
    <w:p w:rsidR="00785A40" w:rsidRPr="000F4A62" w:rsidRDefault="00785A40" w:rsidP="00785A40">
      <w:pPr>
        <w:kinsoku/>
        <w:overflowPunct/>
        <w:autoSpaceDE/>
        <w:autoSpaceDN/>
        <w:adjustRightInd/>
        <w:snapToGrid/>
        <w:ind w:right="1134"/>
        <w:rPr>
          <w:b/>
          <w:bCs/>
        </w:rPr>
      </w:pPr>
      <w:r>
        <w:rPr>
          <w:b/>
        </w:rPr>
        <w:t>Proposition de nouveau Règlement sur le choc avant</w:t>
      </w:r>
    </w:p>
    <w:p w:rsidR="00785A40" w:rsidRPr="000F4A62" w:rsidRDefault="00785A40" w:rsidP="00785A40">
      <w:pPr>
        <w:pStyle w:val="HChG"/>
        <w:rPr>
          <w:rFonts w:eastAsia="MS Mincho"/>
        </w:rPr>
      </w:pPr>
      <w:r>
        <w:tab/>
      </w:r>
      <w:r>
        <w:tab/>
        <w:t xml:space="preserve">Projet de série 01 d’amendements au projet de nouveau Règlement </w:t>
      </w:r>
      <w:bookmarkStart w:id="1" w:name="_Toc381109053"/>
      <w:bookmarkStart w:id="2" w:name="_Toc381109119"/>
      <w:bookmarkStart w:id="3" w:name="_Toc381109755"/>
      <w:r>
        <w:t>sur des prescriptions uniformes relatives à</w:t>
      </w:r>
      <w:r w:rsidR="005E0C23">
        <w:t> </w:t>
      </w:r>
      <w:r>
        <w:t>l’homologation de</w:t>
      </w:r>
      <w:r w:rsidR="009D560E">
        <w:t>s voitures particulières</w:t>
      </w:r>
      <w:r w:rsidR="009D560E">
        <w:br/>
        <w:t xml:space="preserve">en cas </w:t>
      </w:r>
      <w:r>
        <w:t xml:space="preserve">de choc </w:t>
      </w:r>
      <w:r w:rsidR="009D560E">
        <w:t>avant</w:t>
      </w:r>
      <w:r>
        <w:t>, l’</w:t>
      </w:r>
      <w:r w:rsidR="005E0C23">
        <w:t>accent étant mis</w:t>
      </w:r>
      <w:r w:rsidR="005E0C23">
        <w:br/>
      </w:r>
      <w:r>
        <w:t>sur le dispositif de retenue</w:t>
      </w:r>
      <w:bookmarkEnd w:id="1"/>
      <w:bookmarkEnd w:id="2"/>
      <w:bookmarkEnd w:id="3"/>
    </w:p>
    <w:p w:rsidR="00785A40" w:rsidRPr="000F4A62" w:rsidRDefault="00785A40" w:rsidP="005E0C23">
      <w:pPr>
        <w:pStyle w:val="H1G"/>
        <w:rPr>
          <w:szCs w:val="24"/>
        </w:rPr>
      </w:pPr>
      <w:r>
        <w:tab/>
      </w:r>
      <w:r>
        <w:tab/>
        <w:t>Communication de l’</w:t>
      </w:r>
      <w:r w:rsidR="00A97EC3">
        <w:t>expert de la France, Président</w:t>
      </w:r>
      <w:r w:rsidR="00A97EC3">
        <w:br/>
      </w:r>
      <w:r>
        <w:t>du groupe de travail informel du choc avant</w:t>
      </w:r>
      <w:r w:rsidR="005E0C23" w:rsidRPr="005E0C23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:rsidR="00785A40" w:rsidRPr="004B52D2" w:rsidRDefault="00785A40" w:rsidP="009D560E">
      <w:pPr>
        <w:pStyle w:val="SingleTxtG"/>
        <w:ind w:firstLine="567"/>
      </w:pPr>
      <w:r w:rsidRPr="00B11063">
        <w:rPr>
          <w:spacing w:val="-2"/>
        </w:rPr>
        <w:t>Le texte reproduit ci-après a été établi par les experts du groupe de travail informel du choc avant, sur la base des débats du Groupe de travail de la sécurité passive (GRSP) à sa cinquante-sixième sessio</w:t>
      </w:r>
      <w:r w:rsidR="006F5492">
        <w:rPr>
          <w:spacing w:val="-2"/>
        </w:rPr>
        <w:t>n (ECE/TRANS/WP</w:t>
      </w:r>
      <w:r w:rsidR="00A97EC3">
        <w:rPr>
          <w:spacing w:val="-2"/>
        </w:rPr>
        <w:t>.</w:t>
      </w:r>
      <w:r w:rsidR="006F5492">
        <w:rPr>
          <w:spacing w:val="-2"/>
        </w:rPr>
        <w:t>29/GRSP/56, par. </w:t>
      </w:r>
      <w:r w:rsidRPr="00B11063">
        <w:rPr>
          <w:spacing w:val="-2"/>
        </w:rPr>
        <w:t xml:space="preserve">37). Il s’agit d’élaborer un nouveau Règlement ONU sur le choc </w:t>
      </w:r>
      <w:r w:rsidR="00B11063" w:rsidRPr="00B11063">
        <w:rPr>
          <w:spacing w:val="-2"/>
        </w:rPr>
        <w:t>avant</w:t>
      </w:r>
      <w:r w:rsidRPr="00B11063">
        <w:rPr>
          <w:spacing w:val="-2"/>
        </w:rPr>
        <w:t xml:space="preserve"> en mettant l’accent sur les prescriptions relatives aux dispositifs de retenue. La présente proposition vise à introduire une </w:t>
      </w:r>
      <w:r w:rsidR="00B11063" w:rsidRPr="00B11063">
        <w:rPr>
          <w:spacing w:val="-2"/>
        </w:rPr>
        <w:t>première</w:t>
      </w:r>
      <w:r w:rsidRPr="00B11063">
        <w:rPr>
          <w:spacing w:val="-2"/>
        </w:rPr>
        <w:t xml:space="preserve"> série d’amendements au projet de Règlement ONU </w:t>
      </w:r>
      <w:r w:rsidR="00B11063" w:rsidRPr="00B11063">
        <w:rPr>
          <w:spacing w:val="-2"/>
        </w:rPr>
        <w:t>dans laquelle figure</w:t>
      </w:r>
      <w:r w:rsidRPr="00B11063">
        <w:rPr>
          <w:spacing w:val="-2"/>
        </w:rPr>
        <w:t xml:space="preserve"> un critère de compression du thorax (THCC) de 34 mm. Elle est fondée sur le document GRSP-56-23-Rev.2, distribué à la cinquante-sixième session. Les modifications qu’il est proposé d’apporter au texte actuel du document ECE/TRANS/WP.29/GRSP/2014/10 sont signalées en caractères gras pour les ajouts ou biffés pour les suppressions</w:t>
      </w:r>
      <w:r w:rsidRPr="004B52D2">
        <w:t>.</w:t>
      </w:r>
    </w:p>
    <w:p w:rsidR="00785A40" w:rsidRPr="004B52D2" w:rsidRDefault="00785A40" w:rsidP="006F5492">
      <w:pPr>
        <w:pStyle w:val="HChG"/>
      </w:pPr>
      <w:r w:rsidRPr="004B52D2">
        <w:rPr>
          <w:sz w:val="32"/>
        </w:rPr>
        <w:br w:type="page"/>
      </w:r>
      <w:r w:rsidRPr="004B52D2">
        <w:rPr>
          <w:sz w:val="32"/>
        </w:rPr>
        <w:lastRenderedPageBreak/>
        <w:tab/>
      </w:r>
      <w:r w:rsidRPr="004B52D2">
        <w:rPr>
          <w:snapToGrid w:val="0"/>
        </w:rPr>
        <w:t>I.</w:t>
      </w:r>
      <w:r w:rsidRPr="004B52D2">
        <w:rPr>
          <w:sz w:val="32"/>
        </w:rPr>
        <w:tab/>
      </w:r>
      <w:r w:rsidRPr="00261FAA">
        <w:t>Proposition</w:t>
      </w:r>
    </w:p>
    <w:p w:rsidR="00785A40" w:rsidRPr="004B52D2" w:rsidRDefault="00785A40" w:rsidP="006F5492">
      <w:pPr>
        <w:pStyle w:val="SingleTxtG"/>
        <w:keepNext/>
        <w:rPr>
          <w:rFonts w:eastAsia="MS Mincho"/>
        </w:rPr>
      </w:pPr>
      <w:r w:rsidRPr="004B52D2">
        <w:rPr>
          <w:i/>
        </w:rPr>
        <w:t>Paragraphe 4.2</w:t>
      </w:r>
      <w:r w:rsidRPr="004B52D2">
        <w:t>,</w:t>
      </w:r>
      <w:r w:rsidRPr="004B52D2">
        <w:rPr>
          <w:i/>
        </w:rPr>
        <w:t xml:space="preserve"> </w:t>
      </w:r>
      <w:r w:rsidRPr="004B52D2">
        <w:t>modifier comme suit:</w:t>
      </w:r>
    </w:p>
    <w:p w:rsidR="00785A40" w:rsidRPr="004B52D2" w:rsidRDefault="00785A40" w:rsidP="006F5492">
      <w:pPr>
        <w:pStyle w:val="SingleTxtG"/>
        <w:ind w:left="2268" w:hanging="1134"/>
        <w:rPr>
          <w:rFonts w:eastAsia="MS Mincho"/>
        </w:rPr>
      </w:pPr>
      <w:r w:rsidRPr="004B52D2">
        <w:t>«4.2</w:t>
      </w:r>
      <w:r w:rsidRPr="004B52D2">
        <w:rPr>
          <w:sz w:val="32"/>
        </w:rPr>
        <w:tab/>
      </w:r>
      <w:r w:rsidRPr="00261FAA">
        <w:t xml:space="preserve">Chaque type homologué reçoit un numéro d’homologation dont les deux premiers chiffres (actuellement </w:t>
      </w:r>
      <w:r w:rsidRPr="00261FAA">
        <w:rPr>
          <w:b/>
        </w:rPr>
        <w:t>01</w:t>
      </w:r>
      <w:r w:rsidRPr="00261FAA">
        <w:t xml:space="preserve"> pour la série </w:t>
      </w:r>
      <w:r w:rsidRPr="00261FAA">
        <w:rPr>
          <w:b/>
        </w:rPr>
        <w:t>01</w:t>
      </w:r>
      <w:r w:rsidRPr="00261FAA">
        <w:t xml:space="preserve"> d’amendements) indiquent la série d’amendements correspondant aux plus récentes modifications techniques </w:t>
      </w:r>
      <w:r w:rsidR="00BD1DCE">
        <w:t xml:space="preserve">majeures </w:t>
      </w:r>
      <w:r w:rsidRPr="00261FAA">
        <w:t>apportées au Règlement à la date d’octroi de l’homologation. Une même Partie contractante ne peut attribuer ce numéro à un autre type de véhicule.».</w:t>
      </w:r>
    </w:p>
    <w:p w:rsidR="00785A40" w:rsidRPr="004B52D2" w:rsidRDefault="00785A40" w:rsidP="006F5492">
      <w:pPr>
        <w:pStyle w:val="SingleTxtG"/>
        <w:keepNext/>
        <w:rPr>
          <w:rFonts w:eastAsia="MS Mincho"/>
          <w:i/>
        </w:rPr>
      </w:pPr>
      <w:r w:rsidRPr="004B52D2">
        <w:rPr>
          <w:i/>
        </w:rPr>
        <w:t>Paragraphe 5.2.1.2.3</w:t>
      </w:r>
      <w:r w:rsidRPr="006F5492">
        <w:rPr>
          <w:rFonts w:eastAsia="MS Mincho"/>
        </w:rPr>
        <w:t>, modifier comme suit:</w:t>
      </w:r>
    </w:p>
    <w:p w:rsidR="00785A40" w:rsidRPr="004B52D2" w:rsidRDefault="00785A40" w:rsidP="006F5492">
      <w:pPr>
        <w:pStyle w:val="SingleTxtG"/>
        <w:ind w:left="2268" w:hanging="1134"/>
        <w:rPr>
          <w:rFonts w:eastAsia="MS Mincho"/>
          <w:kern w:val="2"/>
        </w:rPr>
      </w:pPr>
      <w:r w:rsidRPr="004B52D2">
        <w:rPr>
          <w:kern w:val="2"/>
        </w:rPr>
        <w:t xml:space="preserve">«5.2.1.2.3 </w:t>
      </w:r>
      <w:r w:rsidRPr="004B52D2">
        <w:rPr>
          <w:sz w:val="32"/>
        </w:rPr>
        <w:tab/>
      </w:r>
      <w:r w:rsidRPr="00261FAA">
        <w:rPr>
          <w:kern w:val="2"/>
        </w:rPr>
        <w:t>Le critère de compression du thorax (THCC) ne doit pas être supérieur à</w:t>
      </w:r>
      <w:r w:rsidRPr="004B52D2">
        <w:rPr>
          <w:kern w:val="2"/>
        </w:rPr>
        <w:t xml:space="preserve"> </w:t>
      </w:r>
      <w:r w:rsidRPr="004B52D2">
        <w:rPr>
          <w:b/>
          <w:kern w:val="2"/>
        </w:rPr>
        <w:t>34</w:t>
      </w:r>
      <w:r w:rsidR="00BD1DCE">
        <w:rPr>
          <w:kern w:val="2"/>
        </w:rPr>
        <w:t> mm</w:t>
      </w:r>
      <w:r w:rsidRPr="00BD1DCE">
        <w:rPr>
          <w:b/>
          <w:kern w:val="2"/>
          <w:sz w:val="18"/>
          <w:szCs w:val="18"/>
          <w:vertAlign w:val="superscript"/>
        </w:rPr>
        <w:t>1</w:t>
      </w:r>
      <w:r w:rsidR="00BD1DCE" w:rsidRPr="00BD1DCE">
        <w:rPr>
          <w:kern w:val="2"/>
        </w:rPr>
        <w:t>.</w:t>
      </w:r>
    </w:p>
    <w:p w:rsidR="00785A40" w:rsidRPr="004B52D2" w:rsidRDefault="00785A40" w:rsidP="00785A40">
      <w:pPr>
        <w:widowControl w:val="0"/>
        <w:suppressAutoHyphens w:val="0"/>
        <w:kinsoku/>
        <w:overflowPunct/>
        <w:autoSpaceDE/>
        <w:autoSpaceDN/>
        <w:adjustRightInd/>
        <w:snapToGrid/>
        <w:spacing w:after="120"/>
        <w:ind w:left="2268" w:right="1134" w:hanging="1134"/>
        <w:jc w:val="both"/>
        <w:rPr>
          <w:rFonts w:eastAsia="MS Mincho"/>
          <w:kern w:val="2"/>
        </w:rPr>
      </w:pPr>
      <w:r w:rsidRPr="004B52D2">
        <w:rPr>
          <w:kern w:val="2"/>
        </w:rPr>
        <w:t>__________</w:t>
      </w:r>
    </w:p>
    <w:p w:rsidR="00785A40" w:rsidRPr="004B52D2" w:rsidRDefault="00785A40" w:rsidP="00BD1DCE">
      <w:pPr>
        <w:kinsoku/>
        <w:overflowPunct/>
        <w:autoSpaceDE/>
        <w:autoSpaceDN/>
        <w:adjustRightInd/>
        <w:snapToGrid/>
        <w:spacing w:after="120"/>
        <w:ind w:left="1701" w:right="1134" w:hanging="567"/>
        <w:rPr>
          <w:b/>
          <w:sz w:val="22"/>
        </w:rPr>
      </w:pPr>
      <w:r w:rsidRPr="00BD1DCE">
        <w:rPr>
          <w:b/>
          <w:sz w:val="18"/>
          <w:szCs w:val="18"/>
          <w:vertAlign w:val="superscript"/>
        </w:rPr>
        <w:t>1</w:t>
      </w:r>
      <w:r w:rsidRPr="004B52D2">
        <w:rPr>
          <w:sz w:val="32"/>
        </w:rPr>
        <w:tab/>
      </w:r>
      <w:r w:rsidRPr="00BD1DCE">
        <w:rPr>
          <w:b/>
          <w:sz w:val="18"/>
          <w:szCs w:val="18"/>
        </w:rPr>
        <w:t xml:space="preserve">Cette valeur limite se fonde sur les critères de blessure applicables </w:t>
      </w:r>
      <w:r w:rsidR="003E52E2">
        <w:rPr>
          <w:b/>
          <w:sz w:val="18"/>
          <w:szCs w:val="18"/>
        </w:rPr>
        <w:t>au mannequin femme Hybrid III du 5</w:t>
      </w:r>
      <w:r w:rsidR="003E52E2" w:rsidRPr="003E52E2">
        <w:rPr>
          <w:b/>
          <w:sz w:val="18"/>
          <w:szCs w:val="18"/>
          <w:vertAlign w:val="superscript"/>
        </w:rPr>
        <w:t>e</w:t>
      </w:r>
      <w:r w:rsidR="003E52E2">
        <w:rPr>
          <w:b/>
          <w:sz w:val="18"/>
          <w:szCs w:val="18"/>
        </w:rPr>
        <w:t xml:space="preserve"> centile, âgé </w:t>
      </w:r>
      <w:r w:rsidRPr="00BD1DCE">
        <w:rPr>
          <w:b/>
          <w:sz w:val="18"/>
          <w:szCs w:val="18"/>
        </w:rPr>
        <w:t>de 65 ans</w:t>
      </w:r>
      <w:r w:rsidR="003E52E2">
        <w:rPr>
          <w:b/>
          <w:sz w:val="18"/>
          <w:szCs w:val="18"/>
        </w:rPr>
        <w:t>,</w:t>
      </w:r>
      <w:r w:rsidRPr="00BD1DCE">
        <w:rPr>
          <w:b/>
          <w:sz w:val="18"/>
          <w:szCs w:val="18"/>
        </w:rPr>
        <w:t xml:space="preserve"> et s’applique uniquement au siège passager latéral avant dans les conditions de charge et d’essai spécifiées dans le présent Règlement. Il convient de n’en étendre l’utilisation qu’après un examen plus poussé.</w:t>
      </w:r>
      <w:r w:rsidRPr="00BD1DCE">
        <w:rPr>
          <w:sz w:val="18"/>
          <w:szCs w:val="18"/>
        </w:rPr>
        <w:t>».</w:t>
      </w:r>
    </w:p>
    <w:p w:rsidR="00785A40" w:rsidRPr="004B52D2" w:rsidRDefault="00785A40" w:rsidP="006F5492">
      <w:pPr>
        <w:pStyle w:val="SingleTxtG"/>
        <w:keepNext/>
        <w:rPr>
          <w:rFonts w:eastAsia="MS Mincho"/>
          <w:i/>
        </w:rPr>
      </w:pPr>
      <w:r w:rsidRPr="004B52D2">
        <w:rPr>
          <w:i/>
        </w:rPr>
        <w:t>Ajouter de nouveaux paragraphes</w:t>
      </w:r>
      <w:r w:rsidRPr="001E7EE1">
        <w:t>,</w:t>
      </w:r>
      <w:r w:rsidRPr="004B52D2">
        <w:t xml:space="preserve"> ainsi conçus:</w:t>
      </w:r>
    </w:p>
    <w:p w:rsidR="00785A40" w:rsidRPr="004B52D2" w:rsidRDefault="00785A40" w:rsidP="00BD1DCE">
      <w:pPr>
        <w:pStyle w:val="SingleTxtG"/>
        <w:keepNext/>
        <w:ind w:left="2268" w:hanging="1134"/>
        <w:jc w:val="left"/>
        <w:rPr>
          <w:rFonts w:eastAsia="MS Mincho"/>
        </w:rPr>
      </w:pPr>
      <w:r w:rsidRPr="004B52D2">
        <w:t>«</w:t>
      </w:r>
      <w:r w:rsidRPr="004B52D2">
        <w:rPr>
          <w:b/>
        </w:rPr>
        <w:t>11.</w:t>
      </w:r>
      <w:r w:rsidRPr="004B52D2">
        <w:rPr>
          <w:sz w:val="32"/>
        </w:rPr>
        <w:tab/>
      </w:r>
      <w:r w:rsidRPr="004B52D2">
        <w:rPr>
          <w:sz w:val="32"/>
        </w:rPr>
        <w:tab/>
      </w:r>
      <w:r w:rsidRPr="004B52D2">
        <w:rPr>
          <w:b/>
        </w:rPr>
        <w:t>Dispositions transitoires</w:t>
      </w:r>
    </w:p>
    <w:p w:rsidR="00785A40" w:rsidRPr="004B52D2" w:rsidRDefault="00785A40" w:rsidP="006F5492">
      <w:pPr>
        <w:pStyle w:val="SingleTxtG"/>
        <w:ind w:left="2268" w:hanging="1134"/>
        <w:rPr>
          <w:rFonts w:eastAsia="MS Mincho"/>
          <w:b/>
        </w:rPr>
      </w:pPr>
      <w:r w:rsidRPr="004B52D2">
        <w:rPr>
          <w:b/>
        </w:rPr>
        <w:t>11.1</w:t>
      </w:r>
      <w:r w:rsidRPr="004B52D2">
        <w:rPr>
          <w:sz w:val="32"/>
        </w:rPr>
        <w:tab/>
      </w:r>
      <w:r w:rsidRPr="004B52D2">
        <w:rPr>
          <w:b/>
        </w:rPr>
        <w:t>À compter de la date officielle d</w:t>
      </w:r>
      <w:r>
        <w:rPr>
          <w:b/>
        </w:rPr>
        <w:t>’</w:t>
      </w:r>
      <w:r w:rsidRPr="004B52D2">
        <w:rPr>
          <w:b/>
        </w:rPr>
        <w:t>entrée en vigueur de la série 01 d</w:t>
      </w:r>
      <w:r>
        <w:rPr>
          <w:b/>
        </w:rPr>
        <w:t>’</w:t>
      </w:r>
      <w:r w:rsidRPr="004B52D2">
        <w:rPr>
          <w:b/>
        </w:rPr>
        <w:t>amendements au présent Règlement, aucune Partie contractante appliquant ledit Règlement ne pourra refuser d</w:t>
      </w:r>
      <w:r>
        <w:rPr>
          <w:b/>
        </w:rPr>
        <w:t>’</w:t>
      </w:r>
      <w:r w:rsidRPr="004B52D2">
        <w:rPr>
          <w:b/>
        </w:rPr>
        <w:t>accorder ou refuser d</w:t>
      </w:r>
      <w:r>
        <w:rPr>
          <w:b/>
        </w:rPr>
        <w:t>’</w:t>
      </w:r>
      <w:r w:rsidRPr="004B52D2">
        <w:rPr>
          <w:b/>
        </w:rPr>
        <w:t>accepter une homologation de type au titre du présent Règlement modifié par la série 01 d</w:t>
      </w:r>
      <w:r>
        <w:rPr>
          <w:b/>
        </w:rPr>
        <w:t>’</w:t>
      </w:r>
      <w:r w:rsidRPr="004B52D2">
        <w:rPr>
          <w:b/>
        </w:rPr>
        <w:t>amendements.</w:t>
      </w:r>
    </w:p>
    <w:p w:rsidR="00785A40" w:rsidRPr="004B52D2" w:rsidRDefault="00785A40" w:rsidP="006F5492">
      <w:pPr>
        <w:pStyle w:val="SingleTxtG"/>
        <w:ind w:left="2268" w:hanging="1134"/>
        <w:rPr>
          <w:rFonts w:eastAsia="MS Mincho"/>
        </w:rPr>
      </w:pPr>
      <w:r w:rsidRPr="004B52D2">
        <w:rPr>
          <w:b/>
        </w:rPr>
        <w:t>11.2</w:t>
      </w:r>
      <w:r w:rsidRPr="004B52D2">
        <w:rPr>
          <w:sz w:val="32"/>
        </w:rPr>
        <w:tab/>
      </w:r>
      <w:r w:rsidRPr="00261FAA">
        <w:rPr>
          <w:b/>
        </w:rPr>
        <w:t>Même après l’entrée en vigueur de la série 01 d’amendements, les Parties contractantes appliquant le présent Règlement pourront continuer à délivrer des homologations de type et ne pourront refuser de délivrer des extensions d’homologation au titre du présent Règlement sous sa forme initiale.</w:t>
      </w:r>
    </w:p>
    <w:p w:rsidR="00785A40" w:rsidRPr="004B52D2" w:rsidRDefault="00785A40" w:rsidP="006F5492">
      <w:pPr>
        <w:pStyle w:val="SingleTxtG"/>
        <w:ind w:left="2268" w:hanging="1134"/>
        <w:rPr>
          <w:rFonts w:eastAsia="MS Mincho"/>
          <w:b/>
        </w:rPr>
      </w:pPr>
      <w:r w:rsidRPr="004B52D2">
        <w:rPr>
          <w:b/>
        </w:rPr>
        <w:t>11.3</w:t>
      </w:r>
      <w:r w:rsidRPr="004B52D2">
        <w:rPr>
          <w:sz w:val="32"/>
        </w:rPr>
        <w:tab/>
      </w:r>
      <w:r w:rsidRPr="004B52D2">
        <w:rPr>
          <w:b/>
        </w:rPr>
        <w:t>À compter du 1</w:t>
      </w:r>
      <w:r w:rsidRPr="004B52D2">
        <w:rPr>
          <w:b/>
          <w:vertAlign w:val="superscript"/>
        </w:rPr>
        <w:t>er</w:t>
      </w:r>
      <w:r w:rsidRPr="004B52D2">
        <w:rPr>
          <w:b/>
        </w:rPr>
        <w:t> septembre 2020, les Parties contractantes appliquant le présent Règlement ne seront plus tenues d</w:t>
      </w:r>
      <w:r>
        <w:rPr>
          <w:b/>
        </w:rPr>
        <w:t>’</w:t>
      </w:r>
      <w:r w:rsidRPr="004B52D2">
        <w:rPr>
          <w:b/>
        </w:rPr>
        <w:t xml:space="preserve">accepter des homologations de type délivrées au titre </w:t>
      </w:r>
      <w:r w:rsidR="003E52E2">
        <w:rPr>
          <w:b/>
        </w:rPr>
        <w:t>dudit Règlement sous sa forme initiale</w:t>
      </w:r>
      <w:r w:rsidRPr="004B52D2">
        <w:rPr>
          <w:b/>
        </w:rPr>
        <w:t>.</w:t>
      </w:r>
    </w:p>
    <w:p w:rsidR="00785A40" w:rsidRPr="004B52D2" w:rsidRDefault="00785A40" w:rsidP="006F5492">
      <w:pPr>
        <w:pStyle w:val="SingleTxtG"/>
        <w:ind w:left="2268" w:hanging="1134"/>
        <w:rPr>
          <w:rFonts w:eastAsia="MS Mincho"/>
        </w:rPr>
      </w:pPr>
      <w:r w:rsidRPr="004B52D2">
        <w:rPr>
          <w:b/>
        </w:rPr>
        <w:t>11.4</w:t>
      </w:r>
      <w:r w:rsidRPr="004B52D2">
        <w:rPr>
          <w:sz w:val="32"/>
        </w:rPr>
        <w:tab/>
      </w:r>
      <w:r w:rsidRPr="004B52D2">
        <w:rPr>
          <w:b/>
        </w:rPr>
        <w:t>Après le 1</w:t>
      </w:r>
      <w:r w:rsidRPr="004B52D2">
        <w:rPr>
          <w:b/>
          <w:vertAlign w:val="superscript"/>
        </w:rPr>
        <w:t>er</w:t>
      </w:r>
      <w:r w:rsidRPr="004B52D2">
        <w:rPr>
          <w:b/>
        </w:rPr>
        <w:t> septembre 2020, les Parties contractantes appliquant le présent Règlement devront continuer d</w:t>
      </w:r>
      <w:r>
        <w:rPr>
          <w:b/>
        </w:rPr>
        <w:t>’</w:t>
      </w:r>
      <w:r w:rsidRPr="004B52D2">
        <w:rPr>
          <w:b/>
        </w:rPr>
        <w:t xml:space="preserve">accepter les homologations de type délivrées avant cette date au titre </w:t>
      </w:r>
      <w:r w:rsidR="005D1EFD">
        <w:rPr>
          <w:b/>
        </w:rPr>
        <w:t>dudit Règlement</w:t>
      </w:r>
      <w:r w:rsidRPr="004B52D2">
        <w:rPr>
          <w:b/>
        </w:rPr>
        <w:t>.</w:t>
      </w:r>
      <w:r w:rsidRPr="004B52D2">
        <w:t>».</w:t>
      </w:r>
    </w:p>
    <w:p w:rsidR="00785A40" w:rsidRPr="004B52D2" w:rsidRDefault="00785A40" w:rsidP="006F5492">
      <w:pPr>
        <w:pStyle w:val="SingleTxtG"/>
        <w:keepNext/>
        <w:rPr>
          <w:rFonts w:eastAsia="MS Mincho"/>
          <w:b/>
        </w:rPr>
      </w:pPr>
      <w:r w:rsidRPr="004B52D2">
        <w:rPr>
          <w:sz w:val="32"/>
        </w:rPr>
        <w:br w:type="page"/>
      </w:r>
      <w:r w:rsidRPr="004B52D2">
        <w:rPr>
          <w:i/>
        </w:rPr>
        <w:lastRenderedPageBreak/>
        <w:t>Annexe 2</w:t>
      </w:r>
      <w:r w:rsidRPr="004B52D2">
        <w:t>,</w:t>
      </w:r>
      <w:r w:rsidRPr="004B52D2">
        <w:rPr>
          <w:i/>
        </w:rPr>
        <w:t xml:space="preserve"> </w:t>
      </w:r>
      <w:r w:rsidRPr="004B52D2">
        <w:t xml:space="preserve">modifier comme suit: </w:t>
      </w:r>
    </w:p>
    <w:p w:rsidR="00785A40" w:rsidRPr="004B52D2" w:rsidRDefault="00785A40" w:rsidP="005D1EFD">
      <w:pPr>
        <w:pStyle w:val="HChG"/>
        <w:rPr>
          <w:rFonts w:eastAsia="MS Mincho"/>
        </w:rPr>
      </w:pPr>
      <w:r w:rsidRPr="005D1EFD">
        <w:rPr>
          <w:b w:val="0"/>
          <w:sz w:val="20"/>
        </w:rPr>
        <w:t>«</w:t>
      </w:r>
      <w:r w:rsidRPr="004B52D2">
        <w:t>Annexe 2</w:t>
      </w:r>
    </w:p>
    <w:p w:rsidR="00785A40" w:rsidRPr="004B52D2" w:rsidRDefault="00785A40" w:rsidP="005D1EFD">
      <w:pPr>
        <w:pStyle w:val="HChG"/>
        <w:rPr>
          <w:rFonts w:eastAsia="MS Mincho"/>
        </w:rPr>
      </w:pPr>
      <w:r w:rsidRPr="004B52D2">
        <w:t xml:space="preserve"> </w:t>
      </w:r>
      <w:r w:rsidRPr="004B52D2">
        <w:rPr>
          <w:sz w:val="32"/>
        </w:rPr>
        <w:tab/>
      </w:r>
      <w:r w:rsidRPr="004B52D2">
        <w:rPr>
          <w:sz w:val="32"/>
        </w:rPr>
        <w:tab/>
      </w:r>
      <w:r w:rsidRPr="004B52D2">
        <w:t>Exemples de marques d</w:t>
      </w:r>
      <w:r>
        <w:t>’</w:t>
      </w:r>
      <w:r w:rsidRPr="004B52D2">
        <w:t>homologation</w:t>
      </w:r>
    </w:p>
    <w:p w:rsidR="00785A40" w:rsidRPr="004B52D2" w:rsidRDefault="00785A40" w:rsidP="00785A40">
      <w:pPr>
        <w:kinsoku/>
        <w:overflowPunct/>
        <w:autoSpaceDE/>
        <w:autoSpaceDN/>
        <w:adjustRightInd/>
        <w:snapToGrid/>
        <w:spacing w:after="120"/>
        <w:ind w:left="1134" w:right="1134"/>
        <w:jc w:val="both"/>
        <w:rPr>
          <w:rFonts w:eastAsia="MS Mincho"/>
        </w:rPr>
      </w:pPr>
      <w:r w:rsidRPr="004B52D2">
        <w:t>Modèle A</w:t>
      </w:r>
    </w:p>
    <w:p w:rsidR="00785A40" w:rsidRPr="004B52D2" w:rsidRDefault="00785A40" w:rsidP="00785A40">
      <w:pPr>
        <w:kinsoku/>
        <w:overflowPunct/>
        <w:autoSpaceDE/>
        <w:autoSpaceDN/>
        <w:adjustRightInd/>
        <w:snapToGrid/>
        <w:spacing w:after="120"/>
        <w:ind w:left="1134" w:right="1134"/>
        <w:jc w:val="both"/>
        <w:rPr>
          <w:rFonts w:eastAsia="MS Mincho"/>
        </w:rPr>
      </w:pPr>
      <w:r w:rsidRPr="004B52D2">
        <w:t>(Voir par. 4.4 du présent Règlement</w:t>
      </w:r>
      <w:r w:rsidR="005D1EFD">
        <w:t>.</w:t>
      </w:r>
      <w:r w:rsidRPr="004B52D2">
        <w:t>)</w:t>
      </w:r>
    </w:p>
    <w:p w:rsidR="00785A40" w:rsidRPr="004B52D2" w:rsidRDefault="00785A40" w:rsidP="005D1EFD">
      <w:pPr>
        <w:kinsoku/>
        <w:overflowPunct/>
        <w:autoSpaceDE/>
        <w:autoSpaceDN/>
        <w:adjustRightInd/>
        <w:snapToGrid/>
        <w:spacing w:after="120"/>
        <w:ind w:left="2268" w:right="1134" w:hanging="1134"/>
        <w:jc w:val="both"/>
        <w:rPr>
          <w:rFonts w:eastAsia="MS Mincho"/>
        </w:rPr>
      </w:pPr>
      <w:r w:rsidRPr="005D1EFD">
        <w:rPr>
          <w:rFonts w:eastAsia="MS Mincho"/>
          <w:noProof/>
          <w:bdr w:val="single" w:sz="4" w:space="0" w:color="auto"/>
          <w:lang w:val="en-GB" w:eastAsia="en-GB"/>
        </w:rPr>
        <w:drawing>
          <wp:inline distT="0" distB="0" distL="0" distR="0" wp14:anchorId="70CC756B" wp14:editId="6EC17C5C">
            <wp:extent cx="4669200" cy="1011600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5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9200" cy="101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A40" w:rsidRDefault="00785A40" w:rsidP="005D1EFD">
      <w:pPr>
        <w:pStyle w:val="SingleTxtG"/>
        <w:spacing w:before="240"/>
        <w:ind w:firstLine="567"/>
      </w:pPr>
      <w:r w:rsidRPr="004B52D2">
        <w:t>La marque d</w:t>
      </w:r>
      <w:r>
        <w:t>’</w:t>
      </w:r>
      <w:r w:rsidRPr="004B52D2">
        <w:t xml:space="preserve">homologation ci-dessus, apposée sur un véhicule, indique que le type de ce véhicule a été homologué </w:t>
      </w:r>
      <w:r w:rsidRPr="004B52D2">
        <w:rPr>
          <w:strike/>
        </w:rPr>
        <w:t>aux Pays-Bas (E 4)</w:t>
      </w:r>
      <w:r w:rsidRPr="004B52D2">
        <w:t xml:space="preserve"> </w:t>
      </w:r>
      <w:r w:rsidRPr="004B52D2">
        <w:rPr>
          <w:b/>
        </w:rPr>
        <w:t>en France (E2)</w:t>
      </w:r>
      <w:r w:rsidRPr="004B52D2">
        <w:t xml:space="preserve"> en ce qui concerne la protection des occupants en cas de choc avant, en application du Règlement </w:t>
      </w:r>
      <w:r w:rsidR="00613EA4">
        <w:rPr>
          <w:rFonts w:eastAsia="MS Mincho"/>
        </w:rPr>
        <w:t>n</w:t>
      </w:r>
      <w:r w:rsidR="00613EA4">
        <w:rPr>
          <w:rFonts w:eastAsia="MS Mincho"/>
          <w:vertAlign w:val="superscript"/>
        </w:rPr>
        <w:t>o</w:t>
      </w:r>
      <w:r w:rsidR="00613EA4">
        <w:t> </w:t>
      </w:r>
      <w:r w:rsidRPr="004B52D2">
        <w:rPr>
          <w:b/>
          <w:strike/>
        </w:rPr>
        <w:t>[</w:t>
      </w:r>
      <w:r w:rsidRPr="004B52D2">
        <w:rPr>
          <w:b/>
        </w:rPr>
        <w:t>13</w:t>
      </w:r>
      <w:r w:rsidRPr="004B52D2">
        <w:t>X</w:t>
      </w:r>
      <w:r w:rsidRPr="004B52D2">
        <w:rPr>
          <w:strike/>
        </w:rPr>
        <w:t>]</w:t>
      </w:r>
      <w:r w:rsidRPr="004B52D2">
        <w:t xml:space="preserve"> sous le numéro d</w:t>
      </w:r>
      <w:r>
        <w:t>’</w:t>
      </w:r>
      <w:r w:rsidRPr="004B52D2">
        <w:t>homologation </w:t>
      </w:r>
      <w:r w:rsidRPr="004B52D2">
        <w:rPr>
          <w:strike/>
        </w:rPr>
        <w:t>021424</w:t>
      </w:r>
      <w:r w:rsidRPr="004B52D2">
        <w:rPr>
          <w:b/>
        </w:rPr>
        <w:t xml:space="preserve"> 0</w:t>
      </w:r>
      <w:r w:rsidR="00613EA4">
        <w:rPr>
          <w:b/>
        </w:rPr>
        <w:t>1</w:t>
      </w:r>
      <w:r w:rsidRPr="004B52D2">
        <w:rPr>
          <w:b/>
        </w:rPr>
        <w:t>1424.</w:t>
      </w:r>
      <w:r w:rsidRPr="004B52D2">
        <w:t xml:space="preserve"> Le numéro d</w:t>
      </w:r>
      <w:r>
        <w:t>’</w:t>
      </w:r>
      <w:r w:rsidRPr="004B52D2">
        <w:t>homologation indique que l</w:t>
      </w:r>
      <w:r>
        <w:t>’</w:t>
      </w:r>
      <w:r w:rsidRPr="004B52D2">
        <w:t xml:space="preserve">homologation a été délivrée conformément aux prescriptions du Règlement </w:t>
      </w:r>
      <w:r w:rsidR="00613EA4">
        <w:rPr>
          <w:rFonts w:eastAsia="MS Mincho"/>
        </w:rPr>
        <w:t>n</w:t>
      </w:r>
      <w:r w:rsidR="00613EA4">
        <w:rPr>
          <w:rFonts w:eastAsia="MS Mincho"/>
          <w:vertAlign w:val="superscript"/>
        </w:rPr>
        <w:t>o</w:t>
      </w:r>
      <w:r w:rsidR="00613EA4">
        <w:t> </w:t>
      </w:r>
      <w:r w:rsidRPr="004B52D2">
        <w:rPr>
          <w:b/>
          <w:strike/>
        </w:rPr>
        <w:t>[</w:t>
      </w:r>
      <w:r w:rsidRPr="004B52D2">
        <w:rPr>
          <w:b/>
        </w:rPr>
        <w:t>13</w:t>
      </w:r>
      <w:r w:rsidRPr="004B52D2">
        <w:t>X</w:t>
      </w:r>
      <w:r w:rsidRPr="004B52D2">
        <w:rPr>
          <w:strike/>
        </w:rPr>
        <w:t>]</w:t>
      </w:r>
      <w:r w:rsidRPr="004B52D2">
        <w:t xml:space="preserve"> tel que modifié par la série 0</w:t>
      </w:r>
      <w:r w:rsidRPr="004B52D2">
        <w:rPr>
          <w:b/>
          <w:strike/>
        </w:rPr>
        <w:t>2</w:t>
      </w:r>
      <w:r w:rsidRPr="004B52D2">
        <w:rPr>
          <w:b/>
        </w:rPr>
        <w:t>1</w:t>
      </w:r>
      <w:r w:rsidRPr="004B52D2">
        <w:t xml:space="preserve"> d</w:t>
      </w:r>
      <w:r>
        <w:t>’</w:t>
      </w:r>
      <w:r w:rsidRPr="004B52D2">
        <w:t>amendements.</w:t>
      </w:r>
    </w:p>
    <w:p w:rsidR="00785A40" w:rsidRPr="00613EA4" w:rsidRDefault="00785A40" w:rsidP="00613EA4">
      <w:pPr>
        <w:pStyle w:val="SingleTxtG"/>
        <w:rPr>
          <w:rFonts w:eastAsia="MS Mincho"/>
        </w:rPr>
      </w:pPr>
      <w:r w:rsidRPr="00613EA4">
        <w:t>Modèle B</w:t>
      </w:r>
    </w:p>
    <w:p w:rsidR="00785A40" w:rsidRPr="00613EA4" w:rsidRDefault="00785A40" w:rsidP="000F7106">
      <w:pPr>
        <w:pStyle w:val="SingleTxtG"/>
        <w:spacing w:after="160"/>
        <w:rPr>
          <w:rFonts w:eastAsia="MS Mincho"/>
        </w:rPr>
      </w:pPr>
      <w:r w:rsidRPr="00613EA4">
        <w:t>(Voir par. 4.5 du présent Règlement</w:t>
      </w:r>
      <w:r w:rsidR="00613EA4">
        <w:t>.</w:t>
      </w:r>
      <w:r w:rsidRPr="00613EA4">
        <w:t>)</w:t>
      </w:r>
    </w:p>
    <w:p w:rsidR="00785A40" w:rsidRPr="004B52D2" w:rsidRDefault="00785A40" w:rsidP="00613EA4">
      <w:pPr>
        <w:widowControl w:val="0"/>
        <w:suppressAutoHyphens w:val="0"/>
        <w:kinsoku/>
        <w:overflowPunct/>
        <w:snapToGrid/>
        <w:ind w:left="1134"/>
        <w:jc w:val="both"/>
        <w:rPr>
          <w:rFonts w:eastAsia="MS Mincho"/>
          <w:kern w:val="2"/>
          <w:szCs w:val="22"/>
        </w:rPr>
      </w:pPr>
      <w:r w:rsidRPr="00613EA4">
        <w:rPr>
          <w:rFonts w:eastAsia="MS Mincho"/>
          <w:noProof/>
          <w:kern w:val="2"/>
          <w:szCs w:val="22"/>
          <w:bdr w:val="single" w:sz="4" w:space="0" w:color="auto"/>
          <w:lang w:val="en-GB" w:eastAsia="en-GB"/>
        </w:rPr>
        <w:drawing>
          <wp:inline distT="0" distB="0" distL="0" distR="0" wp14:anchorId="07F8E87B" wp14:editId="72FB7745">
            <wp:extent cx="4640400" cy="1270800"/>
            <wp:effectExtent l="0" t="0" r="8255" b="571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6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0400" cy="127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A40" w:rsidRDefault="00785A40" w:rsidP="00FE4F25">
      <w:pPr>
        <w:pStyle w:val="SingleTxtG"/>
        <w:spacing w:before="240"/>
        <w:ind w:firstLine="567"/>
      </w:pPr>
      <w:r w:rsidRPr="004B52D2">
        <w:t>La marque d</w:t>
      </w:r>
      <w:r>
        <w:t>’</w:t>
      </w:r>
      <w:r w:rsidRPr="004B52D2">
        <w:t>homologation ci-dessus, apposée sur un véhicule, indique que le type de ce véhicule a été homologué aux Pays-Bas (E 4), en application des Règlements n</w:t>
      </w:r>
      <w:r w:rsidRPr="004B52D2">
        <w:rPr>
          <w:vertAlign w:val="superscript"/>
        </w:rPr>
        <w:t>os</w:t>
      </w:r>
      <w:r w:rsidRPr="004B52D2">
        <w:t> [13X] et</w:t>
      </w:r>
      <w:r w:rsidR="00D85404">
        <w:t xml:space="preserve"> 11</w:t>
      </w:r>
      <w:r w:rsidRPr="00261FAA">
        <w:rPr>
          <w:rStyle w:val="FootnoteReference"/>
        </w:rPr>
        <w:footnoteReference w:id="3"/>
      </w:r>
      <w:r w:rsidR="00D85404">
        <w:t>.</w:t>
      </w:r>
      <w:r w:rsidRPr="004B52D2">
        <w:t xml:space="preserve"> Les deux premiers chiffres des numéros d</w:t>
      </w:r>
      <w:r>
        <w:t>’</w:t>
      </w:r>
      <w:r w:rsidRPr="004B52D2">
        <w:t>homologation signifient qu</w:t>
      </w:r>
      <w:r>
        <w:t>’</w:t>
      </w:r>
      <w:r w:rsidRPr="004B52D2">
        <w:t xml:space="preserve">aux dates où les homologations respectives ont été délivrées, le Règlement </w:t>
      </w:r>
      <w:r w:rsidR="002F60D8">
        <w:rPr>
          <w:rFonts w:eastAsia="MS Mincho"/>
        </w:rPr>
        <w:t>n</w:t>
      </w:r>
      <w:r w:rsidR="002F60D8">
        <w:rPr>
          <w:rFonts w:eastAsia="MS Mincho"/>
          <w:vertAlign w:val="superscript"/>
        </w:rPr>
        <w:t>o</w:t>
      </w:r>
      <w:r w:rsidR="002F60D8">
        <w:t> </w:t>
      </w:r>
      <w:r w:rsidRPr="004B52D2">
        <w:t xml:space="preserve">[13X] comprenait la série </w:t>
      </w:r>
      <w:r w:rsidRPr="004B52D2">
        <w:rPr>
          <w:strike/>
        </w:rPr>
        <w:t>02</w:t>
      </w:r>
      <w:r w:rsidRPr="00582063">
        <w:rPr>
          <w:strike/>
        </w:rPr>
        <w:t xml:space="preserve"> </w:t>
      </w:r>
      <w:r w:rsidRPr="004B52D2">
        <w:rPr>
          <w:b/>
        </w:rPr>
        <w:t>01</w:t>
      </w:r>
      <w:r w:rsidRPr="004B52D2">
        <w:t xml:space="preserve"> d</w:t>
      </w:r>
      <w:r>
        <w:t>’</w:t>
      </w:r>
      <w:r w:rsidRPr="004B52D2">
        <w:t xml:space="preserve">amendements et le Règlement </w:t>
      </w:r>
      <w:r w:rsidR="002F60D8">
        <w:rPr>
          <w:rFonts w:eastAsia="MS Mincho"/>
        </w:rPr>
        <w:t>n</w:t>
      </w:r>
      <w:r w:rsidR="002F60D8">
        <w:rPr>
          <w:rFonts w:eastAsia="MS Mincho"/>
          <w:vertAlign w:val="superscript"/>
        </w:rPr>
        <w:t>o</w:t>
      </w:r>
      <w:r w:rsidR="002F60D8">
        <w:t> </w:t>
      </w:r>
      <w:r w:rsidRPr="004B52D2">
        <w:t>11 la série 02 d</w:t>
      </w:r>
      <w:r>
        <w:t>’</w:t>
      </w:r>
      <w:r w:rsidRPr="004B52D2">
        <w:t>amendements.».</w:t>
      </w:r>
    </w:p>
    <w:p w:rsidR="00785A40" w:rsidRPr="004B52D2" w:rsidRDefault="00D85404" w:rsidP="00D85404">
      <w:pPr>
        <w:pStyle w:val="HChG"/>
        <w:rPr>
          <w:rFonts w:eastAsia="MS Mincho"/>
        </w:rPr>
      </w:pPr>
      <w:r>
        <w:br w:type="page"/>
      </w:r>
      <w:r w:rsidR="00785A40" w:rsidRPr="004B52D2">
        <w:rPr>
          <w:sz w:val="32"/>
        </w:rPr>
        <w:lastRenderedPageBreak/>
        <w:tab/>
      </w:r>
      <w:r w:rsidR="00785A40" w:rsidRPr="004B52D2">
        <w:t>II.</w:t>
      </w:r>
      <w:r w:rsidR="00785A40" w:rsidRPr="004B52D2">
        <w:rPr>
          <w:sz w:val="32"/>
        </w:rPr>
        <w:tab/>
      </w:r>
      <w:r w:rsidR="00785A40" w:rsidRPr="004B52D2">
        <w:t>Justification</w:t>
      </w:r>
    </w:p>
    <w:p w:rsidR="006F5492" w:rsidRPr="006F5492" w:rsidRDefault="00785A40" w:rsidP="006F5492">
      <w:pPr>
        <w:pStyle w:val="ParNoG"/>
        <w:rPr>
          <w:rFonts w:eastAsia="MS Mincho"/>
        </w:rPr>
      </w:pPr>
      <w:r w:rsidRPr="004B52D2">
        <w:t>La présente proposition vise à introduire la série 01 d</w:t>
      </w:r>
      <w:r>
        <w:t>’</w:t>
      </w:r>
      <w:r w:rsidRPr="004B52D2">
        <w:t xml:space="preserve">amendements dans le Règlement ONU [13X] afin de permettre aux Parties contractantes appliquant </w:t>
      </w:r>
      <w:r w:rsidR="00D85404">
        <w:t>ledit</w:t>
      </w:r>
      <w:r w:rsidRPr="004B52D2">
        <w:t xml:space="preserve"> Règlement d</w:t>
      </w:r>
      <w:r>
        <w:t>’</w:t>
      </w:r>
      <w:r w:rsidRPr="004B52D2">
        <w:t>avoir recours à l</w:t>
      </w:r>
      <w:r>
        <w:t>’</w:t>
      </w:r>
      <w:r w:rsidRPr="00261FAA">
        <w:t xml:space="preserve">essai de choc </w:t>
      </w:r>
      <w:r w:rsidR="00D85404">
        <w:t>a</w:t>
      </w:r>
      <w:r w:rsidR="000C3DBC">
        <w:t>van</w:t>
      </w:r>
      <w:r w:rsidR="00D85404">
        <w:t>t</w:t>
      </w:r>
      <w:r w:rsidRPr="00261FAA">
        <w:t xml:space="preserve"> sur toute la largeur d’une paroi rigide,</w:t>
      </w:r>
      <w:r w:rsidRPr="004B52D2">
        <w:t xml:space="preserve"> avec un mannequin femme Hybrid III du </w:t>
      </w:r>
      <w:r w:rsidR="00060578">
        <w:t>5</w:t>
      </w:r>
      <w:r w:rsidR="00060578" w:rsidRPr="00060578">
        <w:rPr>
          <w:vertAlign w:val="superscript"/>
        </w:rPr>
        <w:t>e</w:t>
      </w:r>
      <w:r w:rsidR="00060578">
        <w:t> </w:t>
      </w:r>
      <w:r w:rsidRPr="004B52D2">
        <w:t>centile doté d</w:t>
      </w:r>
      <w:r>
        <w:t>’</w:t>
      </w:r>
      <w:r w:rsidRPr="004B52D2">
        <w:t>un THCC de 34 mm et placé sur le siège passager.</w:t>
      </w:r>
    </w:p>
    <w:p w:rsidR="006F5492" w:rsidRPr="006F5492" w:rsidRDefault="00785A40" w:rsidP="00785A40">
      <w:pPr>
        <w:pStyle w:val="ParNoG"/>
        <w:rPr>
          <w:rFonts w:eastAsia="MS Mincho"/>
        </w:rPr>
      </w:pPr>
      <w:r w:rsidRPr="004B52D2">
        <w:t xml:space="preserve">Actuellement, il est convenu que le véhicule doit </w:t>
      </w:r>
      <w:r w:rsidR="00060578">
        <w:t xml:space="preserve">être soumis à </w:t>
      </w:r>
      <w:r w:rsidRPr="004B52D2">
        <w:t>essai et homologué conformément à la méthode décrite dans l</w:t>
      </w:r>
      <w:r>
        <w:t>’</w:t>
      </w:r>
      <w:r w:rsidRPr="004B52D2">
        <w:t>annexe 3, à l</w:t>
      </w:r>
      <w:r>
        <w:t>’</w:t>
      </w:r>
      <w:r w:rsidRPr="004B52D2">
        <w:t>aide d</w:t>
      </w:r>
      <w:r>
        <w:t>’</w:t>
      </w:r>
      <w:r w:rsidRPr="004B52D2">
        <w:t xml:space="preserve">un mannequin femme </w:t>
      </w:r>
      <w:r w:rsidR="00060578">
        <w:t>H</w:t>
      </w:r>
      <w:r w:rsidRPr="004B52D2">
        <w:t xml:space="preserve">ybrid III du </w:t>
      </w:r>
      <w:r w:rsidR="00060578">
        <w:t>5</w:t>
      </w:r>
      <w:r w:rsidR="00060578" w:rsidRPr="00060578">
        <w:rPr>
          <w:vertAlign w:val="superscript"/>
        </w:rPr>
        <w:t>e</w:t>
      </w:r>
      <w:r w:rsidR="00060578">
        <w:t> </w:t>
      </w:r>
      <w:r w:rsidRPr="004B52D2">
        <w:t xml:space="preserve">centile placé sur le siège passager. Deux valeurs sont toutefois proposées pour le THCC, à savoir 34 et 42 mm, et ce critère reste donc </w:t>
      </w:r>
      <w:r w:rsidR="00CE61C5">
        <w:t xml:space="preserve">à </w:t>
      </w:r>
      <w:r w:rsidRPr="004B52D2">
        <w:t>définir.</w:t>
      </w:r>
    </w:p>
    <w:p w:rsidR="00F9573C" w:rsidRPr="006F5492" w:rsidRDefault="00785A40" w:rsidP="00785A40">
      <w:pPr>
        <w:pStyle w:val="ParNoG"/>
        <w:rPr>
          <w:rFonts w:eastAsia="MS Mincho"/>
        </w:rPr>
      </w:pPr>
      <w:r w:rsidRPr="004B52D2">
        <w:t xml:space="preserve">Compte tenu des difficultés techniques actuelles, un THCC de 42 mm représente une étape </w:t>
      </w:r>
      <w:r w:rsidR="00CE61C5">
        <w:t>importante</w:t>
      </w:r>
      <w:r w:rsidRPr="004B52D2">
        <w:t xml:space="preserve"> vers un THCC de 34 mm. C</w:t>
      </w:r>
      <w:r>
        <w:t>’</w:t>
      </w:r>
      <w:r w:rsidRPr="004B52D2">
        <w:t xml:space="preserve">est pourquoi </w:t>
      </w:r>
      <w:r w:rsidR="00CE61C5">
        <w:t>il faudrait préconiser</w:t>
      </w:r>
      <w:r w:rsidRPr="004B52D2">
        <w:t xml:space="preserve"> l</w:t>
      </w:r>
      <w:r>
        <w:t>’</w:t>
      </w:r>
      <w:r w:rsidRPr="004B52D2">
        <w:t>approche en deux temps suggérée, ce qui encouragerait les Parties contractantes à s</w:t>
      </w:r>
      <w:r>
        <w:t>’</w:t>
      </w:r>
      <w:r w:rsidRPr="004B52D2">
        <w:t xml:space="preserve">efforcer de parvenir à </w:t>
      </w:r>
      <w:r w:rsidR="00CE61C5">
        <w:t>un THCC de 34 mm. L</w:t>
      </w:r>
      <w:r w:rsidRPr="004B52D2">
        <w:t>es séries 00 et 01 devraient en outre être adoptées simultanément.</w:t>
      </w:r>
    </w:p>
    <w:p w:rsidR="006F5492" w:rsidRPr="006F5492" w:rsidRDefault="006F5492" w:rsidP="006F5492">
      <w:pPr>
        <w:pStyle w:val="SingleTxtG"/>
        <w:spacing w:before="240" w:after="0"/>
        <w:jc w:val="center"/>
        <w:rPr>
          <w:rFonts w:eastAsia="MS Mincho"/>
          <w:u w:val="single"/>
        </w:rPr>
      </w:pPr>
      <w:r>
        <w:rPr>
          <w:rFonts w:eastAsia="MS Mincho"/>
          <w:u w:val="single"/>
        </w:rPr>
        <w:tab/>
      </w:r>
      <w:r>
        <w:rPr>
          <w:rFonts w:eastAsia="MS Mincho"/>
          <w:u w:val="single"/>
        </w:rPr>
        <w:tab/>
      </w:r>
      <w:r>
        <w:rPr>
          <w:rFonts w:eastAsia="MS Mincho"/>
          <w:u w:val="single"/>
        </w:rPr>
        <w:tab/>
      </w:r>
    </w:p>
    <w:sectPr w:rsidR="006F5492" w:rsidRPr="006F5492" w:rsidSect="00E87269">
      <w:headerReference w:type="even" r:id="rId11"/>
      <w:headerReference w:type="default" r:id="rId12"/>
      <w:footerReference w:type="even" r:id="rId13"/>
      <w:footerReference w:type="default" r:id="rId14"/>
      <w:footerReference w:type="first" r:id="rId15"/>
      <w:endnotePr>
        <w:numFmt w:val="decimal"/>
      </w:endnotePr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5F4" w:rsidRDefault="00B805F4" w:rsidP="00F95C08">
      <w:pPr>
        <w:spacing w:line="240" w:lineRule="auto"/>
      </w:pPr>
    </w:p>
  </w:endnote>
  <w:endnote w:type="continuationSeparator" w:id="0">
    <w:p w:rsidR="00B805F4" w:rsidRPr="00AC3823" w:rsidRDefault="00B805F4" w:rsidP="00AC3823">
      <w:pPr>
        <w:pStyle w:val="Footer"/>
      </w:pPr>
    </w:p>
  </w:endnote>
  <w:endnote w:type="continuationNotice" w:id="1">
    <w:p w:rsidR="00B805F4" w:rsidRDefault="00B805F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269" w:rsidRPr="00E87269" w:rsidRDefault="00E87269" w:rsidP="00E87269">
    <w:pPr>
      <w:pStyle w:val="Footer"/>
      <w:tabs>
        <w:tab w:val="right" w:pos="9638"/>
      </w:tabs>
    </w:pPr>
    <w:r w:rsidRPr="00E87269">
      <w:rPr>
        <w:b/>
        <w:sz w:val="18"/>
      </w:rPr>
      <w:fldChar w:fldCharType="begin"/>
    </w:r>
    <w:r w:rsidRPr="00E87269">
      <w:rPr>
        <w:b/>
        <w:sz w:val="18"/>
      </w:rPr>
      <w:instrText xml:space="preserve"> PAGE  \* MERGEFORMAT </w:instrText>
    </w:r>
    <w:r w:rsidRPr="00E87269">
      <w:rPr>
        <w:b/>
        <w:sz w:val="18"/>
      </w:rPr>
      <w:fldChar w:fldCharType="separate"/>
    </w:r>
    <w:r w:rsidR="008131B3">
      <w:rPr>
        <w:b/>
        <w:noProof/>
        <w:sz w:val="18"/>
      </w:rPr>
      <w:t>4</w:t>
    </w:r>
    <w:r w:rsidRPr="00E87269">
      <w:rPr>
        <w:b/>
        <w:sz w:val="18"/>
      </w:rPr>
      <w:fldChar w:fldCharType="end"/>
    </w:r>
    <w:r>
      <w:rPr>
        <w:b/>
        <w:sz w:val="18"/>
      </w:rPr>
      <w:tab/>
    </w:r>
    <w:r>
      <w:t>GE.15-04076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269" w:rsidRPr="00E87269" w:rsidRDefault="00E87269" w:rsidP="00E87269">
    <w:pPr>
      <w:pStyle w:val="Footer"/>
      <w:tabs>
        <w:tab w:val="right" w:pos="9638"/>
      </w:tabs>
      <w:rPr>
        <w:b/>
        <w:sz w:val="18"/>
      </w:rPr>
    </w:pPr>
    <w:r>
      <w:t>GE.15-04076</w:t>
    </w:r>
    <w:r>
      <w:tab/>
    </w:r>
    <w:r w:rsidRPr="00E87269">
      <w:rPr>
        <w:b/>
        <w:sz w:val="18"/>
      </w:rPr>
      <w:fldChar w:fldCharType="begin"/>
    </w:r>
    <w:r w:rsidRPr="00E87269">
      <w:rPr>
        <w:b/>
        <w:sz w:val="18"/>
      </w:rPr>
      <w:instrText xml:space="preserve"> PAGE  \* MERGEFORMAT </w:instrText>
    </w:r>
    <w:r w:rsidRPr="00E87269">
      <w:rPr>
        <w:b/>
        <w:sz w:val="18"/>
      </w:rPr>
      <w:fldChar w:fldCharType="separate"/>
    </w:r>
    <w:r w:rsidR="008131B3">
      <w:rPr>
        <w:b/>
        <w:noProof/>
        <w:sz w:val="18"/>
      </w:rPr>
      <w:t>3</w:t>
    </w:r>
    <w:r w:rsidRPr="00E87269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0FA" w:rsidRPr="00E87269" w:rsidRDefault="00E87269" w:rsidP="00E87269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0" wp14:anchorId="303C8210" wp14:editId="1C566ABE">
          <wp:simplePos x="0" y="0"/>
          <wp:positionH relativeFrom="margin">
            <wp:posOffset>4319905</wp:posOffset>
          </wp:positionH>
          <wp:positionV relativeFrom="margin">
            <wp:posOffset>8279765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15-04076  (F)</w:t>
    </w:r>
    <w:r w:rsidR="005E0C23">
      <w:rPr>
        <w:sz w:val="20"/>
      </w:rPr>
      <w:t xml:space="preserve">    080415    080415</w:t>
    </w:r>
    <w:r>
      <w:rPr>
        <w:sz w:val="20"/>
      </w:rPr>
      <w:br/>
    </w:r>
    <w:r w:rsidRPr="00E87269">
      <w:rPr>
        <w:rFonts w:ascii="C39T30Lfz" w:hAnsi="C39T30Lfz"/>
        <w:sz w:val="56"/>
      </w:rPr>
      <w:t></w:t>
    </w:r>
    <w:r w:rsidRPr="00E87269">
      <w:rPr>
        <w:rFonts w:ascii="C39T30Lfz" w:hAnsi="C39T30Lfz"/>
        <w:sz w:val="56"/>
      </w:rPr>
      <w:t></w:t>
    </w:r>
    <w:r w:rsidRPr="00E87269">
      <w:rPr>
        <w:rFonts w:ascii="C39T30Lfz" w:hAnsi="C39T30Lfz"/>
        <w:sz w:val="56"/>
      </w:rPr>
      <w:t></w:t>
    </w:r>
    <w:r w:rsidRPr="00E87269">
      <w:rPr>
        <w:rFonts w:ascii="C39T30Lfz" w:hAnsi="C39T30Lfz"/>
        <w:sz w:val="56"/>
      </w:rPr>
      <w:t></w:t>
    </w:r>
    <w:r w:rsidRPr="00E87269">
      <w:rPr>
        <w:rFonts w:ascii="C39T30Lfz" w:hAnsi="C39T30Lfz"/>
        <w:sz w:val="56"/>
      </w:rPr>
      <w:t></w:t>
    </w:r>
    <w:r w:rsidRPr="00E87269">
      <w:rPr>
        <w:rFonts w:ascii="C39T30Lfz" w:hAnsi="C39T30Lfz"/>
        <w:sz w:val="56"/>
      </w:rPr>
      <w:t></w:t>
    </w:r>
    <w:r w:rsidRPr="00E87269">
      <w:rPr>
        <w:rFonts w:ascii="C39T30Lfz" w:hAnsi="C39T30Lfz"/>
        <w:sz w:val="56"/>
      </w:rPr>
      <w:t></w:t>
    </w:r>
    <w:r w:rsidRPr="00E87269">
      <w:rPr>
        <w:rFonts w:ascii="C39T30Lfz" w:hAnsi="C39T30Lfz"/>
        <w:sz w:val="56"/>
      </w:rPr>
      <w:t></w:t>
    </w:r>
    <w:r w:rsidRPr="00E87269">
      <w:rPr>
        <w:rFonts w:ascii="C39T30Lfz" w:hAnsi="C39T30Lfz"/>
        <w:sz w:val="56"/>
      </w:rPr>
      <w:t></w:t>
    </w:r>
    <w:r>
      <w:rPr>
        <w:noProof/>
        <w:sz w:val="20"/>
        <w:lang w:val="en-GB"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8027670</wp:posOffset>
          </wp:positionV>
          <wp:extent cx="640080" cy="640080"/>
          <wp:effectExtent l="0" t="0" r="7620" b="7620"/>
          <wp:wrapNone/>
          <wp:docPr id="3" name="Image 1" descr="http://undocs.org/m2/QRCode.ashx?DS=ECE/TRANS/WP.29/GRSP/2015/12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.ashx?DS=ECE/TRANS/WP.29/GRSP/2015/12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5F4" w:rsidRPr="00AC3823" w:rsidRDefault="00B805F4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B805F4" w:rsidRPr="00AC3823" w:rsidRDefault="00B805F4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B805F4" w:rsidRPr="00AC3823" w:rsidRDefault="00B805F4">
      <w:pPr>
        <w:spacing w:line="240" w:lineRule="auto"/>
        <w:rPr>
          <w:sz w:val="2"/>
          <w:szCs w:val="2"/>
        </w:rPr>
      </w:pPr>
    </w:p>
  </w:footnote>
  <w:footnote w:id="2">
    <w:p w:rsidR="005E0C23" w:rsidRPr="005E0C23" w:rsidRDefault="005E0C23">
      <w:pPr>
        <w:pStyle w:val="FootnoteText"/>
      </w:pPr>
      <w:r>
        <w:rPr>
          <w:rStyle w:val="FootnoteReference"/>
        </w:rPr>
        <w:tab/>
      </w:r>
      <w:r w:rsidRPr="005E0C23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>
        <w:t>Conformément au programme de travail du Comité des transports intérieurs pour la période 2012</w:t>
      </w:r>
      <w:r>
        <w:noBreakHyphen/>
        <w:t>2016 (ECE/TRANS/224, par. 94, et ECE/TRANS/2012/12, activité 02.4), le Forum mondial a pour mission d’élaborer, d’harmoniser et de mettre à jour les Règlements en vue d’améliorer les caractéristiques fonctionnelles des véhicules. Le présent document est soumis en vertu de ce mandat.</w:t>
      </w:r>
    </w:p>
  </w:footnote>
  <w:footnote w:id="3">
    <w:p w:rsidR="00785A40" w:rsidRPr="00D85404" w:rsidRDefault="00785A40" w:rsidP="00D85404">
      <w:pPr>
        <w:pStyle w:val="FootnoteText"/>
      </w:pPr>
      <w:r>
        <w:tab/>
      </w:r>
      <w:r>
        <w:rPr>
          <w:rStyle w:val="FootnoteReference"/>
        </w:rPr>
        <w:footnoteRef/>
      </w:r>
      <w:r>
        <w:tab/>
        <w:t>Le second numéro n’est donné qu’à titre d’exemple.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269" w:rsidRPr="00E87269" w:rsidRDefault="00E87269">
    <w:pPr>
      <w:pStyle w:val="Header"/>
    </w:pPr>
    <w:r>
      <w:t>ECE/TRANS/WP.29/GRSP/2015/12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269" w:rsidRPr="00E87269" w:rsidRDefault="00E87269" w:rsidP="00E87269">
    <w:pPr>
      <w:pStyle w:val="Header"/>
      <w:jc w:val="right"/>
    </w:pPr>
    <w:r>
      <w:t>ECE/TRANS/WP.29/GRSP/2015/12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5F4"/>
    <w:rsid w:val="00017F94"/>
    <w:rsid w:val="00023842"/>
    <w:rsid w:val="000334F9"/>
    <w:rsid w:val="00060578"/>
    <w:rsid w:val="0007796D"/>
    <w:rsid w:val="000B7790"/>
    <w:rsid w:val="000C3DBC"/>
    <w:rsid w:val="000F7106"/>
    <w:rsid w:val="00111F2F"/>
    <w:rsid w:val="0014365E"/>
    <w:rsid w:val="00143C66"/>
    <w:rsid w:val="00176178"/>
    <w:rsid w:val="001E7EE1"/>
    <w:rsid w:val="001F525A"/>
    <w:rsid w:val="00223272"/>
    <w:rsid w:val="0024779E"/>
    <w:rsid w:val="00257168"/>
    <w:rsid w:val="002744B8"/>
    <w:rsid w:val="002832AC"/>
    <w:rsid w:val="002D7C93"/>
    <w:rsid w:val="002F60D8"/>
    <w:rsid w:val="00305801"/>
    <w:rsid w:val="003916DE"/>
    <w:rsid w:val="003E52E2"/>
    <w:rsid w:val="00441C3B"/>
    <w:rsid w:val="00446FE5"/>
    <w:rsid w:val="00452396"/>
    <w:rsid w:val="004837D8"/>
    <w:rsid w:val="004E468C"/>
    <w:rsid w:val="005505B7"/>
    <w:rsid w:val="00573BE5"/>
    <w:rsid w:val="00582063"/>
    <w:rsid w:val="00586ED3"/>
    <w:rsid w:val="00596AA9"/>
    <w:rsid w:val="005D1EFD"/>
    <w:rsid w:val="005E0C23"/>
    <w:rsid w:val="00613EA4"/>
    <w:rsid w:val="006F5492"/>
    <w:rsid w:val="0071601D"/>
    <w:rsid w:val="00785A40"/>
    <w:rsid w:val="007A62E6"/>
    <w:rsid w:val="007B4C85"/>
    <w:rsid w:val="007F20FA"/>
    <w:rsid w:val="0080684C"/>
    <w:rsid w:val="008131B3"/>
    <w:rsid w:val="00871C75"/>
    <w:rsid w:val="008776DC"/>
    <w:rsid w:val="009705C8"/>
    <w:rsid w:val="009C1CF4"/>
    <w:rsid w:val="009D560E"/>
    <w:rsid w:val="009F6B74"/>
    <w:rsid w:val="00A30353"/>
    <w:rsid w:val="00A97EC3"/>
    <w:rsid w:val="00AC3823"/>
    <w:rsid w:val="00AE246D"/>
    <w:rsid w:val="00AE323C"/>
    <w:rsid w:val="00AF0CB5"/>
    <w:rsid w:val="00B00181"/>
    <w:rsid w:val="00B00B0D"/>
    <w:rsid w:val="00B05A47"/>
    <w:rsid w:val="00B11063"/>
    <w:rsid w:val="00B765F7"/>
    <w:rsid w:val="00B805F4"/>
    <w:rsid w:val="00BA0CA9"/>
    <w:rsid w:val="00BD1DCE"/>
    <w:rsid w:val="00C02897"/>
    <w:rsid w:val="00CE61C5"/>
    <w:rsid w:val="00D3439C"/>
    <w:rsid w:val="00D85404"/>
    <w:rsid w:val="00DB1831"/>
    <w:rsid w:val="00DD3BFD"/>
    <w:rsid w:val="00DF6678"/>
    <w:rsid w:val="00E85C74"/>
    <w:rsid w:val="00E87269"/>
    <w:rsid w:val="00EA6547"/>
    <w:rsid w:val="00EF2E22"/>
    <w:rsid w:val="00F35BAF"/>
    <w:rsid w:val="00F660DF"/>
    <w:rsid w:val="00F94664"/>
    <w:rsid w:val="00F9573C"/>
    <w:rsid w:val="00F95C08"/>
    <w:rsid w:val="00FE4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uiPriority="10" w:unhideWhenUsed="0" w:qFormat="1"/>
    <w:lsdException w:name="Default Paragraph Font" w:uiPriority="0"/>
    <w:lsdException w:name="Subtitle" w:uiPriority="11" w:unhideWhenUsed="0" w:qFormat="1"/>
    <w:lsdException w:name="Hyperlink" w:uiPriority="0"/>
    <w:lsdException w:name="FollowedHyperlink" w:uiPriority="0"/>
    <w:lsdException w:name="Strong" w:uiPriority="22" w:unhideWhenUsed="0" w:qFormat="1"/>
    <w:lsdException w:name="Emphasis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2AC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8068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80684C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80684C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DF6678"/>
    <w:pPr>
      <w:numPr>
        <w:numId w:val="3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023842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4837D8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4837D8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80684C"/>
  </w:style>
  <w:style w:type="character" w:customStyle="1" w:styleId="EndnoteTextChar">
    <w:name w:val="Endnote Text Char"/>
    <w:aliases w:val="2_G Char"/>
    <w:basedOn w:val="DefaultParagraphFont"/>
    <w:link w:val="End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uiPriority="10" w:unhideWhenUsed="0" w:qFormat="1"/>
    <w:lsdException w:name="Default Paragraph Font" w:uiPriority="0"/>
    <w:lsdException w:name="Subtitle" w:uiPriority="11" w:unhideWhenUsed="0" w:qFormat="1"/>
    <w:lsdException w:name="Hyperlink" w:uiPriority="0"/>
    <w:lsdException w:name="FollowedHyperlink" w:uiPriority="0"/>
    <w:lsdException w:name="Strong" w:uiPriority="22" w:unhideWhenUsed="0" w:qFormat="1"/>
    <w:lsdException w:name="Emphasis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2AC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8068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80684C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80684C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DF6678"/>
    <w:pPr>
      <w:numPr>
        <w:numId w:val="3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023842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4837D8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4837D8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80684C"/>
  </w:style>
  <w:style w:type="character" w:customStyle="1" w:styleId="EndnoteTextChar">
    <w:name w:val="Endnote Text Char"/>
    <w:aliases w:val="2_G Char"/>
    <w:basedOn w:val="DefaultParagraphFont"/>
    <w:link w:val="End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gif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862</Words>
  <Characters>4918</Characters>
  <Application>Microsoft Office Word</Application>
  <DocSecurity>4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ECE/TRANS/WP.29/GRSP/2015/12</vt:lpstr>
      <vt:lpstr>ECE/TRANS/WP.29/GRSP/2015/12</vt:lpstr>
    </vt:vector>
  </TitlesOfParts>
  <Company>DCM</Company>
  <LinksUpToDate>false</LinksUpToDate>
  <CharactersWithSpaces>5769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ECE/TRANS/WP.29/GRSP/2015/12</dc:title>
  <dc:subject>Final</dc:subject>
  <dc:creator>Nath V.</dc:creator>
  <cp:lastModifiedBy>07 series second set of changes</cp:lastModifiedBy>
  <cp:revision>2</cp:revision>
  <cp:lastPrinted>2015-04-08T14:12:00Z</cp:lastPrinted>
  <dcterms:created xsi:type="dcterms:W3CDTF">2015-04-09T08:09:00Z</dcterms:created>
  <dcterms:modified xsi:type="dcterms:W3CDTF">2015-04-09T08:09:00Z</dcterms:modified>
</cp:coreProperties>
</file>