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62ADB" w:rsidTr="00197771">
        <w:tc>
          <w:tcPr>
            <w:tcW w:w="4395" w:type="dxa"/>
          </w:tcPr>
          <w:p w:rsidR="00880B8B" w:rsidRPr="00880B8B" w:rsidRDefault="00852FA8" w:rsidP="00173972">
            <w:pPr>
              <w:pStyle w:val="Header"/>
              <w:rPr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121027">
              <w:rPr>
                <w:sz w:val="20"/>
                <w:szCs w:val="20"/>
                <w:lang w:val="en-GB"/>
              </w:rPr>
              <w:t xml:space="preserve">expert from </w:t>
            </w:r>
            <w:r w:rsidR="00173972">
              <w:rPr>
                <w:sz w:val="20"/>
                <w:szCs w:val="20"/>
                <w:lang w:val="en-GB"/>
              </w:rPr>
              <w:t>OICA</w:t>
            </w:r>
            <w:r w:rsidR="002126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6A522A" w:rsidRPr="00262ADB" w:rsidRDefault="006A522A" w:rsidP="00915091">
            <w:pPr>
              <w:ind w:left="1593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0967B4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0967B4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EC784A">
              <w:rPr>
                <w:b/>
                <w:bCs/>
                <w:sz w:val="20"/>
                <w:szCs w:val="20"/>
                <w:lang w:val="en-GB"/>
              </w:rPr>
              <w:t>8</w:t>
            </w:r>
            <w:r w:rsidRPr="000967B4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32785E">
              <w:rPr>
                <w:b/>
                <w:bCs/>
                <w:sz w:val="20"/>
                <w:szCs w:val="20"/>
                <w:lang w:val="en-GB"/>
              </w:rPr>
              <w:t>24</w:t>
            </w:r>
          </w:p>
          <w:p w:rsidR="006A522A" w:rsidRPr="00262ADB" w:rsidRDefault="007B0133" w:rsidP="00915091">
            <w:pPr>
              <w:pStyle w:val="Header"/>
              <w:ind w:left="159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EC784A">
              <w:rPr>
                <w:sz w:val="20"/>
                <w:szCs w:val="20"/>
                <w:lang w:val="en-GB"/>
              </w:rPr>
              <w:t>8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EC784A">
              <w:rPr>
                <w:sz w:val="20"/>
                <w:szCs w:val="20"/>
                <w:lang w:val="en-GB"/>
              </w:rPr>
              <w:t>4-8</w:t>
            </w:r>
            <w:r w:rsidR="000967B4">
              <w:rPr>
                <w:sz w:val="20"/>
                <w:szCs w:val="20"/>
                <w:lang w:val="en-GB"/>
              </w:rPr>
              <w:t xml:space="preserve"> </w:t>
            </w:r>
            <w:r w:rsidR="00EC784A">
              <w:rPr>
                <w:sz w:val="20"/>
                <w:szCs w:val="20"/>
                <w:lang w:val="en-GB"/>
              </w:rPr>
              <w:t>May</w:t>
            </w:r>
            <w:r w:rsidR="00121027" w:rsidRPr="00121027">
              <w:rPr>
                <w:sz w:val="20"/>
                <w:szCs w:val="20"/>
                <w:lang w:val="en-GB"/>
              </w:rPr>
              <w:t xml:space="preserve"> 201</w:t>
            </w:r>
            <w:r w:rsidR="00EC784A">
              <w:rPr>
                <w:sz w:val="20"/>
                <w:szCs w:val="20"/>
                <w:lang w:val="en-GB"/>
              </w:rPr>
              <w:t>5</w:t>
            </w:r>
          </w:p>
          <w:p w:rsidR="006A522A" w:rsidRPr="00262ADB" w:rsidRDefault="003D4BFE" w:rsidP="00173972">
            <w:pPr>
              <w:pStyle w:val="Header"/>
              <w:ind w:left="1593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>genda</w:t>
            </w:r>
            <w:proofErr w:type="gramEnd"/>
            <w:r w:rsidR="00DB209F" w:rsidRPr="00262ADB">
              <w:rPr>
                <w:sz w:val="20"/>
                <w:szCs w:val="20"/>
                <w:lang w:val="en-GB"/>
              </w:rPr>
              <w:t xml:space="preserve"> item </w:t>
            </w:r>
            <w:r w:rsidR="00173972">
              <w:rPr>
                <w:sz w:val="20"/>
                <w:szCs w:val="20"/>
                <w:lang w:val="en-GB"/>
              </w:rPr>
              <w:t>5</w:t>
            </w:r>
            <w:r w:rsidR="00960FD8">
              <w:rPr>
                <w:sz w:val="20"/>
                <w:szCs w:val="20"/>
                <w:lang w:val="en-GB"/>
              </w:rPr>
              <w:t>.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E3E34" w:rsidRPr="00960FD8" w:rsidRDefault="00CE3E34" w:rsidP="00CE3E34">
      <w:pPr>
        <w:pStyle w:val="HChG"/>
        <w:tabs>
          <w:tab w:val="clear" w:pos="851"/>
        </w:tabs>
        <w:ind w:firstLine="0"/>
        <w:jc w:val="both"/>
        <w:rPr>
          <w:sz w:val="24"/>
          <w:szCs w:val="24"/>
        </w:rPr>
      </w:pPr>
      <w:r w:rsidRPr="00960FD8">
        <w:rPr>
          <w:sz w:val="24"/>
          <w:szCs w:val="24"/>
        </w:rPr>
        <w:t>Proposal for Supplement 2 to the 0</w:t>
      </w:r>
      <w:r w:rsidR="00173972">
        <w:rPr>
          <w:sz w:val="24"/>
          <w:szCs w:val="24"/>
        </w:rPr>
        <w:t>4</w:t>
      </w:r>
      <w:r w:rsidRPr="00960FD8">
        <w:rPr>
          <w:sz w:val="24"/>
          <w:szCs w:val="24"/>
        </w:rPr>
        <w:t xml:space="preserve"> series of amendments to Regulation No. </w:t>
      </w:r>
      <w:r w:rsidR="00173972">
        <w:rPr>
          <w:sz w:val="24"/>
          <w:szCs w:val="24"/>
        </w:rPr>
        <w:t>46</w:t>
      </w:r>
      <w:r w:rsidRPr="00960FD8">
        <w:rPr>
          <w:sz w:val="24"/>
          <w:szCs w:val="24"/>
        </w:rPr>
        <w:t xml:space="preserve"> (</w:t>
      </w:r>
      <w:r w:rsidR="00173972">
        <w:rPr>
          <w:sz w:val="24"/>
          <w:szCs w:val="24"/>
        </w:rPr>
        <w:t>Devices for indirect vision</w:t>
      </w:r>
      <w:r w:rsidRPr="00960FD8">
        <w:rPr>
          <w:sz w:val="24"/>
          <w:szCs w:val="24"/>
        </w:rPr>
        <w:t>)</w:t>
      </w:r>
    </w:p>
    <w:p w:rsidR="00CE3E34" w:rsidRPr="00960FD8" w:rsidRDefault="00CE3E34" w:rsidP="00960FD8">
      <w:pPr>
        <w:ind w:left="1134" w:right="593"/>
        <w:jc w:val="both"/>
        <w:rPr>
          <w:lang w:val="en-GB"/>
        </w:rPr>
      </w:pPr>
      <w:r w:rsidRPr="00960FD8">
        <w:rPr>
          <w:lang w:val="en-GB"/>
        </w:rPr>
        <w:t xml:space="preserve">The text reproduced below was prepared by the expert from </w:t>
      </w:r>
      <w:r w:rsidR="00173972">
        <w:rPr>
          <w:lang w:val="en-GB"/>
        </w:rPr>
        <w:t>OICA</w:t>
      </w:r>
      <w:r w:rsidRPr="00960FD8">
        <w:rPr>
          <w:lang w:val="en-GB"/>
        </w:rPr>
        <w:t xml:space="preserve">. It </w:t>
      </w:r>
      <w:r w:rsidR="00173972">
        <w:rPr>
          <w:lang w:val="en-GB"/>
        </w:rPr>
        <w:t xml:space="preserve">clarifies the provisions for fully integrated surveillance mirrors. </w:t>
      </w:r>
      <w:r w:rsidRPr="00960FD8">
        <w:rPr>
          <w:lang w:val="en-GB"/>
        </w:rPr>
        <w:t xml:space="preserve">The modifications to the current text of UN Regulation No. </w:t>
      </w:r>
      <w:r w:rsidR="00173972">
        <w:rPr>
          <w:lang w:val="en-GB"/>
        </w:rPr>
        <w:t>46</w:t>
      </w:r>
      <w:r w:rsidRPr="00960FD8">
        <w:rPr>
          <w:lang w:val="en-GB"/>
        </w:rPr>
        <w:t xml:space="preserve"> are marked in bold for new characters.</w:t>
      </w:r>
    </w:p>
    <w:p w:rsidR="00CE3E34" w:rsidRPr="00960FD8" w:rsidRDefault="00CE3E34" w:rsidP="00CE3E34">
      <w:pPr>
        <w:spacing w:before="360" w:after="240"/>
        <w:ind w:left="1134" w:right="1134" w:hanging="567"/>
        <w:jc w:val="both"/>
        <w:rPr>
          <w:b/>
          <w:sz w:val="28"/>
          <w:lang w:val="en-GB"/>
        </w:rPr>
      </w:pPr>
      <w:r w:rsidRPr="00960FD8">
        <w:rPr>
          <w:b/>
          <w:sz w:val="28"/>
          <w:lang w:val="en-GB"/>
        </w:rPr>
        <w:t>I.</w:t>
      </w:r>
      <w:r w:rsidRPr="00960FD8">
        <w:rPr>
          <w:b/>
          <w:sz w:val="28"/>
          <w:lang w:val="en-GB"/>
        </w:rPr>
        <w:tab/>
        <w:t>Proposal</w:t>
      </w:r>
    </w:p>
    <w:p w:rsidR="00173972" w:rsidRPr="0032785E" w:rsidRDefault="00173972" w:rsidP="00173972">
      <w:pPr>
        <w:spacing w:after="120"/>
        <w:ind w:left="2268" w:right="1134" w:hanging="1134"/>
        <w:jc w:val="both"/>
        <w:rPr>
          <w:lang w:val="en-GB"/>
        </w:rPr>
      </w:pPr>
      <w:r>
        <w:rPr>
          <w:i/>
          <w:lang w:val="en-GB"/>
        </w:rPr>
        <w:t>Paragraph</w:t>
      </w:r>
      <w:r w:rsidR="0032785E">
        <w:rPr>
          <w:i/>
          <w:lang w:val="en-GB"/>
        </w:rPr>
        <w:t xml:space="preserve"> </w:t>
      </w:r>
      <w:r>
        <w:rPr>
          <w:i/>
          <w:lang w:val="en-GB"/>
        </w:rPr>
        <w:t>15.2.1.2</w:t>
      </w:r>
      <w:r w:rsidRPr="0032785E">
        <w:rPr>
          <w:lang w:val="en-GB"/>
        </w:rPr>
        <w:t>., amend to read:</w:t>
      </w:r>
    </w:p>
    <w:p w:rsidR="00173972" w:rsidRPr="00AE43E6" w:rsidRDefault="0032785E" w:rsidP="00173972">
      <w:pPr>
        <w:pStyle w:val="para"/>
        <w:rPr>
          <w:sz w:val="24"/>
          <w:szCs w:val="24"/>
        </w:rPr>
      </w:pPr>
      <w:r w:rsidRPr="00AE43E6">
        <w:rPr>
          <w:sz w:val="24"/>
          <w:szCs w:val="24"/>
        </w:rPr>
        <w:t>"</w:t>
      </w:r>
      <w:r w:rsidR="00173972" w:rsidRPr="00AE43E6">
        <w:rPr>
          <w:sz w:val="24"/>
          <w:szCs w:val="24"/>
        </w:rPr>
        <w:t>15.2.1.2.</w:t>
      </w:r>
      <w:r w:rsidR="00173972" w:rsidRPr="00AE43E6">
        <w:rPr>
          <w:sz w:val="24"/>
          <w:szCs w:val="24"/>
        </w:rPr>
        <w:tab/>
        <w:t>The provisions of this Regulation do not apply to the surveillan</w:t>
      </w:r>
      <w:r w:rsidR="00AE43E6">
        <w:rPr>
          <w:sz w:val="24"/>
          <w:szCs w:val="24"/>
        </w:rPr>
        <w:t>ce mir</w:t>
      </w:r>
      <w:bookmarkStart w:id="0" w:name="_GoBack"/>
      <w:bookmarkEnd w:id="0"/>
      <w:r w:rsidR="00AE43E6">
        <w:rPr>
          <w:sz w:val="24"/>
          <w:szCs w:val="24"/>
        </w:rPr>
        <w:t xml:space="preserve">rors defined in paragraph </w:t>
      </w:r>
      <w:r w:rsidR="00173972" w:rsidRPr="00AE43E6">
        <w:rPr>
          <w:sz w:val="24"/>
          <w:szCs w:val="24"/>
        </w:rPr>
        <w:t>2.1.1.3. Nevertheless, the exterior surveillance mirrors must be mounted at least 2</w:t>
      </w:r>
      <w:r w:rsidR="00AE43E6">
        <w:rPr>
          <w:sz w:val="24"/>
          <w:szCs w:val="24"/>
        </w:rPr>
        <w:t xml:space="preserve"> </w:t>
      </w:r>
      <w:r w:rsidR="00173972" w:rsidRPr="00AE43E6">
        <w:rPr>
          <w:sz w:val="24"/>
          <w:szCs w:val="24"/>
        </w:rPr>
        <w:t xml:space="preserve">m above the ground when the vehicle is under a load corresponding to its maximum technical permissible mass </w:t>
      </w:r>
      <w:r w:rsidR="00173972" w:rsidRPr="00AE43E6">
        <w:rPr>
          <w:b/>
          <w:sz w:val="24"/>
          <w:szCs w:val="24"/>
        </w:rPr>
        <w:t>or shall be fully integrated in a housing including Class II or III mirror(s) which is (are) type approved to this Regulation</w:t>
      </w:r>
      <w:r w:rsidR="00173972" w:rsidRPr="00AE43E6">
        <w:rPr>
          <w:sz w:val="24"/>
          <w:szCs w:val="24"/>
        </w:rPr>
        <w:t>.</w:t>
      </w:r>
      <w:r w:rsidRPr="00AE43E6">
        <w:rPr>
          <w:sz w:val="24"/>
          <w:szCs w:val="24"/>
        </w:rPr>
        <w:t>"</w:t>
      </w:r>
    </w:p>
    <w:p w:rsidR="00173972" w:rsidRDefault="00173972" w:rsidP="006C2E9A">
      <w:pPr>
        <w:ind w:left="1276" w:right="1134" w:firstLine="12"/>
        <w:jc w:val="both"/>
        <w:rPr>
          <w:lang w:val="en-GB"/>
        </w:rPr>
      </w:pPr>
    </w:p>
    <w:p w:rsidR="00CE3E34" w:rsidRPr="006870A6" w:rsidRDefault="00CE3E34" w:rsidP="00CE3E34">
      <w:pPr>
        <w:pStyle w:val="HChG"/>
      </w:pPr>
      <w:r w:rsidRPr="006870A6">
        <w:tab/>
      </w:r>
      <w:r w:rsidRPr="006870A6">
        <w:rPr>
          <w:rFonts w:eastAsia="Calibri"/>
          <w:szCs w:val="22"/>
          <w:lang w:val="hu-HU"/>
        </w:rPr>
        <w:t>II.</w:t>
      </w:r>
      <w:r w:rsidRPr="006870A6">
        <w:tab/>
      </w:r>
      <w:r w:rsidRPr="006870A6">
        <w:rPr>
          <w:rFonts w:eastAsia="Calibri"/>
          <w:szCs w:val="22"/>
          <w:lang w:val="hu-HU"/>
        </w:rPr>
        <w:t>Justification</w:t>
      </w:r>
    </w:p>
    <w:p w:rsidR="00173972" w:rsidRPr="00960FD8" w:rsidRDefault="00DD29B1" w:rsidP="00173972">
      <w:pPr>
        <w:pStyle w:val="ListParagraph"/>
        <w:numPr>
          <w:ilvl w:val="0"/>
          <w:numId w:val="31"/>
        </w:numPr>
        <w:spacing w:before="120" w:after="120" w:line="240" w:lineRule="auto"/>
        <w:ind w:left="1134" w:right="1134" w:hanging="567"/>
        <w:contextualSpacing w:val="0"/>
        <w:jc w:val="both"/>
        <w:rPr>
          <w:sz w:val="24"/>
          <w:szCs w:val="24"/>
          <w:lang w:val="en-US"/>
        </w:rPr>
      </w:pPr>
      <w:r w:rsidRPr="00960FD8">
        <w:rPr>
          <w:sz w:val="24"/>
          <w:szCs w:val="24"/>
        </w:rPr>
        <w:t>The current text of</w:t>
      </w:r>
      <w:r w:rsidR="00E32846">
        <w:rPr>
          <w:sz w:val="24"/>
          <w:szCs w:val="24"/>
        </w:rPr>
        <w:t xml:space="preserve"> the</w:t>
      </w:r>
      <w:r w:rsidRPr="00960FD8">
        <w:rPr>
          <w:sz w:val="24"/>
          <w:szCs w:val="24"/>
        </w:rPr>
        <w:t xml:space="preserve"> </w:t>
      </w:r>
      <w:r w:rsidR="00E32846">
        <w:rPr>
          <w:sz w:val="24"/>
          <w:szCs w:val="24"/>
        </w:rPr>
        <w:t>regulation mandates that surveillance mirrors are mounted higher than 2</w:t>
      </w:r>
      <w:r w:rsidR="0032785E">
        <w:rPr>
          <w:sz w:val="24"/>
          <w:szCs w:val="24"/>
        </w:rPr>
        <w:t xml:space="preserve"> </w:t>
      </w:r>
      <w:r w:rsidR="00E32846">
        <w:rPr>
          <w:sz w:val="24"/>
          <w:szCs w:val="24"/>
        </w:rPr>
        <w:t>metres above the ground.</w:t>
      </w:r>
    </w:p>
    <w:p w:rsidR="00D16EA4" w:rsidRPr="00E32846" w:rsidRDefault="00E32846" w:rsidP="00960FD8">
      <w:pPr>
        <w:pStyle w:val="ListParagraph"/>
        <w:numPr>
          <w:ilvl w:val="0"/>
          <w:numId w:val="31"/>
        </w:numPr>
        <w:spacing w:before="120" w:after="120" w:line="240" w:lineRule="auto"/>
        <w:ind w:left="1134" w:right="1134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Some existing surveillance </w:t>
      </w:r>
      <w:r w:rsidRPr="00E32846">
        <w:rPr>
          <w:sz w:val="24"/>
          <w:szCs w:val="24"/>
        </w:rPr>
        <w:t xml:space="preserve">mirrors are nevertheless </w:t>
      </w:r>
      <w:r>
        <w:rPr>
          <w:sz w:val="24"/>
          <w:szCs w:val="24"/>
        </w:rPr>
        <w:t xml:space="preserve">part of a combination of mirrors </w:t>
      </w:r>
      <w:r w:rsidRPr="00E32846">
        <w:rPr>
          <w:sz w:val="24"/>
          <w:szCs w:val="24"/>
        </w:rPr>
        <w:t>integrated in a housing whose lowest part is lower than 2</w:t>
      </w:r>
      <w:r w:rsidR="0032785E">
        <w:rPr>
          <w:sz w:val="24"/>
          <w:szCs w:val="24"/>
        </w:rPr>
        <w:t xml:space="preserve"> </w:t>
      </w:r>
      <w:r w:rsidRPr="00E32846">
        <w:rPr>
          <w:sz w:val="24"/>
          <w:szCs w:val="24"/>
        </w:rPr>
        <w:t>metres above the ground</w:t>
      </w:r>
      <w:r>
        <w:rPr>
          <w:sz w:val="24"/>
          <w:szCs w:val="24"/>
        </w:rPr>
        <w:t xml:space="preserve"> (see picture below)</w:t>
      </w:r>
      <w:r w:rsidRPr="00E32846">
        <w:rPr>
          <w:sz w:val="24"/>
          <w:szCs w:val="24"/>
        </w:rPr>
        <w:t xml:space="preserve">. These fully integrated </w:t>
      </w:r>
      <w:r>
        <w:rPr>
          <w:sz w:val="24"/>
          <w:szCs w:val="24"/>
        </w:rPr>
        <w:t xml:space="preserve">surveillance </w:t>
      </w:r>
      <w:r w:rsidRPr="00E32846">
        <w:rPr>
          <w:sz w:val="24"/>
          <w:szCs w:val="24"/>
        </w:rPr>
        <w:t>mirrors are indeed improving the field of vision of the driver, e.g. for parking manoeuvres, when it is beneficial to have a vision of the distance between the rear wheel and the curb.</w:t>
      </w:r>
    </w:p>
    <w:p w:rsidR="00E32846" w:rsidRDefault="00E32846" w:rsidP="00960FD8">
      <w:pPr>
        <w:pStyle w:val="ListParagraph"/>
        <w:numPr>
          <w:ilvl w:val="0"/>
          <w:numId w:val="31"/>
        </w:numPr>
        <w:spacing w:before="120" w:after="120" w:line="240" w:lineRule="auto"/>
        <w:ind w:left="1134" w:right="1134" w:hanging="567"/>
        <w:contextualSpacing w:val="0"/>
        <w:jc w:val="both"/>
        <w:rPr>
          <w:sz w:val="24"/>
          <w:szCs w:val="24"/>
        </w:rPr>
      </w:pPr>
      <w:r w:rsidRPr="00E32846">
        <w:rPr>
          <w:sz w:val="24"/>
          <w:szCs w:val="24"/>
        </w:rPr>
        <w:t>This proposal aims at clarifying that the surveillance mirrors can be mounted below 2</w:t>
      </w:r>
      <w:r w:rsidR="0032785E">
        <w:rPr>
          <w:sz w:val="24"/>
          <w:szCs w:val="24"/>
        </w:rPr>
        <w:t xml:space="preserve"> </w:t>
      </w:r>
      <w:r w:rsidRPr="00E32846">
        <w:rPr>
          <w:sz w:val="24"/>
          <w:szCs w:val="24"/>
        </w:rPr>
        <w:t xml:space="preserve">metres, </w:t>
      </w:r>
      <w:r>
        <w:rPr>
          <w:sz w:val="24"/>
          <w:szCs w:val="24"/>
        </w:rPr>
        <w:t xml:space="preserve">when </w:t>
      </w:r>
      <w:r w:rsidR="002E494B">
        <w:rPr>
          <w:sz w:val="24"/>
          <w:szCs w:val="24"/>
        </w:rPr>
        <w:t>integrated in a housing already including one or several mirrors of classes</w:t>
      </w:r>
      <w:r w:rsidR="0032785E">
        <w:rPr>
          <w:sz w:val="24"/>
          <w:szCs w:val="24"/>
        </w:rPr>
        <w:t xml:space="preserve"> </w:t>
      </w:r>
      <w:r w:rsidR="002E494B">
        <w:rPr>
          <w:sz w:val="24"/>
          <w:szCs w:val="24"/>
        </w:rPr>
        <w:t>II or III.</w:t>
      </w:r>
    </w:p>
    <w:p w:rsidR="002E494B" w:rsidRDefault="002E494B" w:rsidP="00AE43E6">
      <w:pPr>
        <w:spacing w:before="120" w:after="120"/>
        <w:ind w:left="1134" w:right="1134"/>
        <w:jc w:val="center"/>
      </w:pPr>
      <w:r w:rsidRPr="007B20E6">
        <w:rPr>
          <w:noProof/>
          <w:color w:val="FF0000"/>
          <w:lang w:val="en-GB" w:eastAsia="en-GB"/>
        </w:rPr>
        <w:drawing>
          <wp:inline distT="0" distB="0" distL="0" distR="0">
            <wp:extent cx="2449830" cy="1768475"/>
            <wp:effectExtent l="0" t="0" r="7620" b="3175"/>
            <wp:docPr id="1" name="Image 1" descr="Miroir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oir Ma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B4" w:rsidRPr="00173972" w:rsidRDefault="00CE3E34" w:rsidP="00960FD8">
      <w:pPr>
        <w:pStyle w:val="SingleTxtG"/>
        <w:jc w:val="center"/>
        <w:rPr>
          <w:lang w:val="en-GB"/>
        </w:rPr>
      </w:pPr>
      <w:r w:rsidRPr="00173972">
        <w:rPr>
          <w:lang w:val="en-GB"/>
        </w:rPr>
        <w:t>________________</w:t>
      </w:r>
    </w:p>
    <w:sectPr w:rsidR="000967B4" w:rsidRPr="00173972" w:rsidSect="00960FD8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 w:code="9"/>
      <w:pgMar w:top="1134" w:right="1106" w:bottom="1560" w:left="1134" w:header="567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AD" w:rsidRDefault="006226AD">
      <w:r>
        <w:separator/>
      </w:r>
    </w:p>
  </w:endnote>
  <w:endnote w:type="continuationSeparator" w:id="0">
    <w:p w:rsidR="006226AD" w:rsidRDefault="006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960FD8">
    <w:pPr>
      <w:pStyle w:val="Footer"/>
      <w:jc w:val="cen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AE43E6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960FD8" w:rsidP="00960FD8">
    <w:pPr>
      <w:pStyle w:val="Footer"/>
      <w:jc w:val="cen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173972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AC" w:rsidRPr="000B28AC" w:rsidRDefault="000B28AC" w:rsidP="000B28AC">
    <w:pPr>
      <w:pStyle w:val="Footer"/>
      <w:jc w:val="right"/>
      <w:rPr>
        <w:sz w:val="16"/>
        <w:szCs w:val="16"/>
      </w:rPr>
    </w:pPr>
  </w:p>
  <w:p w:rsidR="000B28AC" w:rsidRDefault="000B28AC" w:rsidP="000B28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AD" w:rsidRDefault="006226AD">
      <w:r>
        <w:separator/>
      </w:r>
    </w:p>
  </w:footnote>
  <w:footnote w:type="continuationSeparator" w:id="0">
    <w:p w:rsidR="006226AD" w:rsidRDefault="006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1E3F85" w:rsidRDefault="00B97972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7BB4"/>
    <w:multiLevelType w:val="hybridMultilevel"/>
    <w:tmpl w:val="F59C19F4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E2371C"/>
    <w:multiLevelType w:val="hybridMultilevel"/>
    <w:tmpl w:val="0CE639EE"/>
    <w:lvl w:ilvl="0" w:tplc="ECCCD1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5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1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26"/>
  </w:num>
  <w:num w:numId="17">
    <w:abstractNumId w:val="24"/>
  </w:num>
  <w:num w:numId="18">
    <w:abstractNumId w:val="13"/>
  </w:num>
  <w:num w:numId="19">
    <w:abstractNumId w:val="22"/>
  </w:num>
  <w:num w:numId="20">
    <w:abstractNumId w:val="27"/>
  </w:num>
  <w:num w:numId="21">
    <w:abstractNumId w:val="12"/>
  </w:num>
  <w:num w:numId="22">
    <w:abstractNumId w:val="9"/>
  </w:num>
  <w:num w:numId="23">
    <w:abstractNumId w:val="11"/>
  </w:num>
  <w:num w:numId="24">
    <w:abstractNumId w:val="29"/>
  </w:num>
  <w:num w:numId="25">
    <w:abstractNumId w:val="30"/>
  </w:num>
  <w:num w:numId="26">
    <w:abstractNumId w:val="14"/>
  </w:num>
  <w:num w:numId="27">
    <w:abstractNumId w:val="21"/>
  </w:num>
  <w:num w:numId="28">
    <w:abstractNumId w:val="19"/>
  </w:num>
  <w:num w:numId="29">
    <w:abstractNumId w:val="10"/>
  </w:num>
  <w:num w:numId="30">
    <w:abstractNumId w:val="16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20B9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67B4"/>
    <w:rsid w:val="0009739A"/>
    <w:rsid w:val="00097C59"/>
    <w:rsid w:val="000A1E69"/>
    <w:rsid w:val="000A21FB"/>
    <w:rsid w:val="000A2EE3"/>
    <w:rsid w:val="000B16DF"/>
    <w:rsid w:val="000B28AC"/>
    <w:rsid w:val="000B61D8"/>
    <w:rsid w:val="000C0CD6"/>
    <w:rsid w:val="000C690D"/>
    <w:rsid w:val="000C717B"/>
    <w:rsid w:val="000C75C9"/>
    <w:rsid w:val="000D3C09"/>
    <w:rsid w:val="000D4DC2"/>
    <w:rsid w:val="000D6C0A"/>
    <w:rsid w:val="000E0AC0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4312"/>
    <w:rsid w:val="00125426"/>
    <w:rsid w:val="00126617"/>
    <w:rsid w:val="0013336B"/>
    <w:rsid w:val="00135277"/>
    <w:rsid w:val="00135D7D"/>
    <w:rsid w:val="00136437"/>
    <w:rsid w:val="00137ACC"/>
    <w:rsid w:val="00140143"/>
    <w:rsid w:val="00141886"/>
    <w:rsid w:val="00144004"/>
    <w:rsid w:val="00145D1D"/>
    <w:rsid w:val="00146497"/>
    <w:rsid w:val="00147968"/>
    <w:rsid w:val="00152788"/>
    <w:rsid w:val="00152C76"/>
    <w:rsid w:val="001575B8"/>
    <w:rsid w:val="00157B85"/>
    <w:rsid w:val="00164E4B"/>
    <w:rsid w:val="00166906"/>
    <w:rsid w:val="00170411"/>
    <w:rsid w:val="00173972"/>
    <w:rsid w:val="00174202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1F602B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70D0F"/>
    <w:rsid w:val="00271897"/>
    <w:rsid w:val="00276892"/>
    <w:rsid w:val="00281F58"/>
    <w:rsid w:val="00285B85"/>
    <w:rsid w:val="00285DBE"/>
    <w:rsid w:val="00286D80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E494B"/>
    <w:rsid w:val="002F0049"/>
    <w:rsid w:val="002F2063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2785E"/>
    <w:rsid w:val="0033107F"/>
    <w:rsid w:val="0033480F"/>
    <w:rsid w:val="00351B21"/>
    <w:rsid w:val="003560DB"/>
    <w:rsid w:val="00363A6E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192B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5C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4C1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1AF7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6D56"/>
    <w:rsid w:val="005D484A"/>
    <w:rsid w:val="005E5B09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226AD"/>
    <w:rsid w:val="00636865"/>
    <w:rsid w:val="00651D0F"/>
    <w:rsid w:val="0066005C"/>
    <w:rsid w:val="00675210"/>
    <w:rsid w:val="0067697C"/>
    <w:rsid w:val="00681A15"/>
    <w:rsid w:val="0068778F"/>
    <w:rsid w:val="006930A7"/>
    <w:rsid w:val="006A1658"/>
    <w:rsid w:val="006A522A"/>
    <w:rsid w:val="006A5458"/>
    <w:rsid w:val="006A6045"/>
    <w:rsid w:val="006A6AEF"/>
    <w:rsid w:val="006A73A1"/>
    <w:rsid w:val="006B18D3"/>
    <w:rsid w:val="006B6853"/>
    <w:rsid w:val="006C2A4A"/>
    <w:rsid w:val="006C2E9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3915"/>
    <w:rsid w:val="00712940"/>
    <w:rsid w:val="00714C0A"/>
    <w:rsid w:val="00715A09"/>
    <w:rsid w:val="00717885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0F95"/>
    <w:rsid w:val="0075471D"/>
    <w:rsid w:val="007552E8"/>
    <w:rsid w:val="00755711"/>
    <w:rsid w:val="0076436C"/>
    <w:rsid w:val="00767E89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5AF5"/>
    <w:rsid w:val="007B7DFD"/>
    <w:rsid w:val="007C6A2B"/>
    <w:rsid w:val="007D2025"/>
    <w:rsid w:val="007D334E"/>
    <w:rsid w:val="007D356C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7F6FD2"/>
    <w:rsid w:val="0080234C"/>
    <w:rsid w:val="0080406F"/>
    <w:rsid w:val="00805B9C"/>
    <w:rsid w:val="00805FF4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0A8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3E7"/>
    <w:rsid w:val="00880B8B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E6FE8"/>
    <w:rsid w:val="008F4208"/>
    <w:rsid w:val="008F52A2"/>
    <w:rsid w:val="008F581E"/>
    <w:rsid w:val="008F5AC7"/>
    <w:rsid w:val="008F76BE"/>
    <w:rsid w:val="00904502"/>
    <w:rsid w:val="00911492"/>
    <w:rsid w:val="00912D70"/>
    <w:rsid w:val="00915091"/>
    <w:rsid w:val="009221F9"/>
    <w:rsid w:val="0092299A"/>
    <w:rsid w:val="00926CEC"/>
    <w:rsid w:val="0092779B"/>
    <w:rsid w:val="009328E7"/>
    <w:rsid w:val="00932976"/>
    <w:rsid w:val="00932D77"/>
    <w:rsid w:val="0093586E"/>
    <w:rsid w:val="00935DAD"/>
    <w:rsid w:val="0094158B"/>
    <w:rsid w:val="00941A60"/>
    <w:rsid w:val="00944900"/>
    <w:rsid w:val="00945D81"/>
    <w:rsid w:val="00953D48"/>
    <w:rsid w:val="00954217"/>
    <w:rsid w:val="00955E60"/>
    <w:rsid w:val="009562DD"/>
    <w:rsid w:val="00956598"/>
    <w:rsid w:val="00960FD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D7009"/>
    <w:rsid w:val="009E0E47"/>
    <w:rsid w:val="009E2EFD"/>
    <w:rsid w:val="009F008E"/>
    <w:rsid w:val="009F0300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214D6"/>
    <w:rsid w:val="00A3531D"/>
    <w:rsid w:val="00A50B2B"/>
    <w:rsid w:val="00A57862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D1BEB"/>
    <w:rsid w:val="00AE3115"/>
    <w:rsid w:val="00AE43E6"/>
    <w:rsid w:val="00AE5082"/>
    <w:rsid w:val="00AE5D9E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50B92"/>
    <w:rsid w:val="00B655A3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2CFD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3632"/>
    <w:rsid w:val="00BC600B"/>
    <w:rsid w:val="00BC76C8"/>
    <w:rsid w:val="00BD1C4E"/>
    <w:rsid w:val="00BD461D"/>
    <w:rsid w:val="00BE1CD6"/>
    <w:rsid w:val="00BE315C"/>
    <w:rsid w:val="00BE363A"/>
    <w:rsid w:val="00BE6446"/>
    <w:rsid w:val="00BF3FA0"/>
    <w:rsid w:val="00BF4FDD"/>
    <w:rsid w:val="00BF54FA"/>
    <w:rsid w:val="00BF5816"/>
    <w:rsid w:val="00BF5BE4"/>
    <w:rsid w:val="00BF5C6A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1093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E3E34"/>
    <w:rsid w:val="00CE7323"/>
    <w:rsid w:val="00CF1285"/>
    <w:rsid w:val="00CF506C"/>
    <w:rsid w:val="00D0116F"/>
    <w:rsid w:val="00D02E19"/>
    <w:rsid w:val="00D0384E"/>
    <w:rsid w:val="00D05082"/>
    <w:rsid w:val="00D10D4C"/>
    <w:rsid w:val="00D110DA"/>
    <w:rsid w:val="00D1213B"/>
    <w:rsid w:val="00D12925"/>
    <w:rsid w:val="00D14AA6"/>
    <w:rsid w:val="00D14E45"/>
    <w:rsid w:val="00D16EA4"/>
    <w:rsid w:val="00D20A40"/>
    <w:rsid w:val="00D22A70"/>
    <w:rsid w:val="00D342AA"/>
    <w:rsid w:val="00D40ADD"/>
    <w:rsid w:val="00D40D2D"/>
    <w:rsid w:val="00D42200"/>
    <w:rsid w:val="00D47C3D"/>
    <w:rsid w:val="00D51F01"/>
    <w:rsid w:val="00D53FD6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97D"/>
    <w:rsid w:val="00DA2345"/>
    <w:rsid w:val="00DA41CC"/>
    <w:rsid w:val="00DB209F"/>
    <w:rsid w:val="00DB6B60"/>
    <w:rsid w:val="00DC014B"/>
    <w:rsid w:val="00DC033B"/>
    <w:rsid w:val="00DC1EFA"/>
    <w:rsid w:val="00DC322B"/>
    <w:rsid w:val="00DD29B1"/>
    <w:rsid w:val="00DD3158"/>
    <w:rsid w:val="00DD6A31"/>
    <w:rsid w:val="00DD6AC1"/>
    <w:rsid w:val="00DE1433"/>
    <w:rsid w:val="00DE5D2D"/>
    <w:rsid w:val="00DF3539"/>
    <w:rsid w:val="00DF5836"/>
    <w:rsid w:val="00DF6EA4"/>
    <w:rsid w:val="00E065C7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32846"/>
    <w:rsid w:val="00E4417A"/>
    <w:rsid w:val="00E44978"/>
    <w:rsid w:val="00E51ED0"/>
    <w:rsid w:val="00E5335C"/>
    <w:rsid w:val="00E5795B"/>
    <w:rsid w:val="00E60D2E"/>
    <w:rsid w:val="00E64FC5"/>
    <w:rsid w:val="00E65CB9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C784A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2262"/>
    <w:rsid w:val="00F25961"/>
    <w:rsid w:val="00F27FFA"/>
    <w:rsid w:val="00F31A35"/>
    <w:rsid w:val="00F32C8B"/>
    <w:rsid w:val="00F40C77"/>
    <w:rsid w:val="00F41D56"/>
    <w:rsid w:val="00F42F88"/>
    <w:rsid w:val="00F43728"/>
    <w:rsid w:val="00F501D8"/>
    <w:rsid w:val="00F513E6"/>
    <w:rsid w:val="00F61A46"/>
    <w:rsid w:val="00F62E4D"/>
    <w:rsid w:val="00F66AB8"/>
    <w:rsid w:val="00F70D5E"/>
    <w:rsid w:val="00F70FFE"/>
    <w:rsid w:val="00F72FCC"/>
    <w:rsid w:val="00F779FE"/>
    <w:rsid w:val="00F81883"/>
    <w:rsid w:val="00F81F12"/>
    <w:rsid w:val="00F8252C"/>
    <w:rsid w:val="00F84586"/>
    <w:rsid w:val="00F855C3"/>
    <w:rsid w:val="00F868F2"/>
    <w:rsid w:val="00F8750E"/>
    <w:rsid w:val="00F90C78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B28AC"/>
    <w:rPr>
      <w:sz w:val="24"/>
      <w:szCs w:val="24"/>
      <w:lang w:val="ru-RU" w:eastAsia="ar-SA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E3E34"/>
    <w:rPr>
      <w:sz w:val="24"/>
      <w:lang w:val="en-GB" w:eastAsia="en-US"/>
    </w:rPr>
  </w:style>
  <w:style w:type="paragraph" w:customStyle="1" w:styleId="Annex1">
    <w:name w:val="Annex1"/>
    <w:basedOn w:val="Normal"/>
    <w:qFormat/>
    <w:rsid w:val="00CE3E34"/>
    <w:pPr>
      <w:tabs>
        <w:tab w:val="left" w:pos="1700"/>
        <w:tab w:val="right" w:leader="dot" w:pos="8505"/>
      </w:tabs>
      <w:spacing w:after="120" w:line="240" w:lineRule="atLeast"/>
      <w:ind w:left="2268" w:right="1134" w:hanging="1134"/>
      <w:jc w:val="both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CE3E34"/>
    <w:pPr>
      <w:spacing w:line="240" w:lineRule="atLeast"/>
      <w:ind w:left="720"/>
      <w:contextualSpacing/>
    </w:pPr>
    <w:rPr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803E7"/>
    <w:rPr>
      <w:sz w:val="24"/>
      <w:szCs w:val="24"/>
      <w:lang w:val="ru-RU" w:eastAsia="ar-SA"/>
    </w:rPr>
  </w:style>
  <w:style w:type="paragraph" w:customStyle="1" w:styleId="para">
    <w:name w:val="para"/>
    <w:basedOn w:val="Normal"/>
    <w:rsid w:val="00173972"/>
    <w:pPr>
      <w:spacing w:after="120" w:line="240" w:lineRule="atLeast"/>
      <w:ind w:left="2268" w:right="1134" w:hanging="1134"/>
      <w:jc w:val="both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PP"/>
    <w:basedOn w:val="Normal"/>
    <w:link w:val="FootnoteTextChar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B28AC"/>
    <w:rPr>
      <w:sz w:val="24"/>
      <w:szCs w:val="24"/>
      <w:lang w:val="ru-RU" w:eastAsia="ar-SA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CE3E34"/>
    <w:rPr>
      <w:sz w:val="24"/>
      <w:lang w:val="en-GB" w:eastAsia="en-US"/>
    </w:rPr>
  </w:style>
  <w:style w:type="paragraph" w:customStyle="1" w:styleId="Annex1">
    <w:name w:val="Annex1"/>
    <w:basedOn w:val="Normal"/>
    <w:qFormat/>
    <w:rsid w:val="00CE3E34"/>
    <w:pPr>
      <w:tabs>
        <w:tab w:val="left" w:pos="1700"/>
        <w:tab w:val="right" w:leader="dot" w:pos="8505"/>
      </w:tabs>
      <w:spacing w:after="120" w:line="240" w:lineRule="atLeast"/>
      <w:ind w:left="2268" w:right="1134" w:hanging="1134"/>
      <w:jc w:val="both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CE3E34"/>
    <w:pPr>
      <w:spacing w:line="240" w:lineRule="atLeast"/>
      <w:ind w:left="720"/>
      <w:contextualSpacing/>
    </w:pPr>
    <w:rPr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803E7"/>
    <w:rPr>
      <w:sz w:val="24"/>
      <w:szCs w:val="24"/>
      <w:lang w:val="ru-RU" w:eastAsia="ar-SA"/>
    </w:rPr>
  </w:style>
  <w:style w:type="paragraph" w:customStyle="1" w:styleId="para">
    <w:name w:val="para"/>
    <w:basedOn w:val="Normal"/>
    <w:rsid w:val="00173972"/>
    <w:pPr>
      <w:spacing w:after="120" w:line="240" w:lineRule="atLeast"/>
      <w:ind w:left="2268" w:right="1134" w:hanging="1134"/>
      <w:jc w:val="both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36CC-B5F9-4F7F-B23B-30CC2D56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2013-03-14T14:02:00Z</cp:lastPrinted>
  <dcterms:created xsi:type="dcterms:W3CDTF">2015-04-30T13:31:00Z</dcterms:created>
  <dcterms:modified xsi:type="dcterms:W3CDTF">2015-04-30T13:32:00Z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