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06" w:rsidRDefault="00B47006" w:rsidP="00B47006">
      <w:pPr>
        <w:spacing w:line="60" w:lineRule="exact"/>
        <w:rPr>
          <w:color w:val="010000"/>
          <w:sz w:val="6"/>
        </w:rPr>
        <w:sectPr w:rsidR="00B47006" w:rsidSect="00B4700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r>
        <w:rPr>
          <w:rStyle w:val="CommentReference"/>
        </w:rPr>
        <w:commentReference w:id="0"/>
      </w:r>
      <w:bookmarkStart w:id="1" w:name="_GoBack"/>
      <w:bookmarkEnd w:id="1"/>
    </w:p>
    <w:p w:rsidR="00F576F9" w:rsidRPr="00F576F9" w:rsidRDefault="00F576F9" w:rsidP="00F576F9">
      <w:pPr>
        <w:pStyle w:val="SingleTxt"/>
        <w:ind w:left="0"/>
        <w:rPr>
          <w:b/>
          <w:sz w:val="28"/>
          <w:szCs w:val="28"/>
        </w:rPr>
      </w:pPr>
      <w:r w:rsidRPr="00F576F9">
        <w:rPr>
          <w:b/>
          <w:sz w:val="28"/>
          <w:szCs w:val="28"/>
        </w:rPr>
        <w:lastRenderedPageBreak/>
        <w:t>Европейская экономическая комиссия</w:t>
      </w:r>
    </w:p>
    <w:p w:rsidR="00F576F9" w:rsidRPr="00F576F9" w:rsidRDefault="00F576F9" w:rsidP="00F576F9">
      <w:pPr>
        <w:pStyle w:val="SingleTxt"/>
        <w:ind w:left="0"/>
        <w:rPr>
          <w:sz w:val="28"/>
          <w:szCs w:val="28"/>
        </w:rPr>
      </w:pPr>
      <w:r w:rsidRPr="00F576F9">
        <w:rPr>
          <w:sz w:val="28"/>
          <w:szCs w:val="28"/>
        </w:rPr>
        <w:t>Комитет по внутреннему транспорту</w:t>
      </w:r>
    </w:p>
    <w:p w:rsidR="00F576F9" w:rsidRPr="00F576F9" w:rsidRDefault="00F576F9" w:rsidP="00F576F9">
      <w:pPr>
        <w:pStyle w:val="SingleTxt"/>
        <w:ind w:left="0"/>
        <w:jc w:val="left"/>
        <w:rPr>
          <w:b/>
          <w:sz w:val="24"/>
          <w:szCs w:val="24"/>
        </w:rPr>
      </w:pPr>
      <w:r w:rsidRPr="00F576F9">
        <w:rPr>
          <w:b/>
          <w:sz w:val="24"/>
          <w:szCs w:val="24"/>
        </w:rPr>
        <w:t>Всемирный форум для согласования правил</w:t>
      </w:r>
      <w:r>
        <w:rPr>
          <w:b/>
          <w:sz w:val="24"/>
          <w:szCs w:val="24"/>
        </w:rPr>
        <w:br/>
      </w:r>
      <w:r w:rsidRPr="00F576F9">
        <w:rPr>
          <w:b/>
          <w:sz w:val="24"/>
          <w:szCs w:val="24"/>
        </w:rPr>
        <w:t xml:space="preserve">в области транспортных средств </w:t>
      </w:r>
    </w:p>
    <w:p w:rsidR="00F576F9" w:rsidRPr="00F576F9" w:rsidRDefault="00F576F9" w:rsidP="00F576F9">
      <w:pPr>
        <w:pStyle w:val="SingleTxt"/>
        <w:ind w:left="0"/>
        <w:rPr>
          <w:b/>
        </w:rPr>
      </w:pPr>
      <w:r w:rsidRPr="00F576F9">
        <w:rPr>
          <w:b/>
        </w:rPr>
        <w:t>Рабочая группа по вопросам торможения и ходовой части</w:t>
      </w:r>
    </w:p>
    <w:p w:rsidR="00F576F9" w:rsidRPr="00F576F9" w:rsidRDefault="00F576F9" w:rsidP="009453C0">
      <w:pPr>
        <w:pStyle w:val="SingleTxt"/>
        <w:spacing w:after="0"/>
        <w:ind w:left="0"/>
        <w:rPr>
          <w:b/>
        </w:rPr>
      </w:pPr>
      <w:r w:rsidRPr="00F576F9">
        <w:rPr>
          <w:b/>
        </w:rPr>
        <w:t>Восьмидесятая сессия</w:t>
      </w:r>
    </w:p>
    <w:p w:rsidR="00F576F9" w:rsidRDefault="00F576F9" w:rsidP="009453C0">
      <w:pPr>
        <w:pStyle w:val="SingleTxt"/>
        <w:spacing w:after="0"/>
        <w:ind w:left="0"/>
      </w:pPr>
      <w:r>
        <w:t xml:space="preserve">Женева, 15–18 сентября 2015 года </w:t>
      </w:r>
    </w:p>
    <w:p w:rsidR="00F576F9" w:rsidRDefault="00F576F9" w:rsidP="009453C0">
      <w:pPr>
        <w:pStyle w:val="SingleTxt"/>
        <w:spacing w:after="0"/>
        <w:ind w:left="0"/>
      </w:pPr>
      <w:r>
        <w:t xml:space="preserve">Пункт 4 предварительной повестки дня </w:t>
      </w:r>
    </w:p>
    <w:p w:rsidR="00F576F9" w:rsidRPr="00F576F9" w:rsidRDefault="00F576F9" w:rsidP="009453C0">
      <w:pPr>
        <w:pStyle w:val="SingleTxt"/>
        <w:spacing w:after="0"/>
        <w:ind w:left="0"/>
        <w:rPr>
          <w:b/>
        </w:rPr>
      </w:pPr>
      <w:r w:rsidRPr="00F576F9">
        <w:rPr>
          <w:b/>
        </w:rPr>
        <w:t>Правила № 55 (механические сцепные устройства)</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по дополнению [5] к поправкам серии 01 к Правилам № 55 (механические сцепные устройства)</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Представлено Председателем неофициальной группы по Правилам № 55</w:t>
      </w:r>
      <w:r w:rsidRPr="009453C0">
        <w:rPr>
          <w:b w:val="0"/>
          <w:sz w:val="20"/>
          <w:szCs w:val="20"/>
        </w:rPr>
        <w:footnoteReference w:customMarkFollows="1" w:id="1"/>
        <w:t>*</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SingleTxt"/>
      </w:pPr>
      <w:r>
        <w:tab/>
        <w:t>Воспроизведенный ниже текст был подготовлен неофициальной рабочей группой по Правилам ООН № 55 в целях внесения поправок в определение кла</w:t>
      </w:r>
      <w:r>
        <w:t>с</w:t>
      </w:r>
      <w:r>
        <w:t>са S. Изменения к существующему тексту Правил выделены жирным шрифтом, а текст, подлежащий исключению, − зачеркнут.</w:t>
      </w:r>
    </w:p>
    <w:p w:rsidR="00F576F9" w:rsidRPr="00F576F9" w:rsidRDefault="00F576F9" w:rsidP="00F576F9">
      <w:pPr>
        <w:pStyle w:val="SingleTxt"/>
        <w:spacing w:after="0" w:line="120" w:lineRule="exact"/>
        <w:rPr>
          <w:sz w:val="10"/>
        </w:rPr>
      </w:pPr>
      <w:r>
        <w:br w:type="page"/>
      </w:r>
    </w:p>
    <w:p w:rsidR="00F576F9" w:rsidRPr="00F576F9" w:rsidRDefault="00F576F9" w:rsidP="00F576F9">
      <w:pPr>
        <w:pStyle w:val="SingleTxt"/>
        <w:spacing w:after="0" w:line="120" w:lineRule="exact"/>
        <w:rPr>
          <w:sz w:val="10"/>
        </w:rPr>
      </w:pPr>
    </w:p>
    <w:p w:rsidR="00F576F9" w:rsidRDefault="00F576F9" w:rsidP="00F57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Предложение</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SingleTxt"/>
      </w:pPr>
      <w:r w:rsidRPr="00F576F9">
        <w:rPr>
          <w:i/>
        </w:rPr>
        <w:t>Пункт 2.5</w:t>
      </w:r>
      <w:r>
        <w:t xml:space="preserve"> изменить следующим образом:</w:t>
      </w:r>
    </w:p>
    <w:p w:rsidR="00F576F9" w:rsidRDefault="00F576F9" w:rsidP="00F576F9">
      <w:pPr>
        <w:pStyle w:val="SingleTxt"/>
        <w:ind w:left="2218" w:hanging="951"/>
      </w:pPr>
      <w:r>
        <w:t>«2.5</w:t>
      </w:r>
      <w:r w:rsidR="009453C0">
        <w:tab/>
      </w:r>
      <w:r>
        <w:t xml:space="preserve"> </w:t>
      </w:r>
      <w:r>
        <w:tab/>
        <w:t xml:space="preserve">Нестандартные неоднородные механические сцепные устройства и их элементы не соответствуют стандартным габаритам и параметрам, приведенным в настоящих Правилах, и не могут быть соединены со стандартными сцепными устройствами и их элементами. </w:t>
      </w:r>
      <w:r w:rsidRPr="00F576F9">
        <w:rPr>
          <w:strike/>
        </w:rPr>
        <w:t>К их числу относятся, например,</w:t>
      </w:r>
      <w:r>
        <w:t xml:space="preserve"> </w:t>
      </w:r>
      <w:r w:rsidRPr="00F576F9">
        <w:rPr>
          <w:b/>
        </w:rPr>
        <w:t>Это</w:t>
      </w:r>
      <w:r>
        <w:t xml:space="preserve"> – такие устройства, </w:t>
      </w:r>
      <w:r w:rsidRPr="00F576F9">
        <w:rPr>
          <w:b/>
        </w:rPr>
        <w:t>которые</w:t>
      </w:r>
      <w:r>
        <w:t xml:space="preserve"> не соотве</w:t>
      </w:r>
      <w:r>
        <w:t>т</w:t>
      </w:r>
      <w:r>
        <w:t>ствую</w:t>
      </w:r>
      <w:r w:rsidRPr="00F576F9">
        <w:rPr>
          <w:b/>
        </w:rPr>
        <w:t>т</w:t>
      </w:r>
      <w:r w:rsidRPr="00F576F9">
        <w:rPr>
          <w:strike/>
        </w:rPr>
        <w:t>щие</w:t>
      </w:r>
      <w:r>
        <w:t xml:space="preserve"> ни одному из классов A–L, </w:t>
      </w:r>
      <w:r w:rsidRPr="00F576F9">
        <w:rPr>
          <w:strike/>
        </w:rPr>
        <w:t>и</w:t>
      </w:r>
      <w:r>
        <w:t xml:space="preserve"> T </w:t>
      </w:r>
      <w:r w:rsidRPr="00F576F9">
        <w:rPr>
          <w:b/>
        </w:rPr>
        <w:t>или W</w:t>
      </w:r>
      <w:r>
        <w:t xml:space="preserve">, перечисленных в пункте 2.6, </w:t>
      </w:r>
      <w:r w:rsidRPr="00F576F9">
        <w:rPr>
          <w:strike/>
        </w:rPr>
        <w:t>как устройства,</w:t>
      </w:r>
      <w:r>
        <w:t xml:space="preserve"> </w:t>
      </w:r>
      <w:r w:rsidRPr="00F576F9">
        <w:rPr>
          <w:b/>
        </w:rPr>
        <w:t>и</w:t>
      </w:r>
      <w:r>
        <w:t xml:space="preserve"> предназначен</w:t>
      </w:r>
      <w:r w:rsidRPr="00F576F9">
        <w:rPr>
          <w:b/>
        </w:rPr>
        <w:t>ы</w:t>
      </w:r>
      <w:r w:rsidRPr="00F576F9">
        <w:rPr>
          <w:strike/>
        </w:rPr>
        <w:t>ные</w:t>
      </w:r>
      <w:r>
        <w:t xml:space="preserve"> для специальных транспортных средств большой грузоподъемности, </w:t>
      </w:r>
      <w:r w:rsidRPr="00F576F9">
        <w:rPr>
          <w:b/>
        </w:rPr>
        <w:t>или</w:t>
      </w:r>
      <w:r>
        <w:t xml:space="preserve"> неоднородные устройства, отвечающие действующим национальным стандартам».</w:t>
      </w:r>
    </w:p>
    <w:p w:rsidR="00F576F9" w:rsidRDefault="00F576F9" w:rsidP="00F576F9">
      <w:pPr>
        <w:pStyle w:val="SingleTxt"/>
      </w:pPr>
      <w:r w:rsidRPr="00F576F9">
        <w:rPr>
          <w:i/>
        </w:rPr>
        <w:t>Пункт 2.6.12</w:t>
      </w:r>
      <w:r>
        <w:t xml:space="preserve"> изменить следующим образом:</w:t>
      </w:r>
    </w:p>
    <w:p w:rsidR="00F576F9" w:rsidRDefault="00F576F9" w:rsidP="00F576F9">
      <w:pPr>
        <w:pStyle w:val="SingleTxt"/>
        <w:ind w:left="2218" w:hanging="951"/>
      </w:pPr>
      <w:r>
        <w:t xml:space="preserve">«2.6.12 </w:t>
      </w:r>
      <w:r>
        <w:tab/>
        <w:t xml:space="preserve">Класс S: Приспособления и элементы, которые не соответствуют ни одному из классов A–L, </w:t>
      </w:r>
      <w:r w:rsidRPr="00F576F9">
        <w:rPr>
          <w:strike/>
        </w:rPr>
        <w:t>и</w:t>
      </w:r>
      <w:r>
        <w:t xml:space="preserve"> T </w:t>
      </w:r>
      <w:r w:rsidRPr="00F576F9">
        <w:rPr>
          <w:b/>
        </w:rPr>
        <w:t>или W</w:t>
      </w:r>
      <w:r>
        <w:t xml:space="preserve"> выше и которые используются</w:t>
      </w:r>
      <w:r w:rsidRPr="00F576F9">
        <w:rPr>
          <w:strike/>
        </w:rPr>
        <w:t>, например,</w:t>
      </w:r>
      <w:r>
        <w:t xml:space="preserve"> на специальных транспортных средствах большой груз</w:t>
      </w:r>
      <w:r>
        <w:t>о</w:t>
      </w:r>
      <w:r>
        <w:t>подъемности или являются приспособлениями, эксплуатируемыми только в некоторых странах и в соответствии с действующими наци</w:t>
      </w:r>
      <w:r>
        <w:t>о</w:t>
      </w:r>
      <w:r>
        <w:t>нальными стандартами".</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Обоснование</w:t>
      </w:r>
    </w:p>
    <w:p w:rsidR="00F576F9" w:rsidRPr="00F576F9" w:rsidRDefault="00F576F9" w:rsidP="00F576F9">
      <w:pPr>
        <w:pStyle w:val="SingleTxt"/>
        <w:spacing w:after="0" w:line="120" w:lineRule="exact"/>
        <w:rPr>
          <w:sz w:val="10"/>
        </w:rPr>
      </w:pPr>
    </w:p>
    <w:p w:rsidR="00F576F9" w:rsidRPr="00F576F9" w:rsidRDefault="00F576F9" w:rsidP="00F576F9">
      <w:pPr>
        <w:pStyle w:val="SingleTxt"/>
        <w:spacing w:after="0" w:line="120" w:lineRule="exact"/>
        <w:rPr>
          <w:sz w:val="10"/>
        </w:rPr>
      </w:pPr>
    </w:p>
    <w:p w:rsidR="00F576F9" w:rsidRDefault="00F576F9" w:rsidP="00F576F9">
      <w:pPr>
        <w:pStyle w:val="SingleTxt"/>
      </w:pPr>
      <w:r>
        <w:t>1.</w:t>
      </w:r>
      <w:r>
        <w:tab/>
        <w:t>В то время когда разрабатывался первоначальный вариант данных Правил, использовалось множество различных сцепных устройств. Зачастую использов</w:t>
      </w:r>
      <w:r>
        <w:t>а</w:t>
      </w:r>
      <w:r>
        <w:t>ние того или иного типа ограничивалось определенным регионом, в связи с чем уровень согласования был низок. Одна из целей этих Правил как раз и состояла в согласовании этих сцепных устройств. Именно по этой причине в Правила было включено ограниченное число этих устройств. В целях решения проблемы пер</w:t>
      </w:r>
      <w:r>
        <w:t>е</w:t>
      </w:r>
      <w:r>
        <w:t>хода с национальных стандартов на данные Правила ООН был включен класс S. По идее, с годами сцепные устройства, соответствующие старым национальным стандартам, должны были исчезнуть. Вместе с тем принятое определение оста</w:t>
      </w:r>
      <w:r>
        <w:t>в</w:t>
      </w:r>
      <w:r>
        <w:t xml:space="preserve">ляет возможность иного толкования, что обусловлено словом </w:t>
      </w:r>
      <w:r w:rsidR="009453C0">
        <w:t>«</w:t>
      </w:r>
      <w:r>
        <w:t>например</w:t>
      </w:r>
      <w:r w:rsidR="009453C0">
        <w:t>»</w:t>
      </w:r>
      <w:r>
        <w:t>, всле</w:t>
      </w:r>
      <w:r>
        <w:t>д</w:t>
      </w:r>
      <w:r>
        <w:t xml:space="preserve">ствие чего на практике в случае всех новых разрабатываемых сцепных устройств класс S используется неправильно. </w:t>
      </w:r>
    </w:p>
    <w:p w:rsidR="00F576F9" w:rsidRDefault="00F576F9" w:rsidP="00F576F9">
      <w:pPr>
        <w:pStyle w:val="SingleTxt"/>
      </w:pPr>
      <w:r>
        <w:t>2.</w:t>
      </w:r>
      <w:r>
        <w:tab/>
        <w:t>Как следствие, Стороны, принявшие эти Правила, не знают, какой уровень безопасности можно ожидать от сцепных устройств класса S, хотя они обязаны признавать эти устройства для их использования на своих дорогах общего пол</w:t>
      </w:r>
      <w:r>
        <w:t>ь</w:t>
      </w:r>
      <w:r>
        <w:t xml:space="preserve">зования. При этом нет уверенности и в том, что они согласятся на проведение испытаний и официального утверждения того или иного сцепного устройства класса S. В этом случае в целях применения необходимых требований и условий испытания соответствующая техническая служба ищет стандарт, который больше всего подходит для данного устройства, или же соответствующее нестандартное устройство (пункт 4.8). Может оказаться, что не все органы по официальному утверждению и технические службы разделяют одно и то же мнение, что создает некоторую неопределенность. Кроме того, пользователи сцепных устройств класса S не знают, по какому уровню безопасности следует испытывать данное сцепное устройство. В то же время изготовителям эти требования известны. </w:t>
      </w:r>
    </w:p>
    <w:p w:rsidR="00F576F9" w:rsidRDefault="00F576F9" w:rsidP="00F576F9">
      <w:pPr>
        <w:pStyle w:val="SingleTxt"/>
      </w:pPr>
      <w:r>
        <w:t>3.</w:t>
      </w:r>
      <w:r>
        <w:tab/>
        <w:t>Одна из целей Правил состоит в том, чтобы уточнить уровень безопасности, а также требования и испытания. Применительно к сцепным устройствам кла</w:t>
      </w:r>
      <w:r>
        <w:t>с</w:t>
      </w:r>
      <w:r>
        <w:t>са</w:t>
      </w:r>
      <w:r w:rsidR="00D90882">
        <w:t> </w:t>
      </w:r>
      <w:r>
        <w:t xml:space="preserve">S эта цель на данный момент не достигнута. В случае старых типов сцепных </w:t>
      </w:r>
      <w:r>
        <w:lastRenderedPageBreak/>
        <w:t>устройств, которые уже используются на региональном уровне в течение дл</w:t>
      </w:r>
      <w:r>
        <w:t>и</w:t>
      </w:r>
      <w:r>
        <w:t>тельного времени и, как показывает практика, обладают требуемым уровнем бе</w:t>
      </w:r>
      <w:r>
        <w:t>з</w:t>
      </w:r>
      <w:r>
        <w:t xml:space="preserve">опасности, имеющиеся недостатки приемлемы, прежде всего по той причине, что очень рассчитывать на экспорт так называемых </w:t>
      </w:r>
      <w:r w:rsidR="00D90882">
        <w:t>«</w:t>
      </w:r>
      <w:r>
        <w:t>национальных</w:t>
      </w:r>
      <w:r w:rsidR="00D90882">
        <w:t>»</w:t>
      </w:r>
      <w:r>
        <w:t xml:space="preserve"> сцепных устройств вряд ли можно. Вместе с тем сцепные устройства класса S нельзя и</w:t>
      </w:r>
      <w:r>
        <w:t>с</w:t>
      </w:r>
      <w:r>
        <w:t>пользовать вместо сцепных устройств, которые разработаны совсем недавно.</w:t>
      </w:r>
    </w:p>
    <w:p w:rsidR="00B47006" w:rsidRDefault="00F576F9" w:rsidP="00F576F9">
      <w:pPr>
        <w:pStyle w:val="SingleTxt"/>
      </w:pPr>
      <w:r>
        <w:t>4.</w:t>
      </w:r>
      <w:r>
        <w:tab/>
        <w:t>Цель настоящего предложенного текста – сохранить первоначальное пре</w:t>
      </w:r>
      <w:r>
        <w:t>д</w:t>
      </w:r>
      <w:r>
        <w:t>назначение класса S и исключить возможность его неправильного использования с учетом того факта, что иной вариант мог бы заключаться в полном исключении класса S, поскольку, как можно предположить, все сцепные устройства, соотве</w:t>
      </w:r>
      <w:r>
        <w:t>т</w:t>
      </w:r>
      <w:r>
        <w:t>ствующие национальным стандартам, будут официально утверждаться – в том случае, если заинтересованность в таком официальном утверждении существ</w:t>
      </w:r>
      <w:r>
        <w:t>у</w:t>
      </w:r>
      <w:r>
        <w:t>ет, – на основании Правил № 55. Правила в этой области и класс S существуют уже около 13 лет. Новые сцепные устройства можно будет включить в Правила в том случае, если такие устройства начнут поступать на рынок.</w:t>
      </w:r>
    </w:p>
    <w:p w:rsidR="009453C0" w:rsidRPr="009453C0" w:rsidRDefault="009453C0" w:rsidP="009453C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9453C0" w:rsidRPr="009453C0" w:rsidSect="00B47006">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1T10:04:00Z" w:initials="Start">
    <w:p w:rsidR="00B47006" w:rsidRPr="00F576F9" w:rsidRDefault="00B47006">
      <w:pPr>
        <w:pStyle w:val="CommentText"/>
        <w:rPr>
          <w:lang w:val="en-US"/>
        </w:rPr>
      </w:pPr>
      <w:r>
        <w:fldChar w:fldCharType="begin"/>
      </w:r>
      <w:r w:rsidRPr="00F576F9">
        <w:rPr>
          <w:rStyle w:val="CommentReference"/>
          <w:lang w:val="en-US"/>
        </w:rPr>
        <w:instrText xml:space="preserve"> </w:instrText>
      </w:r>
      <w:r w:rsidRPr="00F576F9">
        <w:rPr>
          <w:lang w:val="en-US"/>
        </w:rPr>
        <w:instrText>PAGE \# "'Page: '#'</w:instrText>
      </w:r>
      <w:r w:rsidRPr="00F576F9">
        <w:rPr>
          <w:lang w:val="en-US"/>
        </w:rPr>
        <w:br/>
        <w:instrText>'"</w:instrText>
      </w:r>
      <w:r w:rsidRPr="00F576F9">
        <w:rPr>
          <w:rStyle w:val="CommentReference"/>
          <w:lang w:val="en-US"/>
        </w:rPr>
        <w:instrText xml:space="preserve"> </w:instrText>
      </w:r>
      <w:r>
        <w:fldChar w:fldCharType="end"/>
      </w:r>
      <w:r>
        <w:rPr>
          <w:rStyle w:val="CommentReference"/>
        </w:rPr>
        <w:annotationRef/>
      </w:r>
      <w:r w:rsidRPr="00F576F9">
        <w:rPr>
          <w:lang w:val="en-US"/>
        </w:rPr>
        <w:t>&lt;&lt;ODS JOB NO&gt;&gt;N1514776R&lt;&lt;ODS JOB NO&gt;&gt;</w:t>
      </w:r>
    </w:p>
    <w:p w:rsidR="00B47006" w:rsidRDefault="00B47006">
      <w:pPr>
        <w:pStyle w:val="CommentText"/>
      </w:pPr>
      <w:r>
        <w:t>&lt;&lt;ODS DOC SYMBOL1&gt;&gt;ECE/TRANS/WP.29/GRRF/2015/36&lt;&lt;ODS DOC SYMBOL1&gt;&gt;</w:t>
      </w:r>
    </w:p>
    <w:p w:rsidR="00B47006" w:rsidRDefault="00B4700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94" w:rsidRDefault="00203394" w:rsidP="008A1A7A">
      <w:pPr>
        <w:spacing w:line="240" w:lineRule="auto"/>
      </w:pPr>
      <w:r>
        <w:separator/>
      </w:r>
    </w:p>
  </w:endnote>
  <w:endnote w:type="continuationSeparator" w:id="0">
    <w:p w:rsidR="00203394" w:rsidRDefault="0020339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47006" w:rsidTr="00B47006">
      <w:trPr>
        <w:jc w:val="center"/>
      </w:trPr>
      <w:tc>
        <w:tcPr>
          <w:tcW w:w="5126" w:type="dxa"/>
          <w:shd w:val="clear" w:color="auto" w:fill="auto"/>
          <w:vAlign w:val="bottom"/>
        </w:tcPr>
        <w:p w:rsidR="00B47006" w:rsidRPr="00B47006" w:rsidRDefault="00B47006" w:rsidP="00B47006">
          <w:pPr>
            <w:pStyle w:val="Footer"/>
            <w:rPr>
              <w:color w:val="000000"/>
            </w:rPr>
          </w:pPr>
          <w:r>
            <w:fldChar w:fldCharType="begin"/>
          </w:r>
          <w:r>
            <w:instrText xml:space="preserve"> PAGE  \* Arabic  \* MERGEFORMAT </w:instrText>
          </w:r>
          <w:r>
            <w:fldChar w:fldCharType="separate"/>
          </w:r>
          <w:r w:rsidR="005F1BAF">
            <w:rPr>
              <w:noProof/>
            </w:rPr>
            <w:t>2</w:t>
          </w:r>
          <w:r>
            <w:fldChar w:fldCharType="end"/>
          </w:r>
          <w:r>
            <w:t>/</w:t>
          </w:r>
          <w:r w:rsidR="005F1BAF">
            <w:fldChar w:fldCharType="begin"/>
          </w:r>
          <w:r w:rsidR="005F1BAF">
            <w:instrText xml:space="preserve"> NUMPAGES  \* Arabic  \* MERGEFORMAT </w:instrText>
          </w:r>
          <w:r w:rsidR="005F1BAF">
            <w:fldChar w:fldCharType="separate"/>
          </w:r>
          <w:r w:rsidR="005F1BAF">
            <w:rPr>
              <w:noProof/>
            </w:rPr>
            <w:t>2</w:t>
          </w:r>
          <w:r w:rsidR="005F1BAF">
            <w:rPr>
              <w:noProof/>
            </w:rPr>
            <w:fldChar w:fldCharType="end"/>
          </w:r>
        </w:p>
      </w:tc>
      <w:tc>
        <w:tcPr>
          <w:tcW w:w="5127" w:type="dxa"/>
          <w:shd w:val="clear" w:color="auto" w:fill="auto"/>
          <w:vAlign w:val="bottom"/>
        </w:tcPr>
        <w:p w:rsidR="00B47006" w:rsidRPr="00B47006" w:rsidRDefault="00B47006" w:rsidP="00B4700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40BC">
            <w:rPr>
              <w:b w:val="0"/>
              <w:color w:val="000000"/>
              <w:sz w:val="14"/>
            </w:rPr>
            <w:t>GE. 15-11294</w:t>
          </w:r>
          <w:r>
            <w:rPr>
              <w:b w:val="0"/>
              <w:color w:val="000000"/>
              <w:sz w:val="14"/>
            </w:rPr>
            <w:fldChar w:fldCharType="end"/>
          </w:r>
        </w:p>
      </w:tc>
    </w:tr>
  </w:tbl>
  <w:p w:rsidR="00B47006" w:rsidRPr="00B47006" w:rsidRDefault="00B47006" w:rsidP="00B4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B47006" w:rsidTr="00B47006">
      <w:trPr>
        <w:jc w:val="center"/>
      </w:trPr>
      <w:tc>
        <w:tcPr>
          <w:tcW w:w="5126" w:type="dxa"/>
          <w:shd w:val="clear" w:color="auto" w:fill="auto"/>
          <w:vAlign w:val="bottom"/>
        </w:tcPr>
        <w:p w:rsidR="00B47006" w:rsidRPr="00B47006" w:rsidRDefault="00B47006" w:rsidP="00B4700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140BC">
            <w:rPr>
              <w:b w:val="0"/>
              <w:color w:val="000000"/>
              <w:sz w:val="14"/>
            </w:rPr>
            <w:t>GE. 15-11294</w:t>
          </w:r>
          <w:r>
            <w:rPr>
              <w:b w:val="0"/>
              <w:color w:val="000000"/>
              <w:sz w:val="14"/>
            </w:rPr>
            <w:fldChar w:fldCharType="end"/>
          </w:r>
        </w:p>
      </w:tc>
      <w:tc>
        <w:tcPr>
          <w:tcW w:w="5127" w:type="dxa"/>
          <w:shd w:val="clear" w:color="auto" w:fill="auto"/>
          <w:vAlign w:val="bottom"/>
        </w:tcPr>
        <w:p w:rsidR="00B47006" w:rsidRPr="00B47006" w:rsidRDefault="00B47006" w:rsidP="00B47006">
          <w:pPr>
            <w:pStyle w:val="Footer"/>
            <w:jc w:val="right"/>
          </w:pPr>
          <w:r>
            <w:fldChar w:fldCharType="begin"/>
          </w:r>
          <w:r>
            <w:instrText xml:space="preserve"> PAGE  \* Arabic  \* MERGEFORMAT </w:instrText>
          </w:r>
          <w:r>
            <w:fldChar w:fldCharType="separate"/>
          </w:r>
          <w:r w:rsidR="005F1BAF">
            <w:rPr>
              <w:noProof/>
            </w:rPr>
            <w:t>3</w:t>
          </w:r>
          <w:r>
            <w:fldChar w:fldCharType="end"/>
          </w:r>
          <w:r>
            <w:t>/</w:t>
          </w:r>
          <w:r w:rsidR="005F1BAF">
            <w:fldChar w:fldCharType="begin"/>
          </w:r>
          <w:r w:rsidR="005F1BAF">
            <w:instrText xml:space="preserve"> NUMPAGES  \* Arabic  \* MERGEFORMAT </w:instrText>
          </w:r>
          <w:r w:rsidR="005F1BAF">
            <w:fldChar w:fldCharType="separate"/>
          </w:r>
          <w:r w:rsidR="005F1BAF">
            <w:rPr>
              <w:noProof/>
            </w:rPr>
            <w:t>3</w:t>
          </w:r>
          <w:r w:rsidR="005F1BAF">
            <w:rPr>
              <w:noProof/>
            </w:rPr>
            <w:fldChar w:fldCharType="end"/>
          </w:r>
        </w:p>
      </w:tc>
    </w:tr>
  </w:tbl>
  <w:p w:rsidR="00B47006" w:rsidRPr="00B47006" w:rsidRDefault="00B47006" w:rsidP="00B47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B47006" w:rsidTr="00B47006">
      <w:tc>
        <w:tcPr>
          <w:tcW w:w="3873" w:type="dxa"/>
        </w:tcPr>
        <w:p w:rsidR="00B47006" w:rsidRDefault="00B47006" w:rsidP="00B47006">
          <w:pPr>
            <w:pStyle w:val="ReleaseDate"/>
            <w:rPr>
              <w:color w:val="010000"/>
            </w:rPr>
          </w:pPr>
          <w:r>
            <w:rPr>
              <w:noProof/>
              <w:lang w:val="en-GB" w:eastAsia="en-GB"/>
            </w:rPr>
            <w:drawing>
              <wp:anchor distT="0" distB="0" distL="114300" distR="114300" simplePos="0" relativeHeight="251658240" behindDoc="0" locked="0" layoutInCell="1" allowOverlap="1" wp14:anchorId="7C79145C" wp14:editId="4C0EFF76">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5/3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GE.15-11294 (R)</w:t>
          </w:r>
          <w:r>
            <w:rPr>
              <w:color w:val="010000"/>
            </w:rPr>
            <w:t xml:space="preserve">    2</w:t>
          </w:r>
          <w:r w:rsidR="009453C0">
            <w:rPr>
              <w:color w:val="010000"/>
            </w:rPr>
            <w:t>0</w:t>
          </w:r>
          <w:r>
            <w:rPr>
              <w:color w:val="010000"/>
            </w:rPr>
            <w:t>0715    210715</w:t>
          </w:r>
        </w:p>
        <w:p w:rsidR="00B47006" w:rsidRPr="00B47006" w:rsidRDefault="00B47006" w:rsidP="00B47006">
          <w:pPr>
            <w:spacing w:before="80" w:line="210" w:lineRule="exact"/>
            <w:rPr>
              <w:rFonts w:ascii="Barcode 3 of 9 by request" w:hAnsi="Barcode 3 of 9 by request"/>
              <w:w w:val="100"/>
              <w:sz w:val="24"/>
            </w:rPr>
          </w:pPr>
          <w:r>
            <w:rPr>
              <w:rFonts w:ascii="Barcode 3 of 9 by request" w:hAnsi="Barcode 3 of 9 by request"/>
              <w:w w:val="100"/>
              <w:sz w:val="24"/>
            </w:rPr>
            <w:t>*1511294*</w:t>
          </w:r>
        </w:p>
      </w:tc>
      <w:tc>
        <w:tcPr>
          <w:tcW w:w="5127" w:type="dxa"/>
        </w:tcPr>
        <w:p w:rsidR="00B47006" w:rsidRDefault="00B47006" w:rsidP="00B47006">
          <w:pPr>
            <w:pStyle w:val="Footer"/>
            <w:spacing w:line="240" w:lineRule="atLeast"/>
            <w:jc w:val="right"/>
            <w:rPr>
              <w:b w:val="0"/>
              <w:sz w:val="20"/>
            </w:rPr>
          </w:pPr>
          <w:r>
            <w:rPr>
              <w:b w:val="0"/>
              <w:noProof/>
              <w:sz w:val="20"/>
              <w:lang w:val="en-GB" w:eastAsia="en-GB"/>
            </w:rPr>
            <w:drawing>
              <wp:inline distT="0" distB="0" distL="0" distR="0" wp14:anchorId="766B3D3D" wp14:editId="0B19322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B47006" w:rsidRPr="00B47006" w:rsidRDefault="00B47006" w:rsidP="00B4700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94" w:rsidRPr="00F576F9" w:rsidRDefault="00F576F9" w:rsidP="00F576F9">
      <w:pPr>
        <w:pStyle w:val="Footer"/>
        <w:spacing w:after="80"/>
        <w:ind w:left="792"/>
        <w:rPr>
          <w:sz w:val="16"/>
        </w:rPr>
      </w:pPr>
      <w:r w:rsidRPr="00F576F9">
        <w:rPr>
          <w:sz w:val="16"/>
        </w:rPr>
        <w:t>__________________</w:t>
      </w:r>
    </w:p>
  </w:footnote>
  <w:footnote w:type="continuationSeparator" w:id="0">
    <w:p w:rsidR="00203394" w:rsidRPr="00F576F9" w:rsidRDefault="00F576F9" w:rsidP="00F576F9">
      <w:pPr>
        <w:pStyle w:val="Footer"/>
        <w:spacing w:after="80"/>
        <w:ind w:left="792"/>
        <w:rPr>
          <w:sz w:val="16"/>
        </w:rPr>
      </w:pPr>
      <w:r w:rsidRPr="00F576F9">
        <w:rPr>
          <w:sz w:val="16"/>
        </w:rPr>
        <w:t>__________________</w:t>
      </w:r>
    </w:p>
  </w:footnote>
  <w:footnote w:id="1">
    <w:p w:rsidR="00F576F9" w:rsidRPr="00F576F9" w:rsidRDefault="00F576F9" w:rsidP="00F576F9">
      <w:pPr>
        <w:pStyle w:val="FootnoteText"/>
        <w:tabs>
          <w:tab w:val="right" w:pos="1195"/>
          <w:tab w:val="left" w:pos="1267"/>
          <w:tab w:val="left" w:pos="1742"/>
          <w:tab w:val="left" w:pos="2218"/>
          <w:tab w:val="left" w:pos="2693"/>
        </w:tabs>
        <w:ind w:left="1267" w:right="1260" w:hanging="432"/>
      </w:pPr>
      <w:r>
        <w:tab/>
      </w:r>
      <w:r w:rsidRPr="00F576F9">
        <w:t xml:space="preserve">* </w:t>
      </w:r>
      <w:r>
        <w:tab/>
      </w:r>
      <w:r w:rsidRPr="00F576F9">
        <w:t xml:space="preserve">В соответствии с программой работы Комитета по внутреннему транспорту </w:t>
      </w:r>
      <w:r w:rsidR="009453C0">
        <w:br/>
      </w:r>
      <w:r w:rsidRPr="00F576F9">
        <w:t>на 2012−2016 годы (ECE/TRANS/224, пункт 94, и ECE/TRANS/2012/12,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7006" w:rsidTr="00B47006">
      <w:trPr>
        <w:trHeight w:hRule="exact" w:val="864"/>
        <w:jc w:val="center"/>
      </w:trPr>
      <w:tc>
        <w:tcPr>
          <w:tcW w:w="4882" w:type="dxa"/>
          <w:shd w:val="clear" w:color="auto" w:fill="auto"/>
          <w:vAlign w:val="bottom"/>
        </w:tcPr>
        <w:p w:rsidR="00B47006" w:rsidRPr="00B47006" w:rsidRDefault="00B47006" w:rsidP="00B47006">
          <w:pPr>
            <w:pStyle w:val="Header"/>
            <w:spacing w:after="80"/>
            <w:rPr>
              <w:b/>
            </w:rPr>
          </w:pPr>
          <w:r>
            <w:rPr>
              <w:b/>
            </w:rPr>
            <w:fldChar w:fldCharType="begin"/>
          </w:r>
          <w:r>
            <w:rPr>
              <w:b/>
            </w:rPr>
            <w:instrText xml:space="preserve"> DOCVARIABLE "sss1" \* MERGEFORMAT </w:instrText>
          </w:r>
          <w:r>
            <w:rPr>
              <w:b/>
            </w:rPr>
            <w:fldChar w:fldCharType="separate"/>
          </w:r>
          <w:r w:rsidR="006140BC">
            <w:rPr>
              <w:b/>
            </w:rPr>
            <w:t>ECE/TRANS/WP.29/GRRF/2015/36</w:t>
          </w:r>
          <w:r>
            <w:rPr>
              <w:b/>
            </w:rPr>
            <w:fldChar w:fldCharType="end"/>
          </w:r>
        </w:p>
      </w:tc>
      <w:tc>
        <w:tcPr>
          <w:tcW w:w="5127" w:type="dxa"/>
          <w:shd w:val="clear" w:color="auto" w:fill="auto"/>
          <w:vAlign w:val="bottom"/>
        </w:tcPr>
        <w:p w:rsidR="00B47006" w:rsidRDefault="00B47006" w:rsidP="00B47006">
          <w:pPr>
            <w:pStyle w:val="Header"/>
          </w:pPr>
        </w:p>
      </w:tc>
    </w:tr>
  </w:tbl>
  <w:p w:rsidR="00B47006" w:rsidRPr="00B47006" w:rsidRDefault="00B47006" w:rsidP="00B47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7006" w:rsidTr="00B47006">
      <w:trPr>
        <w:trHeight w:hRule="exact" w:val="864"/>
        <w:jc w:val="center"/>
      </w:trPr>
      <w:tc>
        <w:tcPr>
          <w:tcW w:w="4882" w:type="dxa"/>
          <w:shd w:val="clear" w:color="auto" w:fill="auto"/>
          <w:vAlign w:val="bottom"/>
        </w:tcPr>
        <w:p w:rsidR="00B47006" w:rsidRDefault="00B47006" w:rsidP="00B47006">
          <w:pPr>
            <w:pStyle w:val="Header"/>
          </w:pPr>
        </w:p>
      </w:tc>
      <w:tc>
        <w:tcPr>
          <w:tcW w:w="5127" w:type="dxa"/>
          <w:shd w:val="clear" w:color="auto" w:fill="auto"/>
          <w:vAlign w:val="bottom"/>
        </w:tcPr>
        <w:p w:rsidR="00B47006" w:rsidRPr="00B47006" w:rsidRDefault="00B47006" w:rsidP="00B47006">
          <w:pPr>
            <w:pStyle w:val="Header"/>
            <w:spacing w:after="80"/>
            <w:jc w:val="right"/>
            <w:rPr>
              <w:b/>
            </w:rPr>
          </w:pPr>
          <w:r>
            <w:rPr>
              <w:b/>
            </w:rPr>
            <w:fldChar w:fldCharType="begin"/>
          </w:r>
          <w:r>
            <w:rPr>
              <w:b/>
            </w:rPr>
            <w:instrText xml:space="preserve"> DOCVARIABLE "sss1" \* MERGEFORMAT </w:instrText>
          </w:r>
          <w:r>
            <w:rPr>
              <w:b/>
            </w:rPr>
            <w:fldChar w:fldCharType="separate"/>
          </w:r>
          <w:r w:rsidR="006140BC">
            <w:rPr>
              <w:b/>
            </w:rPr>
            <w:t>ECE/TRANS/WP.29/GRRF/2015/36</w:t>
          </w:r>
          <w:r>
            <w:rPr>
              <w:b/>
            </w:rPr>
            <w:fldChar w:fldCharType="end"/>
          </w:r>
        </w:p>
      </w:tc>
    </w:tr>
  </w:tbl>
  <w:p w:rsidR="00B47006" w:rsidRPr="00B47006" w:rsidRDefault="00B47006" w:rsidP="00B47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B47006" w:rsidTr="00B47006">
      <w:trPr>
        <w:trHeight w:hRule="exact" w:val="864"/>
      </w:trPr>
      <w:tc>
        <w:tcPr>
          <w:tcW w:w="4421" w:type="dxa"/>
          <w:gridSpan w:val="2"/>
          <w:tcBorders>
            <w:bottom w:val="single" w:sz="4" w:space="0" w:color="auto"/>
          </w:tcBorders>
          <w:shd w:val="clear" w:color="auto" w:fill="auto"/>
          <w:vAlign w:val="bottom"/>
        </w:tcPr>
        <w:p w:rsidR="00B47006" w:rsidRPr="00B47006" w:rsidRDefault="00B47006" w:rsidP="00B4700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B47006" w:rsidRDefault="00B47006" w:rsidP="00B47006">
          <w:pPr>
            <w:pStyle w:val="Header"/>
            <w:spacing w:after="120"/>
          </w:pPr>
        </w:p>
      </w:tc>
      <w:tc>
        <w:tcPr>
          <w:tcW w:w="5357" w:type="dxa"/>
          <w:gridSpan w:val="3"/>
          <w:tcBorders>
            <w:bottom w:val="single" w:sz="4" w:space="0" w:color="auto"/>
          </w:tcBorders>
          <w:shd w:val="clear" w:color="auto" w:fill="auto"/>
          <w:vAlign w:val="bottom"/>
        </w:tcPr>
        <w:p w:rsidR="00B47006" w:rsidRPr="00B47006" w:rsidRDefault="00B47006" w:rsidP="00B47006">
          <w:pPr>
            <w:pStyle w:val="Header"/>
            <w:spacing w:after="20"/>
            <w:jc w:val="right"/>
            <w:rPr>
              <w:sz w:val="20"/>
            </w:rPr>
          </w:pPr>
          <w:r>
            <w:rPr>
              <w:sz w:val="40"/>
            </w:rPr>
            <w:t>ECE</w:t>
          </w:r>
          <w:r>
            <w:rPr>
              <w:sz w:val="20"/>
            </w:rPr>
            <w:t>/TRANS/WP.29/GRRF/2015/36</w:t>
          </w:r>
        </w:p>
      </w:tc>
    </w:tr>
    <w:tr w:rsidR="00B47006" w:rsidRPr="00F576F9" w:rsidTr="00B47006">
      <w:trPr>
        <w:trHeight w:hRule="exact" w:val="2880"/>
      </w:trPr>
      <w:tc>
        <w:tcPr>
          <w:tcW w:w="1267" w:type="dxa"/>
          <w:tcBorders>
            <w:top w:val="single" w:sz="4" w:space="0" w:color="auto"/>
            <w:bottom w:val="single" w:sz="12" w:space="0" w:color="auto"/>
          </w:tcBorders>
          <w:shd w:val="clear" w:color="auto" w:fill="auto"/>
        </w:tcPr>
        <w:p w:rsidR="00B47006" w:rsidRPr="00B47006" w:rsidRDefault="00B47006" w:rsidP="00B47006">
          <w:pPr>
            <w:pStyle w:val="Header"/>
            <w:spacing w:before="120"/>
            <w:jc w:val="center"/>
          </w:pPr>
          <w:r>
            <w:t xml:space="preserve"> </w:t>
          </w:r>
          <w:r>
            <w:rPr>
              <w:noProof/>
              <w:lang w:val="en-GB" w:eastAsia="en-GB"/>
            </w:rPr>
            <w:drawing>
              <wp:inline distT="0" distB="0" distL="0" distR="0" wp14:anchorId="21247C61" wp14:editId="0FC465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47006" w:rsidRPr="00B47006" w:rsidRDefault="00B47006" w:rsidP="00B47006">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B47006" w:rsidRPr="00B47006" w:rsidRDefault="00B47006" w:rsidP="00B47006">
          <w:pPr>
            <w:pStyle w:val="Header"/>
            <w:spacing w:before="109"/>
          </w:pPr>
        </w:p>
      </w:tc>
      <w:tc>
        <w:tcPr>
          <w:tcW w:w="3280" w:type="dxa"/>
          <w:tcBorders>
            <w:top w:val="single" w:sz="4" w:space="0" w:color="auto"/>
            <w:bottom w:val="single" w:sz="12" w:space="0" w:color="auto"/>
          </w:tcBorders>
          <w:shd w:val="clear" w:color="auto" w:fill="auto"/>
        </w:tcPr>
        <w:p w:rsidR="00B47006" w:rsidRPr="00F576F9" w:rsidRDefault="00B47006" w:rsidP="00B47006">
          <w:pPr>
            <w:pStyle w:val="Distribution"/>
            <w:rPr>
              <w:color w:val="000000"/>
              <w:lang w:val="en-US"/>
            </w:rPr>
          </w:pPr>
          <w:r w:rsidRPr="00F576F9">
            <w:rPr>
              <w:color w:val="000000"/>
              <w:lang w:val="en-US"/>
            </w:rPr>
            <w:t>Distr.: General</w:t>
          </w:r>
        </w:p>
        <w:p w:rsidR="00B47006" w:rsidRPr="00F576F9" w:rsidRDefault="00B47006" w:rsidP="00B47006">
          <w:pPr>
            <w:pStyle w:val="Publication"/>
            <w:rPr>
              <w:color w:val="000000"/>
              <w:lang w:val="en-US"/>
            </w:rPr>
          </w:pPr>
          <w:r w:rsidRPr="00F576F9">
            <w:rPr>
              <w:color w:val="000000"/>
              <w:lang w:val="en-US"/>
            </w:rPr>
            <w:t>6 July 2015</w:t>
          </w:r>
        </w:p>
        <w:p w:rsidR="00B47006" w:rsidRPr="00F576F9" w:rsidRDefault="00B47006" w:rsidP="00B47006">
          <w:pPr>
            <w:rPr>
              <w:color w:val="000000"/>
              <w:lang w:val="en-US"/>
            </w:rPr>
          </w:pPr>
          <w:r w:rsidRPr="00F576F9">
            <w:rPr>
              <w:color w:val="000000"/>
              <w:lang w:val="en-US"/>
            </w:rPr>
            <w:t>Russian</w:t>
          </w:r>
        </w:p>
        <w:p w:rsidR="00B47006" w:rsidRPr="00F576F9" w:rsidRDefault="00B47006" w:rsidP="00B47006">
          <w:pPr>
            <w:pStyle w:val="Original"/>
            <w:rPr>
              <w:color w:val="000000"/>
              <w:lang w:val="en-US"/>
            </w:rPr>
          </w:pPr>
          <w:r w:rsidRPr="00F576F9">
            <w:rPr>
              <w:color w:val="000000"/>
              <w:lang w:val="en-US"/>
            </w:rPr>
            <w:t>Original: English</w:t>
          </w:r>
        </w:p>
        <w:p w:rsidR="00B47006" w:rsidRPr="00F576F9" w:rsidRDefault="00B47006" w:rsidP="00B47006">
          <w:pPr>
            <w:rPr>
              <w:lang w:val="en-US"/>
            </w:rPr>
          </w:pPr>
        </w:p>
      </w:tc>
    </w:tr>
  </w:tbl>
  <w:p w:rsidR="00B47006" w:rsidRPr="00F576F9" w:rsidRDefault="00B47006" w:rsidP="00B4700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294*"/>
    <w:docVar w:name="CreationDt" w:val="7/21/2015 10:04 AM"/>
    <w:docVar w:name="DocCategory" w:val="Doc"/>
    <w:docVar w:name="DocType" w:val="Final"/>
    <w:docVar w:name="DutyStation" w:val="Geneva"/>
    <w:docVar w:name="FooterJN" w:val="GE. 15-11294"/>
    <w:docVar w:name="jobn" w:val="GE. 15-11294 (R)"/>
    <w:docVar w:name="jobnDT" w:val="GE. 15-11294 (R)   210715"/>
    <w:docVar w:name="jobnDTDT" w:val="GE. 15-11294 (R)   210715   210715"/>
    <w:docVar w:name="JobNo" w:val="GE. 1511294R"/>
    <w:docVar w:name="JobNo2" w:val="1514776R"/>
    <w:docVar w:name="LocalDrive" w:val="0"/>
    <w:docVar w:name="OandT" w:val=" "/>
    <w:docVar w:name="PaperSize" w:val="A4"/>
    <w:docVar w:name="sss1" w:val="ECE/TRANS/WP.29/GRRF/2015/36"/>
    <w:docVar w:name="sss2" w:val="-"/>
    <w:docVar w:name="Symbol1" w:val="ECE/TRANS/WP.29/GRRF/2015/36"/>
    <w:docVar w:name="Symbol2" w:val="-"/>
  </w:docVars>
  <w:rsids>
    <w:rsidRoot w:val="00203394"/>
    <w:rsid w:val="00004615"/>
    <w:rsid w:val="00004756"/>
    <w:rsid w:val="00015201"/>
    <w:rsid w:val="00024A67"/>
    <w:rsid w:val="00025CF3"/>
    <w:rsid w:val="00033C1F"/>
    <w:rsid w:val="000513EF"/>
    <w:rsid w:val="0005420D"/>
    <w:rsid w:val="00055EA2"/>
    <w:rsid w:val="00067A90"/>
    <w:rsid w:val="00070C37"/>
    <w:rsid w:val="00076F88"/>
    <w:rsid w:val="0008067C"/>
    <w:rsid w:val="00092464"/>
    <w:rsid w:val="000A111E"/>
    <w:rsid w:val="000A4A11"/>
    <w:rsid w:val="000C069D"/>
    <w:rsid w:val="000C67BC"/>
    <w:rsid w:val="000E0F08"/>
    <w:rsid w:val="000E30BA"/>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E21CE"/>
    <w:rsid w:val="001E25A2"/>
    <w:rsid w:val="001E61AD"/>
    <w:rsid w:val="001E639C"/>
    <w:rsid w:val="001F4353"/>
    <w:rsid w:val="001F639D"/>
    <w:rsid w:val="00203394"/>
    <w:rsid w:val="00206603"/>
    <w:rsid w:val="002078A2"/>
    <w:rsid w:val="00211A7E"/>
    <w:rsid w:val="00215955"/>
    <w:rsid w:val="00217A24"/>
    <w:rsid w:val="00223C57"/>
    <w:rsid w:val="00242477"/>
    <w:rsid w:val="002535D8"/>
    <w:rsid w:val="00254046"/>
    <w:rsid w:val="00261386"/>
    <w:rsid w:val="00261C41"/>
    <w:rsid w:val="00264124"/>
    <w:rsid w:val="00264A43"/>
    <w:rsid w:val="002726BA"/>
    <w:rsid w:val="00277697"/>
    <w:rsid w:val="00281B96"/>
    <w:rsid w:val="002A04A3"/>
    <w:rsid w:val="002A0BAE"/>
    <w:rsid w:val="002B6501"/>
    <w:rsid w:val="002B6E2A"/>
    <w:rsid w:val="002C3DE6"/>
    <w:rsid w:val="002C66D0"/>
    <w:rsid w:val="002D396F"/>
    <w:rsid w:val="002D4606"/>
    <w:rsid w:val="002D666D"/>
    <w:rsid w:val="002E1F79"/>
    <w:rsid w:val="002F5C45"/>
    <w:rsid w:val="002F6149"/>
    <w:rsid w:val="00326F5F"/>
    <w:rsid w:val="00332D90"/>
    <w:rsid w:val="00333B06"/>
    <w:rsid w:val="00337D91"/>
    <w:rsid w:val="00343A7D"/>
    <w:rsid w:val="00346BFB"/>
    <w:rsid w:val="00350756"/>
    <w:rsid w:val="003542EE"/>
    <w:rsid w:val="00362FFE"/>
    <w:rsid w:val="003658B0"/>
    <w:rsid w:val="00382AC9"/>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87893"/>
    <w:rsid w:val="004964B8"/>
    <w:rsid w:val="004A21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3411"/>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90EDF"/>
    <w:rsid w:val="005933CB"/>
    <w:rsid w:val="00593E2F"/>
    <w:rsid w:val="005A002C"/>
    <w:rsid w:val="005A1D01"/>
    <w:rsid w:val="005A62A9"/>
    <w:rsid w:val="005A7964"/>
    <w:rsid w:val="005B064E"/>
    <w:rsid w:val="005B499C"/>
    <w:rsid w:val="005C0440"/>
    <w:rsid w:val="005D38B6"/>
    <w:rsid w:val="005D7642"/>
    <w:rsid w:val="005E0A46"/>
    <w:rsid w:val="005E3D0D"/>
    <w:rsid w:val="005E7DCF"/>
    <w:rsid w:val="005F1BAF"/>
    <w:rsid w:val="005F6E5C"/>
    <w:rsid w:val="00602F9D"/>
    <w:rsid w:val="0060593E"/>
    <w:rsid w:val="006140BC"/>
    <w:rsid w:val="00616B8D"/>
    <w:rsid w:val="006261A6"/>
    <w:rsid w:val="0062751F"/>
    <w:rsid w:val="00632AFD"/>
    <w:rsid w:val="0063491E"/>
    <w:rsid w:val="00634A27"/>
    <w:rsid w:val="00635AF8"/>
    <w:rsid w:val="006409EF"/>
    <w:rsid w:val="00646363"/>
    <w:rsid w:val="00647668"/>
    <w:rsid w:val="00655212"/>
    <w:rsid w:val="00657EE4"/>
    <w:rsid w:val="006816AA"/>
    <w:rsid w:val="00682A27"/>
    <w:rsid w:val="0069689E"/>
    <w:rsid w:val="006A1698"/>
    <w:rsid w:val="006A1D06"/>
    <w:rsid w:val="006A3F10"/>
    <w:rsid w:val="006A71EB"/>
    <w:rsid w:val="006B34CB"/>
    <w:rsid w:val="006B452C"/>
    <w:rsid w:val="006B590B"/>
    <w:rsid w:val="006C59D5"/>
    <w:rsid w:val="006E1418"/>
    <w:rsid w:val="006F3683"/>
    <w:rsid w:val="00700738"/>
    <w:rsid w:val="00705549"/>
    <w:rsid w:val="0071210D"/>
    <w:rsid w:val="00716BC5"/>
    <w:rsid w:val="007170E5"/>
    <w:rsid w:val="00723115"/>
    <w:rsid w:val="00724550"/>
    <w:rsid w:val="00731830"/>
    <w:rsid w:val="00736A19"/>
    <w:rsid w:val="00745258"/>
    <w:rsid w:val="0077374B"/>
    <w:rsid w:val="007746A3"/>
    <w:rsid w:val="007766E6"/>
    <w:rsid w:val="00781ACA"/>
    <w:rsid w:val="00785F8F"/>
    <w:rsid w:val="00787B44"/>
    <w:rsid w:val="00791F20"/>
    <w:rsid w:val="00795A5A"/>
    <w:rsid w:val="00796EC3"/>
    <w:rsid w:val="007B098D"/>
    <w:rsid w:val="007B1DE5"/>
    <w:rsid w:val="007B5785"/>
    <w:rsid w:val="007B5CF3"/>
    <w:rsid w:val="007B67AE"/>
    <w:rsid w:val="007C62D1"/>
    <w:rsid w:val="007C706F"/>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53C0"/>
    <w:rsid w:val="0094745A"/>
    <w:rsid w:val="00952B5F"/>
    <w:rsid w:val="00953546"/>
    <w:rsid w:val="0095649D"/>
    <w:rsid w:val="00963BDB"/>
    <w:rsid w:val="00984EE4"/>
    <w:rsid w:val="0099354F"/>
    <w:rsid w:val="009B16EA"/>
    <w:rsid w:val="009B3444"/>
    <w:rsid w:val="009B5DCD"/>
    <w:rsid w:val="009B5EE6"/>
    <w:rsid w:val="009B7193"/>
    <w:rsid w:val="009C382E"/>
    <w:rsid w:val="009D28B9"/>
    <w:rsid w:val="009D6E3D"/>
    <w:rsid w:val="009F0808"/>
    <w:rsid w:val="00A1426A"/>
    <w:rsid w:val="00A14F1D"/>
    <w:rsid w:val="00A1703F"/>
    <w:rsid w:val="00A2180A"/>
    <w:rsid w:val="00A22293"/>
    <w:rsid w:val="00A32A50"/>
    <w:rsid w:val="00A344D5"/>
    <w:rsid w:val="00A46574"/>
    <w:rsid w:val="00A63339"/>
    <w:rsid w:val="00A90F41"/>
    <w:rsid w:val="00A910E7"/>
    <w:rsid w:val="00A93B3B"/>
    <w:rsid w:val="00A951DD"/>
    <w:rsid w:val="00A9600A"/>
    <w:rsid w:val="00A96C80"/>
    <w:rsid w:val="00AA0ABF"/>
    <w:rsid w:val="00AA27C2"/>
    <w:rsid w:val="00AB49FD"/>
    <w:rsid w:val="00AC271B"/>
    <w:rsid w:val="00AD6322"/>
    <w:rsid w:val="00AD6752"/>
    <w:rsid w:val="00AD78B1"/>
    <w:rsid w:val="00AF0B91"/>
    <w:rsid w:val="00AF1A65"/>
    <w:rsid w:val="00AF3B70"/>
    <w:rsid w:val="00B03D42"/>
    <w:rsid w:val="00B17940"/>
    <w:rsid w:val="00B17A11"/>
    <w:rsid w:val="00B2296A"/>
    <w:rsid w:val="00B2472B"/>
    <w:rsid w:val="00B2753B"/>
    <w:rsid w:val="00B33139"/>
    <w:rsid w:val="00B47006"/>
    <w:rsid w:val="00B47187"/>
    <w:rsid w:val="00B5129B"/>
    <w:rsid w:val="00B56376"/>
    <w:rsid w:val="00B606B7"/>
    <w:rsid w:val="00B62C69"/>
    <w:rsid w:val="00B666EC"/>
    <w:rsid w:val="00B77560"/>
    <w:rsid w:val="00B77FC0"/>
    <w:rsid w:val="00BB052D"/>
    <w:rsid w:val="00BB1F92"/>
    <w:rsid w:val="00BB5B7F"/>
    <w:rsid w:val="00BB7E8A"/>
    <w:rsid w:val="00BC20A0"/>
    <w:rsid w:val="00BC75AA"/>
    <w:rsid w:val="00BD0770"/>
    <w:rsid w:val="00BD2F16"/>
    <w:rsid w:val="00BE2488"/>
    <w:rsid w:val="00BE2D25"/>
    <w:rsid w:val="00BE448A"/>
    <w:rsid w:val="00BE531D"/>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60105"/>
    <w:rsid w:val="00C623BF"/>
    <w:rsid w:val="00C6396F"/>
    <w:rsid w:val="00C640D1"/>
    <w:rsid w:val="00C64551"/>
    <w:rsid w:val="00C7011D"/>
    <w:rsid w:val="00C70D59"/>
    <w:rsid w:val="00C7432F"/>
    <w:rsid w:val="00C77473"/>
    <w:rsid w:val="00C856F4"/>
    <w:rsid w:val="00C91210"/>
    <w:rsid w:val="00C96443"/>
    <w:rsid w:val="00CA2CF3"/>
    <w:rsid w:val="00CB519E"/>
    <w:rsid w:val="00CC5B37"/>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32157"/>
    <w:rsid w:val="00D434AF"/>
    <w:rsid w:val="00D44FA6"/>
    <w:rsid w:val="00D554C9"/>
    <w:rsid w:val="00D61BB7"/>
    <w:rsid w:val="00D62DA9"/>
    <w:rsid w:val="00D70D97"/>
    <w:rsid w:val="00D7165D"/>
    <w:rsid w:val="00D75705"/>
    <w:rsid w:val="00D90882"/>
    <w:rsid w:val="00D961D6"/>
    <w:rsid w:val="00D97B17"/>
    <w:rsid w:val="00DA1A4A"/>
    <w:rsid w:val="00DA4AFE"/>
    <w:rsid w:val="00DA4BD0"/>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90547"/>
    <w:rsid w:val="00E970B0"/>
    <w:rsid w:val="00EA1656"/>
    <w:rsid w:val="00EA1819"/>
    <w:rsid w:val="00EA255B"/>
    <w:rsid w:val="00EB646E"/>
    <w:rsid w:val="00EC34C1"/>
    <w:rsid w:val="00EC6F5D"/>
    <w:rsid w:val="00EC7A61"/>
    <w:rsid w:val="00EE3586"/>
    <w:rsid w:val="00EE7954"/>
    <w:rsid w:val="00EF1FBD"/>
    <w:rsid w:val="00F07943"/>
    <w:rsid w:val="00F07DDF"/>
    <w:rsid w:val="00F16256"/>
    <w:rsid w:val="00F231E8"/>
    <w:rsid w:val="00F26EA8"/>
    <w:rsid w:val="00F30632"/>
    <w:rsid w:val="00F33544"/>
    <w:rsid w:val="00F35ACF"/>
    <w:rsid w:val="00F51C87"/>
    <w:rsid w:val="00F5214D"/>
    <w:rsid w:val="00F576F9"/>
    <w:rsid w:val="00F624BD"/>
    <w:rsid w:val="00F62A5E"/>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D213B"/>
    <w:rsid w:val="00FD3CE8"/>
    <w:rsid w:val="00FD5B91"/>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B47006"/>
    <w:rPr>
      <w:sz w:val="16"/>
      <w:szCs w:val="16"/>
    </w:rPr>
  </w:style>
  <w:style w:type="paragraph" w:styleId="CommentText">
    <w:name w:val="annotation text"/>
    <w:basedOn w:val="Normal"/>
    <w:link w:val="CommentTextChar"/>
    <w:uiPriority w:val="99"/>
    <w:semiHidden/>
    <w:unhideWhenUsed/>
    <w:rsid w:val="00B47006"/>
    <w:pPr>
      <w:spacing w:line="240" w:lineRule="auto"/>
    </w:pPr>
    <w:rPr>
      <w:szCs w:val="20"/>
    </w:rPr>
  </w:style>
  <w:style w:type="character" w:customStyle="1" w:styleId="CommentTextChar">
    <w:name w:val="Comment Text Char"/>
    <w:basedOn w:val="DefaultParagraphFont"/>
    <w:link w:val="CommentText"/>
    <w:uiPriority w:val="99"/>
    <w:semiHidden/>
    <w:rsid w:val="00B470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47006"/>
    <w:rPr>
      <w:b/>
      <w:bCs/>
    </w:rPr>
  </w:style>
  <w:style w:type="character" w:customStyle="1" w:styleId="CommentSubjectChar">
    <w:name w:val="Comment Subject Char"/>
    <w:basedOn w:val="CommentTextChar"/>
    <w:link w:val="CommentSubject"/>
    <w:uiPriority w:val="99"/>
    <w:semiHidden/>
    <w:rsid w:val="00B47006"/>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B47006"/>
    <w:rPr>
      <w:sz w:val="16"/>
      <w:szCs w:val="16"/>
    </w:rPr>
  </w:style>
  <w:style w:type="paragraph" w:styleId="CommentText">
    <w:name w:val="annotation text"/>
    <w:basedOn w:val="Normal"/>
    <w:link w:val="CommentTextChar"/>
    <w:uiPriority w:val="99"/>
    <w:semiHidden/>
    <w:unhideWhenUsed/>
    <w:rsid w:val="00B47006"/>
    <w:pPr>
      <w:spacing w:line="240" w:lineRule="auto"/>
    </w:pPr>
    <w:rPr>
      <w:szCs w:val="20"/>
    </w:rPr>
  </w:style>
  <w:style w:type="character" w:customStyle="1" w:styleId="CommentTextChar">
    <w:name w:val="Comment Text Char"/>
    <w:basedOn w:val="DefaultParagraphFont"/>
    <w:link w:val="CommentText"/>
    <w:uiPriority w:val="99"/>
    <w:semiHidden/>
    <w:rsid w:val="00B470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B47006"/>
    <w:rPr>
      <w:b/>
      <w:bCs/>
    </w:rPr>
  </w:style>
  <w:style w:type="character" w:customStyle="1" w:styleId="CommentSubjectChar">
    <w:name w:val="Comment Subject Char"/>
    <w:basedOn w:val="CommentTextChar"/>
    <w:link w:val="CommentSubject"/>
    <w:uiPriority w:val="99"/>
    <w:semiHidden/>
    <w:rsid w:val="00B47006"/>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4F7C-BC82-4D00-B85A-A11F4D36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Benedicte Boudol</cp:lastModifiedBy>
  <cp:revision>2</cp:revision>
  <cp:lastPrinted>2015-07-21T08:24:00Z</cp:lastPrinted>
  <dcterms:created xsi:type="dcterms:W3CDTF">2015-08-04T13:53:00Z</dcterms:created>
  <dcterms:modified xsi:type="dcterms:W3CDTF">2015-08-04T13:53:00Z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1511294R</vt:lpwstr>
  </property>
  <property fmtid="{D5CDD505-2E9C-101B-9397-08002B2CF9AE}" pid="3" name="ODSRefJobNo">
    <vt:lpwstr>1514776R</vt:lpwstr>
  </property>
  <property fmtid="{D5CDD505-2E9C-101B-9397-08002B2CF9AE}" pid="4" name="Symbol1">
    <vt:lpwstr>ECE/TRANS/WP.29/GRRF/2015/36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July 2015</vt:lpwstr>
  </property>
  <property fmtid="{D5CDD505-2E9C-101B-9397-08002B2CF9AE}" pid="12" name="Original">
    <vt:lpwstr>English</vt:lpwstr>
  </property>
  <property fmtid="{D5CDD505-2E9C-101B-9397-08002B2CF9AE}" pid="13" name="Release Date">
    <vt:lpwstr>210715</vt:lpwstr>
  </property>
</Properties>
</file>