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F0AA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9409CB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F0AA3" w:rsidP="00DF0AA3">
            <w:pPr>
              <w:jc w:val="right"/>
            </w:pPr>
            <w:r w:rsidRPr="00DF0AA3">
              <w:rPr>
                <w:sz w:val="40"/>
              </w:rPr>
              <w:t>ECE</w:t>
            </w:r>
            <w:r>
              <w:t>/TRANS/WP.29/GRE/73</w:t>
            </w:r>
          </w:p>
        </w:tc>
      </w:tr>
      <w:tr w:rsidR="00F35BAF" w:rsidRPr="00DB58B5" w:rsidTr="009409CB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9409CB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9409C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F0AA3" w:rsidP="009409CB">
            <w:pPr>
              <w:spacing w:before="240"/>
            </w:pPr>
            <w:r>
              <w:t>Distr. générale</w:t>
            </w:r>
          </w:p>
          <w:p w:rsidR="00DF0AA3" w:rsidRDefault="00DF0AA3" w:rsidP="00DF0AA3">
            <w:pPr>
              <w:spacing w:line="240" w:lineRule="exact"/>
            </w:pPr>
            <w:r>
              <w:t>18 mai 2015</w:t>
            </w:r>
          </w:p>
          <w:p w:rsidR="00DF0AA3" w:rsidRDefault="00DF0AA3" w:rsidP="00DF0AA3">
            <w:pPr>
              <w:spacing w:line="240" w:lineRule="exact"/>
            </w:pPr>
            <w:r>
              <w:t>Français</w:t>
            </w:r>
          </w:p>
          <w:p w:rsidR="00DF0AA3" w:rsidRPr="00DB58B5" w:rsidRDefault="00DF0AA3" w:rsidP="00DF0AA3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12E9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F0AA3" w:rsidRDefault="00DF0AA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12E90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F0AA3" w:rsidRDefault="00DF0AA3" w:rsidP="00F9573C">
      <w:pPr>
        <w:spacing w:before="120" w:after="120" w:line="240" w:lineRule="exact"/>
        <w:rPr>
          <w:b/>
        </w:rPr>
      </w:pPr>
      <w:r>
        <w:rPr>
          <w:b/>
        </w:rPr>
        <w:t xml:space="preserve">Groupe de travail </w:t>
      </w:r>
      <w:r w:rsidRPr="008F3F32">
        <w:rPr>
          <w:b/>
          <w:bCs/>
          <w:szCs w:val="24"/>
        </w:rPr>
        <w:t>de l</w:t>
      </w:r>
      <w:r w:rsidR="00912E90">
        <w:rPr>
          <w:b/>
          <w:bCs/>
          <w:szCs w:val="24"/>
        </w:rPr>
        <w:t>’</w:t>
      </w:r>
      <w:r w:rsidRPr="008F3F32">
        <w:rPr>
          <w:b/>
          <w:bCs/>
          <w:szCs w:val="24"/>
        </w:rPr>
        <w:t>éclairage et de la signalisation lumineuse</w:t>
      </w:r>
    </w:p>
    <w:p w:rsidR="00DF0AA3" w:rsidRDefault="00DF0AA3" w:rsidP="00F9573C">
      <w:pPr>
        <w:spacing w:before="120" w:line="240" w:lineRule="exact"/>
        <w:rPr>
          <w:b/>
        </w:rPr>
      </w:pPr>
      <w:r w:rsidRPr="008F3F32">
        <w:rPr>
          <w:b/>
          <w:szCs w:val="24"/>
        </w:rPr>
        <w:t xml:space="preserve">Soixante-treizième </w:t>
      </w:r>
      <w:r>
        <w:rPr>
          <w:b/>
        </w:rPr>
        <w:t>session</w:t>
      </w:r>
    </w:p>
    <w:p w:rsidR="00DF0AA3" w:rsidRDefault="00DF0AA3" w:rsidP="00F9573C">
      <w:pPr>
        <w:spacing w:line="240" w:lineRule="exact"/>
      </w:pPr>
      <w:r>
        <w:t xml:space="preserve">Genève, </w:t>
      </w:r>
      <w:r w:rsidRPr="00EA4839">
        <w:rPr>
          <w:szCs w:val="24"/>
        </w:rPr>
        <w:t xml:space="preserve">14-17 </w:t>
      </w:r>
      <w:r w:rsidRPr="008F3F32">
        <w:rPr>
          <w:szCs w:val="24"/>
        </w:rPr>
        <w:t>avr</w:t>
      </w:r>
      <w:r w:rsidRPr="00EA4839">
        <w:rPr>
          <w:szCs w:val="24"/>
        </w:rPr>
        <w:t>il 2015</w:t>
      </w:r>
    </w:p>
    <w:p w:rsidR="00DF0AA3" w:rsidRDefault="00DF0AA3" w:rsidP="00912E90">
      <w:pPr>
        <w:pStyle w:val="HChG"/>
      </w:pPr>
      <w:r w:rsidRPr="00EA4839">
        <w:tab/>
      </w:r>
      <w:r w:rsidRPr="00EA4839">
        <w:tab/>
      </w:r>
      <w:bookmarkStart w:id="1" w:name="_Toc365898453"/>
      <w:bookmarkStart w:id="2" w:name="_Toc369772204"/>
      <w:r w:rsidRPr="008F3F32">
        <w:t xml:space="preserve">Rapport du Groupe de </w:t>
      </w:r>
      <w:r w:rsidRPr="00DF0AA3">
        <w:t>travail</w:t>
      </w:r>
      <w:r w:rsidRPr="008F3F32">
        <w:t xml:space="preserve"> de l</w:t>
      </w:r>
      <w:r w:rsidR="00912E90">
        <w:t>’</w:t>
      </w:r>
      <w:r w:rsidRPr="008F3F32">
        <w:t xml:space="preserve">éclairage et de la signalisation lumineuse sur sa </w:t>
      </w:r>
      <w:r w:rsidRPr="00912E90">
        <w:t>soixante</w:t>
      </w:r>
      <w:r w:rsidRPr="008F3F32">
        <w:t>-</w:t>
      </w:r>
      <w:r>
        <w:t>trei</w:t>
      </w:r>
      <w:r w:rsidRPr="008F3F32">
        <w:t>zième session</w:t>
      </w:r>
      <w:bookmarkEnd w:id="1"/>
      <w:bookmarkEnd w:id="2"/>
    </w:p>
    <w:p w:rsidR="00DF0AA3" w:rsidRPr="00EA4839" w:rsidRDefault="00DF0AA3" w:rsidP="00DF0AA3">
      <w:pPr>
        <w:kinsoku/>
        <w:overflowPunct/>
        <w:autoSpaceDE/>
        <w:autoSpaceDN/>
        <w:adjustRightInd/>
        <w:snapToGrid/>
        <w:spacing w:after="120"/>
        <w:rPr>
          <w:sz w:val="28"/>
        </w:rPr>
      </w:pPr>
      <w:r>
        <w:rPr>
          <w:sz w:val="28"/>
        </w:rPr>
        <w:t xml:space="preserve">Table des matières </w:t>
      </w:r>
    </w:p>
    <w:p w:rsidR="00DF0AA3" w:rsidRPr="00DF0AA3" w:rsidRDefault="00DF0AA3" w:rsidP="00DF0AA3">
      <w:pPr>
        <w:tabs>
          <w:tab w:val="right" w:pos="8929"/>
          <w:tab w:val="right" w:pos="9638"/>
        </w:tabs>
        <w:spacing w:after="120"/>
        <w:ind w:left="283"/>
        <w:rPr>
          <w:i/>
          <w:sz w:val="18"/>
        </w:rPr>
      </w:pPr>
      <w:r w:rsidRPr="00DF0AA3">
        <w:rPr>
          <w:i/>
          <w:sz w:val="18"/>
        </w:rPr>
        <w:tab/>
        <w:t>Paragraphes</w:t>
      </w:r>
      <w:r w:rsidRPr="00DF0AA3">
        <w:rPr>
          <w:i/>
          <w:sz w:val="18"/>
        </w:rPr>
        <w:tab/>
        <w:t>Page</w:t>
      </w:r>
    </w:p>
    <w:p w:rsidR="00DF0AA3" w:rsidRPr="00EA4839" w:rsidRDefault="00DF0AA3" w:rsidP="00DF0AA3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EA4839">
        <w:tab/>
        <w:t>I.</w:t>
      </w:r>
      <w:r w:rsidRPr="00EA4839">
        <w:tab/>
      </w:r>
      <w:r w:rsidRPr="00DF0AA3">
        <w:t>Participation</w:t>
      </w:r>
      <w:r w:rsidRPr="00EA4839">
        <w:rPr>
          <w:webHidden/>
        </w:rPr>
        <w:tab/>
      </w:r>
      <w:r w:rsidRPr="00EA4839">
        <w:rPr>
          <w:webHidden/>
        </w:rPr>
        <w:tab/>
        <w:t>1</w:t>
      </w:r>
      <w:r w:rsidRPr="00EA4839">
        <w:rPr>
          <w:webHidden/>
        </w:rPr>
        <w:tab/>
        <w:t>2</w:t>
      </w:r>
    </w:p>
    <w:p w:rsidR="00DF0AA3" w:rsidRPr="00DF0AA3" w:rsidRDefault="00DF0AA3" w:rsidP="00DF0AA3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EA4839">
        <w:tab/>
      </w:r>
      <w:r w:rsidRPr="00DF0AA3">
        <w:t>II.</w:t>
      </w:r>
      <w:r w:rsidRPr="00DF0AA3">
        <w:tab/>
        <w:t>Adoption de l</w:t>
      </w:r>
      <w:r w:rsidR="00912E90">
        <w:t>’</w:t>
      </w:r>
      <w:r w:rsidRPr="00DF0AA3">
        <w:t>ordre du jour (point 1 de l</w:t>
      </w:r>
      <w:r w:rsidR="00912E90">
        <w:t>’</w:t>
      </w:r>
      <w:r w:rsidRPr="00DF0AA3">
        <w:t>ordre du jour)</w:t>
      </w:r>
      <w:r w:rsidRPr="00DF0AA3">
        <w:rPr>
          <w:webHidden/>
        </w:rPr>
        <w:tab/>
      </w:r>
      <w:r w:rsidRPr="00DF0AA3">
        <w:rPr>
          <w:webHidden/>
        </w:rPr>
        <w:tab/>
        <w:t>2-4</w:t>
      </w:r>
      <w:r w:rsidRPr="00DF0AA3">
        <w:rPr>
          <w:webHidden/>
        </w:rPr>
        <w:tab/>
        <w:t>3</w:t>
      </w:r>
    </w:p>
    <w:p w:rsidR="00DF0AA3" w:rsidRPr="00DF0AA3" w:rsidRDefault="00DF0AA3" w:rsidP="00DF0AA3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DF0AA3">
        <w:tab/>
        <w:t>III.</w:t>
      </w:r>
      <w:r w:rsidRPr="00DF0AA3">
        <w:tab/>
        <w:t>Accord de 1998 − Règlements techniques mondiaux (RTM)</w:t>
      </w:r>
      <w:r w:rsidR="00BE7246">
        <w:br/>
      </w:r>
      <w:r w:rsidRPr="00DF0AA3">
        <w:t>(point 2 de l</w:t>
      </w:r>
      <w:r w:rsidR="00912E90">
        <w:t>’</w:t>
      </w:r>
      <w:r w:rsidRPr="00DF0AA3">
        <w:t>ordre du jour)</w:t>
      </w:r>
      <w:r w:rsidRPr="00DF0AA3">
        <w:rPr>
          <w:webHidden/>
        </w:rPr>
        <w:tab/>
      </w:r>
      <w:r w:rsidRPr="00DF0AA3">
        <w:rPr>
          <w:webHidden/>
        </w:rPr>
        <w:tab/>
        <w:t>5</w:t>
      </w:r>
      <w:r w:rsidRPr="00DF0AA3">
        <w:rPr>
          <w:webHidden/>
        </w:rPr>
        <w:tab/>
      </w:r>
      <w:r w:rsidRPr="00DF0AA3">
        <w:rPr>
          <w:webHidden/>
        </w:rPr>
        <w:fldChar w:fldCharType="begin"/>
      </w:r>
      <w:r w:rsidRPr="00DF0AA3">
        <w:rPr>
          <w:webHidden/>
        </w:rPr>
        <w:instrText xml:space="preserve"> PAGEREF _Toc369772207 \h </w:instrText>
      </w:r>
      <w:r w:rsidRPr="00DF0AA3">
        <w:rPr>
          <w:webHidden/>
        </w:rPr>
      </w:r>
      <w:r w:rsidRPr="00DF0AA3">
        <w:rPr>
          <w:webHidden/>
        </w:rPr>
        <w:fldChar w:fldCharType="separate"/>
      </w:r>
      <w:r w:rsidR="008334E6">
        <w:rPr>
          <w:noProof/>
          <w:webHidden/>
        </w:rPr>
        <w:t>3</w:t>
      </w:r>
      <w:r w:rsidRPr="00DF0AA3">
        <w:rPr>
          <w:webHidden/>
        </w:rPr>
        <w:fldChar w:fldCharType="end"/>
      </w:r>
    </w:p>
    <w:p w:rsidR="00DF0AA3" w:rsidRPr="00DF0AA3" w:rsidRDefault="00DF0AA3" w:rsidP="00DF0AA3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DF0AA3">
        <w:tab/>
        <w:t>IV.</w:t>
      </w:r>
      <w:r w:rsidRPr="00DF0AA3">
        <w:tab/>
        <w:t>Accord de 1997 − Règles (point 3 de l</w:t>
      </w:r>
      <w:r w:rsidR="00912E90">
        <w:t>’</w:t>
      </w:r>
      <w:r w:rsidRPr="00DF0AA3">
        <w:t>ordre du jour)</w:t>
      </w:r>
      <w:r w:rsidRPr="00DF0AA3">
        <w:rPr>
          <w:webHidden/>
        </w:rPr>
        <w:tab/>
      </w:r>
      <w:r w:rsidRPr="00DF0AA3">
        <w:rPr>
          <w:webHidden/>
        </w:rPr>
        <w:tab/>
        <w:t>6</w:t>
      </w:r>
      <w:r w:rsidRPr="00DF0AA3">
        <w:rPr>
          <w:webHidden/>
        </w:rPr>
        <w:tab/>
      </w:r>
      <w:r w:rsidRPr="00DF0AA3">
        <w:t>3</w:t>
      </w:r>
    </w:p>
    <w:p w:rsidR="00DF0AA3" w:rsidRPr="00DF0AA3" w:rsidRDefault="00DF0AA3" w:rsidP="00DF0AA3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DF0AA3">
        <w:tab/>
        <w:t>V.</w:t>
      </w:r>
      <w:r w:rsidRPr="00DF0AA3">
        <w:tab/>
        <w:t>Simplification des Règlements relatifs à l</w:t>
      </w:r>
      <w:r w:rsidR="00912E90">
        <w:t>’</w:t>
      </w:r>
      <w:r w:rsidRPr="00DF0AA3">
        <w:t>éclairage et à la signalisation</w:t>
      </w:r>
      <w:r>
        <w:br/>
      </w:r>
      <w:r w:rsidR="00912E90">
        <w:t>lumineuse</w:t>
      </w:r>
      <w:r w:rsidRPr="00DF0AA3">
        <w:t xml:space="preserve"> (point 4 de l</w:t>
      </w:r>
      <w:r w:rsidR="00912E90">
        <w:t>’</w:t>
      </w:r>
      <w:r w:rsidRPr="00DF0AA3">
        <w:t>ordre du jour)</w:t>
      </w:r>
      <w:r w:rsidRPr="00DF0AA3">
        <w:rPr>
          <w:webHidden/>
        </w:rPr>
        <w:tab/>
      </w:r>
      <w:r w:rsidRPr="00DF0AA3">
        <w:rPr>
          <w:webHidden/>
        </w:rPr>
        <w:tab/>
        <w:t>7-10</w:t>
      </w:r>
      <w:r w:rsidRPr="00DF0AA3">
        <w:rPr>
          <w:webHidden/>
        </w:rPr>
        <w:tab/>
      </w:r>
      <w:r w:rsidRPr="00DF0AA3">
        <w:t>3</w:t>
      </w:r>
    </w:p>
    <w:p w:rsidR="00DF0AA3" w:rsidRPr="00EA4839" w:rsidRDefault="00DF0AA3" w:rsidP="00DF0AA3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en-GB"/>
        </w:rPr>
      </w:pPr>
      <w:r w:rsidRPr="00DF0AA3">
        <w:tab/>
        <w:t>VI.</w:t>
      </w:r>
      <w:r w:rsidRPr="00DF0AA3">
        <w:tab/>
      </w:r>
      <w:r w:rsidR="00BE7246" w:rsidRPr="00BE7246">
        <w:t>Règlements n</w:t>
      </w:r>
      <w:r w:rsidR="00BE7246" w:rsidRPr="00BE7246">
        <w:rPr>
          <w:vertAlign w:val="superscript"/>
        </w:rPr>
        <w:t>os</w:t>
      </w:r>
      <w:r w:rsidR="00BE7246">
        <w:t> </w:t>
      </w:r>
      <w:r w:rsidR="00BE7246" w:rsidRPr="00BE7246">
        <w:t>37 (Lampes à incandescence), 99 (Sources lumineuses</w:t>
      </w:r>
      <w:r w:rsidR="00BE7246">
        <w:br/>
      </w:r>
      <w:r w:rsidR="00BE7246" w:rsidRPr="00BE7246">
        <w:t>à décharge) et 128 (Sources lumineuses à diodes électroluminescentes)</w:t>
      </w:r>
      <w:r w:rsidR="00BE7246">
        <w:br/>
      </w:r>
      <w:r w:rsidR="00BE7246" w:rsidRPr="00BE7246">
        <w:t>(point 5 de l</w:t>
      </w:r>
      <w:r w:rsidR="00912E90">
        <w:t>’</w:t>
      </w:r>
      <w:r w:rsidR="00BE7246" w:rsidRPr="00BE7246">
        <w:t>ordre du jour)</w:t>
      </w:r>
      <w:r w:rsidRPr="00EA4839">
        <w:rPr>
          <w:webHidden/>
          <w:lang w:val="en-GB"/>
        </w:rPr>
        <w:tab/>
      </w:r>
      <w:r w:rsidRPr="00EA4839">
        <w:rPr>
          <w:webHidden/>
          <w:lang w:val="en-GB"/>
        </w:rPr>
        <w:tab/>
        <w:t>11-13</w:t>
      </w:r>
      <w:r w:rsidRPr="00EA4839">
        <w:rPr>
          <w:webHidden/>
          <w:lang w:val="en-GB"/>
        </w:rPr>
        <w:tab/>
      </w:r>
      <w:r w:rsidR="00557D70">
        <w:rPr>
          <w:lang w:val="en-GB"/>
        </w:rPr>
        <w:t>5</w:t>
      </w:r>
    </w:p>
    <w:p w:rsidR="00DF0AA3" w:rsidRPr="00DF0AA3" w:rsidRDefault="00DF0AA3" w:rsidP="00DF0AA3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DF0AA3">
        <w:tab/>
        <w:t>VII.</w:t>
      </w:r>
      <w:r w:rsidRPr="00DF0AA3">
        <w:tab/>
      </w:r>
      <w:r w:rsidR="00BE7246" w:rsidRPr="00BE7246">
        <w:t>Règlement n</w:t>
      </w:r>
      <w:r w:rsidR="00BE7246" w:rsidRPr="00BE7246">
        <w:rPr>
          <w:vertAlign w:val="superscript"/>
        </w:rPr>
        <w:t>o</w:t>
      </w:r>
      <w:r w:rsidR="00BE7246">
        <w:t> </w:t>
      </w:r>
      <w:r w:rsidR="00BE7246" w:rsidRPr="00BE7246">
        <w:t>48 (Installation des dispositifs d</w:t>
      </w:r>
      <w:r w:rsidR="00912E90">
        <w:t>’</w:t>
      </w:r>
      <w:r w:rsidR="00BE7246" w:rsidRPr="00BE7246">
        <w:t>éclairage et de signalisation</w:t>
      </w:r>
      <w:r w:rsidR="00BE7246">
        <w:br/>
      </w:r>
      <w:r w:rsidR="00BE7246" w:rsidRPr="00BE7246">
        <w:t>lumineuse) (point 6 de l</w:t>
      </w:r>
      <w:r w:rsidR="00912E90">
        <w:t>’</w:t>
      </w:r>
      <w:r w:rsidR="00BE7246" w:rsidRPr="00BE7246">
        <w:t>ordre du jour)</w:t>
      </w:r>
      <w:r w:rsidRPr="00BE7246">
        <w:rPr>
          <w:webHidden/>
        </w:rPr>
        <w:tab/>
      </w:r>
      <w:r w:rsidR="00BE7246">
        <w:rPr>
          <w:webHidden/>
        </w:rPr>
        <w:tab/>
      </w:r>
      <w:r w:rsidRPr="00DF0AA3">
        <w:rPr>
          <w:webHidden/>
        </w:rPr>
        <w:t>14-20</w:t>
      </w:r>
      <w:r w:rsidRPr="00DF0AA3">
        <w:rPr>
          <w:webHidden/>
        </w:rPr>
        <w:tab/>
      </w:r>
      <w:r w:rsidRPr="00DF0AA3">
        <w:t>5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A.</w:t>
      </w:r>
      <w:r w:rsidRPr="00DF0AA3">
        <w:tab/>
      </w:r>
      <w:r w:rsidR="00BE7246" w:rsidRPr="00BE7246">
        <w:t>Propositions d</w:t>
      </w:r>
      <w:r w:rsidR="00912E90">
        <w:t>’</w:t>
      </w:r>
      <w:r w:rsidR="00BE7246" w:rsidRPr="00BE7246">
        <w:t>amendements aux séries</w:t>
      </w:r>
      <w:r w:rsidR="00BE7246">
        <w:t> </w:t>
      </w:r>
      <w:r w:rsidR="00BE7246" w:rsidRPr="00BE7246">
        <w:t>05 et 06 d</w:t>
      </w:r>
      <w:r w:rsidR="00912E90">
        <w:t>’</w:t>
      </w:r>
      <w:r w:rsidR="00BE7246" w:rsidRPr="00BE7246">
        <w:t>amendements</w:t>
      </w:r>
      <w:r w:rsidR="00BE7246" w:rsidRPr="00330BB6">
        <w:rPr>
          <w:b/>
          <w:szCs w:val="24"/>
        </w:rPr>
        <w:t xml:space="preserve"> </w:t>
      </w:r>
      <w:r w:rsidRPr="00DF0AA3">
        <w:rPr>
          <w:webHidden/>
        </w:rPr>
        <w:tab/>
      </w:r>
      <w:r w:rsidRPr="00DF0AA3">
        <w:rPr>
          <w:webHidden/>
        </w:rPr>
        <w:tab/>
        <w:t>14-16</w:t>
      </w:r>
      <w:r w:rsidRPr="00DF0AA3">
        <w:rPr>
          <w:webHidden/>
        </w:rPr>
        <w:tab/>
      </w:r>
      <w:r w:rsidRPr="00DF0AA3">
        <w:t>5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B.</w:t>
      </w:r>
      <w:r w:rsidRPr="00DF0AA3">
        <w:tab/>
      </w:r>
      <w:r w:rsidR="00BE7246">
        <w:t>Autres propositions d</w:t>
      </w:r>
      <w:r w:rsidR="00912E90">
        <w:t>’</w:t>
      </w:r>
      <w:r w:rsidR="00BE7246">
        <w:t xml:space="preserve">amendements au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BE7246">
        <w:t>48</w:t>
      </w:r>
      <w:r w:rsidRPr="00DF0AA3">
        <w:rPr>
          <w:webHidden/>
        </w:rPr>
        <w:tab/>
      </w:r>
      <w:r w:rsidRPr="00DF0AA3">
        <w:rPr>
          <w:webHidden/>
        </w:rPr>
        <w:tab/>
        <w:t>17-20</w:t>
      </w:r>
      <w:r w:rsidRPr="00DF0AA3">
        <w:rPr>
          <w:webHidden/>
        </w:rPr>
        <w:tab/>
      </w:r>
      <w:r w:rsidR="00557D70">
        <w:t>6</w:t>
      </w:r>
    </w:p>
    <w:p w:rsidR="00DF0AA3" w:rsidRPr="00DF0AA3" w:rsidRDefault="00DF0AA3" w:rsidP="00DF0AA3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DF0AA3">
        <w:tab/>
        <w:t>VIII.</w:t>
      </w:r>
      <w:r w:rsidRPr="00DF0AA3">
        <w:tab/>
      </w:r>
      <w:r w:rsidR="00BE7246">
        <w:t>Autres Règlements (point 7 de l</w:t>
      </w:r>
      <w:r w:rsidR="00912E90">
        <w:t>’</w:t>
      </w:r>
      <w:r w:rsidR="00BE7246">
        <w:t>ordre du jour)</w:t>
      </w:r>
      <w:r w:rsidRPr="00DF0AA3">
        <w:rPr>
          <w:webHidden/>
        </w:rPr>
        <w:tab/>
      </w:r>
      <w:r w:rsidRPr="00DF0AA3">
        <w:rPr>
          <w:webHidden/>
        </w:rPr>
        <w:tab/>
        <w:t>21-39</w:t>
      </w:r>
      <w:r w:rsidRPr="00DF0AA3">
        <w:rPr>
          <w:webHidden/>
        </w:rPr>
        <w:tab/>
      </w:r>
      <w:r w:rsidR="00557D70">
        <w:rPr>
          <w:webHidden/>
        </w:rPr>
        <w:t>7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A.</w:t>
      </w:r>
      <w:r w:rsidRPr="00DF0AA3">
        <w:tab/>
      </w:r>
      <w:r w:rsidR="00BE7246"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BE7246">
        <w:t>6 (Feux indicateurs de direction)</w:t>
      </w:r>
      <w:r w:rsidRPr="00DF0AA3">
        <w:rPr>
          <w:webHidden/>
        </w:rPr>
        <w:tab/>
      </w:r>
      <w:r w:rsidRPr="00DF0AA3">
        <w:rPr>
          <w:webHidden/>
        </w:rPr>
        <w:tab/>
        <w:t>21-23</w:t>
      </w:r>
      <w:r w:rsidRPr="00DF0AA3">
        <w:rPr>
          <w:webHidden/>
        </w:rPr>
        <w:tab/>
      </w:r>
      <w:r w:rsidR="00557D70">
        <w:t>7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lastRenderedPageBreak/>
        <w:t>B.</w:t>
      </w:r>
      <w:r w:rsidRPr="00DF0AA3">
        <w:tab/>
      </w:r>
      <w:r w:rsidR="00BE7246"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BE7246">
        <w:t>7 (Feux de position, feux-stop et feux d</w:t>
      </w:r>
      <w:r w:rsidR="00912E90">
        <w:t>’</w:t>
      </w:r>
      <w:r w:rsidR="00BE7246">
        <w:t>encombrement)</w:t>
      </w:r>
      <w:r w:rsidRPr="00DF0AA3">
        <w:rPr>
          <w:webHidden/>
        </w:rPr>
        <w:tab/>
      </w:r>
      <w:r w:rsidRPr="00DF0AA3">
        <w:rPr>
          <w:webHidden/>
        </w:rPr>
        <w:tab/>
        <w:t>24</w:t>
      </w:r>
      <w:r w:rsidRPr="00DF0AA3">
        <w:rPr>
          <w:webHidden/>
        </w:rPr>
        <w:tab/>
      </w:r>
      <w:r w:rsidR="00557D70">
        <w:t>8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C.</w:t>
      </w:r>
      <w:r w:rsidRPr="00DF0AA3">
        <w:tab/>
      </w:r>
      <w:r w:rsidR="00BE7246"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BE7246">
        <w:t xml:space="preserve">10 (Compatibilité électromagnétique) </w:t>
      </w:r>
      <w:r w:rsidRPr="00DF0AA3">
        <w:rPr>
          <w:webHidden/>
        </w:rPr>
        <w:tab/>
      </w:r>
      <w:r w:rsidRPr="00DF0AA3">
        <w:rPr>
          <w:webHidden/>
        </w:rPr>
        <w:tab/>
        <w:t>25-26</w:t>
      </w:r>
      <w:r w:rsidRPr="00DF0AA3">
        <w:rPr>
          <w:webHidden/>
        </w:rPr>
        <w:tab/>
      </w:r>
      <w:r w:rsidRPr="00DF0AA3">
        <w:t>8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D.</w:t>
      </w:r>
      <w:r w:rsidRPr="00DF0AA3">
        <w:tab/>
      </w:r>
      <w:r w:rsidR="00BE7246"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BE7246">
        <w:t>23 (Feux de marche arrière)</w:t>
      </w:r>
      <w:r w:rsidRPr="00DF0AA3">
        <w:rPr>
          <w:webHidden/>
        </w:rPr>
        <w:tab/>
      </w:r>
      <w:r w:rsidRPr="00DF0AA3">
        <w:rPr>
          <w:webHidden/>
        </w:rPr>
        <w:tab/>
        <w:t>27</w:t>
      </w:r>
      <w:r w:rsidRPr="00DF0AA3">
        <w:rPr>
          <w:webHidden/>
        </w:rPr>
        <w:tab/>
      </w:r>
      <w:r w:rsidR="00557D70">
        <w:rPr>
          <w:webHidden/>
        </w:rPr>
        <w:t>9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E.</w:t>
      </w:r>
      <w:r w:rsidRPr="00DF0AA3">
        <w:tab/>
      </w:r>
      <w:r w:rsidR="00BE7246"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BE7246">
        <w:t>38 (Feux de brouillard arrière)</w:t>
      </w:r>
      <w:r w:rsidRPr="00DF0AA3">
        <w:rPr>
          <w:webHidden/>
        </w:rPr>
        <w:tab/>
      </w:r>
      <w:r w:rsidRPr="00DF0AA3">
        <w:rPr>
          <w:webHidden/>
        </w:rPr>
        <w:tab/>
        <w:t>28</w:t>
      </w:r>
      <w:r w:rsidRPr="00DF0AA3">
        <w:rPr>
          <w:webHidden/>
        </w:rPr>
        <w:tab/>
      </w:r>
      <w:r w:rsidR="00557D70">
        <w:t>9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F.</w:t>
      </w:r>
      <w:r w:rsidRPr="00DF0AA3">
        <w:tab/>
      </w:r>
      <w:r w:rsidR="00BE7246"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BE7246">
        <w:t>77 (Feux de stationnement)</w:t>
      </w:r>
      <w:r w:rsidRPr="00DF0AA3">
        <w:rPr>
          <w:webHidden/>
        </w:rPr>
        <w:tab/>
      </w:r>
      <w:r w:rsidRPr="00DF0AA3">
        <w:rPr>
          <w:webHidden/>
        </w:rPr>
        <w:tab/>
        <w:t>29</w:t>
      </w:r>
      <w:r w:rsidRPr="00DF0AA3">
        <w:rPr>
          <w:webHidden/>
        </w:rPr>
        <w:tab/>
      </w:r>
      <w:r w:rsidR="00557D70">
        <w:t>9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G.</w:t>
      </w:r>
      <w:r w:rsidRPr="00DF0AA3">
        <w:tab/>
      </w:r>
      <w:r w:rsidR="00BE7246"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BE7246">
        <w:t>87 (Feux de circulation diurne)</w:t>
      </w:r>
      <w:r w:rsidRPr="00DF0AA3">
        <w:rPr>
          <w:webHidden/>
        </w:rPr>
        <w:tab/>
      </w:r>
      <w:r w:rsidRPr="00DF0AA3">
        <w:rPr>
          <w:webHidden/>
        </w:rPr>
        <w:tab/>
        <w:t>30</w:t>
      </w:r>
      <w:r w:rsidRPr="00DF0AA3">
        <w:rPr>
          <w:webHidden/>
        </w:rPr>
        <w:tab/>
      </w:r>
      <w:r w:rsidR="00557D70">
        <w:t>9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H.</w:t>
      </w:r>
      <w:r w:rsidRPr="00DF0AA3">
        <w:tab/>
      </w:r>
      <w:r w:rsidR="00BE7246"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BE7246">
        <w:t>91 (Feux de position latéraux)</w:t>
      </w:r>
      <w:r w:rsidRPr="00DF0AA3">
        <w:rPr>
          <w:webHidden/>
        </w:rPr>
        <w:tab/>
      </w:r>
      <w:r w:rsidRPr="00DF0AA3">
        <w:rPr>
          <w:webHidden/>
        </w:rPr>
        <w:tab/>
        <w:t>31</w:t>
      </w:r>
      <w:r w:rsidRPr="00DF0AA3">
        <w:rPr>
          <w:webHidden/>
        </w:rPr>
        <w:tab/>
      </w:r>
      <w:r w:rsidR="00557D70">
        <w:t>9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I.</w:t>
      </w:r>
      <w:r w:rsidRPr="00DF0AA3">
        <w:tab/>
      </w:r>
      <w:r w:rsidR="00BE7246"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BE7246">
        <w:t>98 (Projecteurs munis de sources lumineuses à décharge)</w:t>
      </w:r>
      <w:r w:rsidRPr="00DF0AA3">
        <w:rPr>
          <w:webHidden/>
        </w:rPr>
        <w:tab/>
      </w:r>
      <w:r w:rsidRPr="00DF0AA3">
        <w:rPr>
          <w:webHidden/>
        </w:rPr>
        <w:tab/>
        <w:t>32</w:t>
      </w:r>
      <w:r w:rsidRPr="00DF0AA3">
        <w:rPr>
          <w:webHidden/>
        </w:rPr>
        <w:tab/>
      </w:r>
      <w:r w:rsidRPr="00DF0AA3">
        <w:t>9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J.</w:t>
      </w:r>
      <w:r w:rsidRPr="00DF0AA3">
        <w:tab/>
      </w:r>
      <w:r w:rsidR="00BE7246"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BE7246">
        <w:t>112 (Projecteurs émettant un faisceau</w:t>
      </w:r>
      <w:r w:rsidR="009409CB">
        <w:br/>
      </w:r>
      <w:r w:rsidR="00BE7246">
        <w:t>de croisement asymétrique)</w:t>
      </w:r>
      <w:r w:rsidRPr="00DF0AA3">
        <w:rPr>
          <w:webHidden/>
        </w:rPr>
        <w:tab/>
      </w:r>
      <w:r w:rsidRPr="00DF0AA3">
        <w:rPr>
          <w:webHidden/>
        </w:rPr>
        <w:tab/>
        <w:t>33-35</w:t>
      </w:r>
      <w:r w:rsidRPr="00DF0AA3">
        <w:rPr>
          <w:webHidden/>
        </w:rPr>
        <w:tab/>
      </w:r>
      <w:r w:rsidRPr="00DF0AA3">
        <w:t>9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K.</w:t>
      </w:r>
      <w:r w:rsidRPr="00DF0AA3">
        <w:tab/>
      </w:r>
      <w:r w:rsidR="00BE7246"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BE7246">
        <w:t>113 (Projecteurs émettant un faisceau</w:t>
      </w:r>
      <w:r w:rsidR="00557D70">
        <w:br/>
      </w:r>
      <w:r w:rsidR="00BE7246">
        <w:t xml:space="preserve">de croisement symétrique) </w:t>
      </w:r>
      <w:r w:rsidRPr="00DF0AA3">
        <w:rPr>
          <w:webHidden/>
        </w:rPr>
        <w:tab/>
      </w:r>
      <w:r w:rsidRPr="00DF0AA3">
        <w:rPr>
          <w:webHidden/>
        </w:rPr>
        <w:tab/>
        <w:t>36</w:t>
      </w:r>
      <w:r w:rsidRPr="00DF0AA3">
        <w:rPr>
          <w:webHidden/>
        </w:rPr>
        <w:tab/>
      </w:r>
      <w:r w:rsidR="00557D70">
        <w:t>10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L.</w:t>
      </w:r>
      <w:r w:rsidRPr="00DF0AA3">
        <w:tab/>
      </w:r>
      <w:r w:rsidR="00BE7246"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BE7246">
        <w:t>119 (Feux d</w:t>
      </w:r>
      <w:r w:rsidR="00912E90">
        <w:t>’</w:t>
      </w:r>
      <w:r w:rsidR="00BE7246">
        <w:t>angle)</w:t>
      </w:r>
      <w:r w:rsidRPr="00DF0AA3">
        <w:rPr>
          <w:webHidden/>
        </w:rPr>
        <w:tab/>
      </w:r>
      <w:r w:rsidRPr="00DF0AA3">
        <w:rPr>
          <w:webHidden/>
        </w:rPr>
        <w:tab/>
        <w:t>37-38</w:t>
      </w:r>
      <w:r w:rsidRPr="00DF0AA3">
        <w:rPr>
          <w:webHidden/>
        </w:rPr>
        <w:tab/>
      </w:r>
      <w:r w:rsidR="00557D70">
        <w:t>10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M.</w:t>
      </w:r>
      <w:r w:rsidRPr="00DF0AA3">
        <w:tab/>
      </w:r>
      <w:r w:rsidR="00BE7246">
        <w:t xml:space="preserve">Règlement </w:t>
      </w:r>
      <w:r w:rsidR="00557D70" w:rsidRPr="00BE7246">
        <w:t>n</w:t>
      </w:r>
      <w:r w:rsidR="00557D70" w:rsidRPr="00BE7246">
        <w:rPr>
          <w:vertAlign w:val="superscript"/>
        </w:rPr>
        <w:t>o</w:t>
      </w:r>
      <w:r w:rsidR="00557D70">
        <w:t xml:space="preserve"> 123 </w:t>
      </w:r>
      <w:r w:rsidR="00BE7246">
        <w:t>(Systèmes d</w:t>
      </w:r>
      <w:r w:rsidR="00912E90">
        <w:t>’</w:t>
      </w:r>
      <w:r w:rsidR="00BE7246">
        <w:t>éclairage avant actifs (AFS))</w:t>
      </w:r>
      <w:r w:rsidRPr="00DF0AA3">
        <w:rPr>
          <w:webHidden/>
        </w:rPr>
        <w:tab/>
      </w:r>
      <w:r w:rsidRPr="00DF0AA3">
        <w:rPr>
          <w:webHidden/>
        </w:rPr>
        <w:tab/>
        <w:t>39</w:t>
      </w:r>
      <w:r w:rsidRPr="00DF0AA3">
        <w:rPr>
          <w:webHidden/>
        </w:rPr>
        <w:tab/>
      </w:r>
      <w:r w:rsidRPr="00DF0AA3">
        <w:t>10</w:t>
      </w:r>
    </w:p>
    <w:p w:rsidR="00DF0AA3" w:rsidRPr="00DF0AA3" w:rsidRDefault="00DF0AA3" w:rsidP="00DF0AA3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DF0AA3">
        <w:tab/>
        <w:t>IX.</w:t>
      </w:r>
      <w:r w:rsidRPr="00DF0AA3">
        <w:tab/>
      </w:r>
      <w:r w:rsidR="00BE7246">
        <w:t>Questions diverses (point 8 de l</w:t>
      </w:r>
      <w:r w:rsidR="00912E90">
        <w:t>’</w:t>
      </w:r>
      <w:r w:rsidR="00BE7246">
        <w:t>ordre du jour)</w:t>
      </w:r>
      <w:r w:rsidRPr="00DF0AA3">
        <w:rPr>
          <w:webHidden/>
        </w:rPr>
        <w:tab/>
      </w:r>
      <w:r w:rsidRPr="00DF0AA3">
        <w:rPr>
          <w:webHidden/>
        </w:rPr>
        <w:tab/>
        <w:t>40-43</w:t>
      </w:r>
      <w:r w:rsidRPr="00DF0AA3">
        <w:rPr>
          <w:webHidden/>
        </w:rPr>
        <w:tab/>
        <w:t>1</w:t>
      </w:r>
      <w:r w:rsidR="00557D70">
        <w:rPr>
          <w:webHidden/>
        </w:rPr>
        <w:t>1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A.</w:t>
      </w:r>
      <w:r w:rsidRPr="00DF0AA3">
        <w:tab/>
      </w:r>
      <w:r w:rsidR="00BE7246">
        <w:t xml:space="preserve">Amendements à la Convention sur la circulation routière (Vienne, 1968) </w:t>
      </w:r>
      <w:r w:rsidRPr="00DF0AA3">
        <w:rPr>
          <w:webHidden/>
        </w:rPr>
        <w:tab/>
      </w:r>
      <w:r w:rsidRPr="00DF0AA3">
        <w:rPr>
          <w:webHidden/>
        </w:rPr>
        <w:tab/>
        <w:t>40</w:t>
      </w:r>
      <w:r w:rsidRPr="00DF0AA3">
        <w:rPr>
          <w:webHidden/>
        </w:rPr>
        <w:tab/>
      </w:r>
      <w:r w:rsidR="00557D70">
        <w:t>11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B.</w:t>
      </w:r>
      <w:r w:rsidRPr="00DF0AA3">
        <w:tab/>
      </w:r>
      <w:r w:rsidR="00BE7246">
        <w:t>Décennie d</w:t>
      </w:r>
      <w:r w:rsidR="00912E90">
        <w:t>’</w:t>
      </w:r>
      <w:r w:rsidR="00BE7246">
        <w:t>action pour la sécurité routière 2011-2020</w:t>
      </w:r>
      <w:r w:rsidRPr="00DF0AA3">
        <w:rPr>
          <w:webHidden/>
        </w:rPr>
        <w:tab/>
      </w:r>
      <w:r w:rsidRPr="00DF0AA3">
        <w:rPr>
          <w:webHidden/>
        </w:rPr>
        <w:tab/>
        <w:t>41</w:t>
      </w:r>
      <w:r w:rsidRPr="00DF0AA3">
        <w:rPr>
          <w:webHidden/>
        </w:rPr>
        <w:tab/>
        <w:t>1</w:t>
      </w:r>
      <w:r w:rsidR="00557D70">
        <w:rPr>
          <w:webHidden/>
        </w:rPr>
        <w:t>1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C.</w:t>
      </w:r>
      <w:r w:rsidRPr="00DF0AA3">
        <w:tab/>
      </w:r>
      <w:r w:rsidR="00BE7246">
        <w:t>Mise au point d</w:t>
      </w:r>
      <w:r w:rsidR="00912E90">
        <w:t>’</w:t>
      </w:r>
      <w:r w:rsidR="00BE7246">
        <w:t>une homologation de type internationale de l</w:t>
      </w:r>
      <w:r w:rsidR="00912E90">
        <w:t>’</w:t>
      </w:r>
      <w:r w:rsidR="00BE7246">
        <w:t>ensemble</w:t>
      </w:r>
      <w:r w:rsidR="00912E90">
        <w:br/>
      </w:r>
      <w:r w:rsidR="00BE7246">
        <w:t>du véhicule (IWVTA)</w:t>
      </w:r>
      <w:r w:rsidRPr="00DF0AA3">
        <w:rPr>
          <w:webHidden/>
        </w:rPr>
        <w:tab/>
      </w:r>
      <w:r w:rsidRPr="00DF0AA3">
        <w:t xml:space="preserve"> </w:t>
      </w:r>
      <w:r w:rsidRPr="00DF0AA3">
        <w:rPr>
          <w:webHidden/>
        </w:rPr>
        <w:tab/>
        <w:t>42</w:t>
      </w:r>
      <w:r w:rsidRPr="00DF0AA3">
        <w:rPr>
          <w:webHidden/>
        </w:rPr>
        <w:tab/>
        <w:t>1</w:t>
      </w:r>
      <w:r w:rsidR="00557D70">
        <w:rPr>
          <w:webHidden/>
        </w:rPr>
        <w:t>1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D.</w:t>
      </w:r>
      <w:r w:rsidRPr="00DF0AA3">
        <w:tab/>
      </w:r>
      <w:r w:rsidR="00BE7246">
        <w:t>Phénomènes de lumière parasite et de dégradation des couleurs</w:t>
      </w:r>
      <w:r w:rsidRPr="00DF0AA3">
        <w:rPr>
          <w:webHidden/>
        </w:rPr>
        <w:tab/>
      </w:r>
      <w:r w:rsidRPr="00DF0AA3">
        <w:rPr>
          <w:webHidden/>
        </w:rPr>
        <w:tab/>
        <w:t>43</w:t>
      </w:r>
      <w:r w:rsidRPr="00DF0AA3">
        <w:rPr>
          <w:webHidden/>
        </w:rPr>
        <w:tab/>
      </w:r>
      <w:r w:rsidR="00557D70">
        <w:t>11</w:t>
      </w:r>
    </w:p>
    <w:p w:rsidR="00DF0AA3" w:rsidRPr="00DF0AA3" w:rsidRDefault="00DF0AA3" w:rsidP="00DF0AA3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DF0AA3">
        <w:tab/>
        <w:t>X.</w:t>
      </w:r>
      <w:r w:rsidRPr="00DF0AA3">
        <w:tab/>
      </w:r>
      <w:r w:rsidR="009409CB">
        <w:t>Autres questions et soumissions tardives (point 9 de l</w:t>
      </w:r>
      <w:r w:rsidR="00912E90">
        <w:t>’</w:t>
      </w:r>
      <w:r w:rsidR="009409CB">
        <w:t xml:space="preserve">ordre du jour) </w:t>
      </w:r>
      <w:r w:rsidRPr="00DF0AA3">
        <w:rPr>
          <w:webHidden/>
        </w:rPr>
        <w:tab/>
      </w:r>
      <w:r w:rsidRPr="00DF0AA3">
        <w:rPr>
          <w:webHidden/>
        </w:rPr>
        <w:tab/>
        <w:t>44-51</w:t>
      </w:r>
      <w:r w:rsidRPr="00DF0AA3">
        <w:rPr>
          <w:webHidden/>
        </w:rPr>
        <w:tab/>
        <w:t>1</w:t>
      </w:r>
      <w:r w:rsidR="00557D70">
        <w:rPr>
          <w:webHidden/>
        </w:rPr>
        <w:t>2</w:t>
      </w:r>
    </w:p>
    <w:p w:rsidR="00DF0AA3" w:rsidRPr="00DF0AA3" w:rsidRDefault="00DF0AA3" w:rsidP="00DF0AA3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DF0AA3">
        <w:tab/>
        <w:t>XI.</w:t>
      </w:r>
      <w:r w:rsidRPr="00DF0AA3">
        <w:tab/>
      </w:r>
      <w:r w:rsidR="009409CB">
        <w:t>Orientation des futurs travaux du GRE (point 10 de l</w:t>
      </w:r>
      <w:r w:rsidR="00912E90">
        <w:t>’</w:t>
      </w:r>
      <w:r w:rsidR="009409CB">
        <w:t xml:space="preserve">ordre du jour) </w:t>
      </w:r>
      <w:r w:rsidRPr="00DF0AA3">
        <w:rPr>
          <w:webHidden/>
        </w:rPr>
        <w:tab/>
      </w:r>
      <w:r w:rsidRPr="00DF0AA3">
        <w:rPr>
          <w:webHidden/>
        </w:rPr>
        <w:tab/>
        <w:t>52-53</w:t>
      </w:r>
      <w:r w:rsidRPr="00DF0AA3">
        <w:rPr>
          <w:webHidden/>
        </w:rPr>
        <w:tab/>
      </w:r>
      <w:r w:rsidR="00557D70">
        <w:t>13</w:t>
      </w:r>
    </w:p>
    <w:p w:rsidR="00DF0AA3" w:rsidRPr="00DF0AA3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A.</w:t>
      </w:r>
      <w:r w:rsidRPr="00DF0AA3">
        <w:tab/>
      </w:r>
      <w:r w:rsidR="009409CB">
        <w:t>Tâches du GRE</w:t>
      </w:r>
      <w:r w:rsidRPr="00DF0AA3">
        <w:rPr>
          <w:webHidden/>
        </w:rPr>
        <w:tab/>
      </w:r>
      <w:r w:rsidRPr="00DF0AA3">
        <w:rPr>
          <w:webHidden/>
        </w:rPr>
        <w:tab/>
        <w:t>52</w:t>
      </w:r>
      <w:r w:rsidRPr="00DF0AA3">
        <w:rPr>
          <w:webHidden/>
        </w:rPr>
        <w:tab/>
      </w:r>
      <w:r w:rsidR="00557D70">
        <w:t>13</w:t>
      </w:r>
    </w:p>
    <w:p w:rsidR="00DF0AA3" w:rsidRPr="00EA4839" w:rsidRDefault="00DF0AA3" w:rsidP="00DF0AA3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en-GB"/>
        </w:rPr>
      </w:pPr>
      <w:r w:rsidRPr="00DF0AA3">
        <w:t>B.</w:t>
      </w:r>
      <w:r w:rsidRPr="00DF0AA3">
        <w:tab/>
      </w:r>
      <w:r w:rsidR="009409CB">
        <w:t>État d</w:t>
      </w:r>
      <w:r w:rsidR="00912E90">
        <w:t>’</w:t>
      </w:r>
      <w:r w:rsidR="009409CB">
        <w:t>avancement des travaux des équipes spéciales relevant</w:t>
      </w:r>
      <w:r w:rsidR="00912E90">
        <w:br/>
      </w:r>
      <w:r w:rsidR="009409CB">
        <w:t xml:space="preserve">du Groupe de travail </w:t>
      </w:r>
      <w:r w:rsidR="00912E90">
        <w:t>«</w:t>
      </w:r>
      <w:r w:rsidR="009409CB">
        <w:t>Bruxelles 1952</w:t>
      </w:r>
      <w:r w:rsidR="00912E90">
        <w:t>»</w:t>
      </w:r>
      <w:r w:rsidR="009409CB">
        <w:t xml:space="preserve"> (GTB)</w:t>
      </w:r>
      <w:r w:rsidRPr="00EA4839">
        <w:rPr>
          <w:webHidden/>
          <w:lang w:val="en-GB"/>
        </w:rPr>
        <w:tab/>
      </w:r>
      <w:r w:rsidRPr="00EA4839">
        <w:rPr>
          <w:webHidden/>
          <w:lang w:val="en-GB"/>
        </w:rPr>
        <w:tab/>
        <w:t>53</w:t>
      </w:r>
      <w:r w:rsidRPr="00EA4839">
        <w:rPr>
          <w:webHidden/>
          <w:lang w:val="en-GB"/>
        </w:rPr>
        <w:tab/>
      </w:r>
      <w:r w:rsidRPr="00EA4839">
        <w:rPr>
          <w:lang w:val="en-GB"/>
        </w:rPr>
        <w:t>1</w:t>
      </w:r>
      <w:r w:rsidR="00557D70">
        <w:rPr>
          <w:lang w:val="en-GB"/>
        </w:rPr>
        <w:t>3</w:t>
      </w:r>
    </w:p>
    <w:p w:rsidR="00DF0AA3" w:rsidRPr="00DF0AA3" w:rsidRDefault="00DF0AA3" w:rsidP="00DF0AA3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DF0AA3">
        <w:tab/>
        <w:t>XII.</w:t>
      </w:r>
      <w:r w:rsidRPr="00DF0AA3">
        <w:tab/>
      </w:r>
      <w:r w:rsidR="009409CB">
        <w:t>Ordre du jour provisoire de la prochaine session (point 11 de l</w:t>
      </w:r>
      <w:r w:rsidR="00912E90">
        <w:t>’</w:t>
      </w:r>
      <w:r w:rsidR="009409CB">
        <w:t xml:space="preserve">ordre du jour) </w:t>
      </w:r>
      <w:r w:rsidRPr="00DF0AA3">
        <w:rPr>
          <w:webHidden/>
        </w:rPr>
        <w:tab/>
      </w:r>
      <w:r w:rsidRPr="00DF0AA3">
        <w:rPr>
          <w:webHidden/>
        </w:rPr>
        <w:tab/>
        <w:t>54</w:t>
      </w:r>
      <w:r w:rsidRPr="00DF0AA3">
        <w:rPr>
          <w:webHidden/>
        </w:rPr>
        <w:tab/>
        <w:t>1</w:t>
      </w:r>
      <w:r w:rsidR="00557D70">
        <w:rPr>
          <w:webHidden/>
        </w:rPr>
        <w:t>3</w:t>
      </w:r>
    </w:p>
    <w:p w:rsidR="00DF0AA3" w:rsidRPr="00DF0AA3" w:rsidRDefault="00DF0AA3" w:rsidP="00DF0AA3">
      <w:pPr>
        <w:tabs>
          <w:tab w:val="right" w:pos="850"/>
        </w:tabs>
        <w:spacing w:after="120"/>
      </w:pPr>
      <w:r>
        <w:tab/>
        <w:t>Annexes</w:t>
      </w:r>
    </w:p>
    <w:p w:rsidR="00DF0AA3" w:rsidRDefault="009409CB" w:rsidP="00DF0AA3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  <w:t>I</w:t>
      </w:r>
      <w:r w:rsidR="00DF0AA3">
        <w:tab/>
      </w:r>
      <w:r>
        <w:t>Liste des documents informels examinés pendant la session</w:t>
      </w:r>
      <w:r w:rsidR="00DF0AA3">
        <w:tab/>
      </w:r>
      <w:r w:rsidR="00DF0AA3">
        <w:tab/>
      </w:r>
      <w:r w:rsidR="00557D70">
        <w:t>14</w:t>
      </w:r>
    </w:p>
    <w:p w:rsidR="00DF0AA3" w:rsidRDefault="00DF0AA3" w:rsidP="00DF0AA3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</w:r>
      <w:r w:rsidR="009409CB">
        <w:t>II</w:t>
      </w:r>
      <w:r>
        <w:tab/>
      </w:r>
      <w:r w:rsidR="009409CB">
        <w:t xml:space="preserve">Amendements au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74 adoptés</w:t>
      </w:r>
      <w:r>
        <w:tab/>
      </w:r>
      <w:r>
        <w:tab/>
      </w:r>
      <w:r w:rsidR="00557D70">
        <w:t>16</w:t>
      </w:r>
    </w:p>
    <w:p w:rsidR="00DF0AA3" w:rsidRDefault="00DF0AA3" w:rsidP="00DF0AA3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</w:r>
      <w:r w:rsidR="009409CB">
        <w:t>III</w:t>
      </w:r>
      <w:r>
        <w:tab/>
      </w:r>
      <w:r w:rsidR="009409CB">
        <w:t>Groupes informels du GRE</w:t>
      </w:r>
      <w:r>
        <w:tab/>
      </w:r>
      <w:r>
        <w:tab/>
      </w:r>
      <w:r w:rsidR="00557D70">
        <w:t>17</w:t>
      </w:r>
    </w:p>
    <w:p w:rsidR="00DF0AA3" w:rsidRPr="00876BBA" w:rsidRDefault="00DF0AA3" w:rsidP="00912E90">
      <w:pPr>
        <w:pStyle w:val="HChG"/>
      </w:pPr>
      <w:r w:rsidRPr="00876BBA">
        <w:tab/>
      </w:r>
      <w:bookmarkStart w:id="3" w:name="_Toc360526240"/>
      <w:bookmarkStart w:id="4" w:name="_Toc360526836"/>
      <w:bookmarkStart w:id="5" w:name="_Toc369772205"/>
      <w:r w:rsidRPr="00876BBA">
        <w:t>I.</w:t>
      </w:r>
      <w:r w:rsidRPr="00876BBA">
        <w:tab/>
        <w:t>Participation</w:t>
      </w:r>
      <w:bookmarkEnd w:id="3"/>
      <w:bookmarkEnd w:id="4"/>
      <w:bookmarkEnd w:id="5"/>
    </w:p>
    <w:p w:rsidR="00DF0AA3" w:rsidRDefault="00DF0AA3" w:rsidP="005D73CD">
      <w:pPr>
        <w:pStyle w:val="ParNoG"/>
        <w:spacing w:line="236" w:lineRule="atLeast"/>
      </w:pPr>
      <w:r w:rsidRPr="0037583D">
        <w:t>Le Groupe de travail de l</w:t>
      </w:r>
      <w:r w:rsidR="00912E90">
        <w:t>’</w:t>
      </w:r>
      <w:r w:rsidRPr="0037583D">
        <w:t xml:space="preserve">éclairage et de la signalisation lumineuse (GRE) a tenu sa soixante-treizième session du </w:t>
      </w:r>
      <w:r>
        <w:t>14</w:t>
      </w:r>
      <w:r w:rsidRPr="0037583D">
        <w:t xml:space="preserve"> au </w:t>
      </w:r>
      <w:r>
        <w:t>17</w:t>
      </w:r>
      <w:r w:rsidR="00A47341">
        <w:t> </w:t>
      </w:r>
      <w:r>
        <w:t xml:space="preserve">avril </w:t>
      </w:r>
      <w:r w:rsidRPr="0037583D">
        <w:t>201</w:t>
      </w:r>
      <w:r>
        <w:t>5</w:t>
      </w:r>
      <w:r w:rsidRPr="0037583D">
        <w:t xml:space="preserve"> à Genève, sous la présidence de M.</w:t>
      </w:r>
      <w:r w:rsidRPr="00EA4839">
        <w:t> M. Loccufier (Belgi</w:t>
      </w:r>
      <w:r>
        <w:t>que</w:t>
      </w:r>
      <w:r w:rsidRPr="00EA4839">
        <w:t>).</w:t>
      </w:r>
      <w:r>
        <w:t xml:space="preserve"> </w:t>
      </w:r>
      <w:r w:rsidRPr="000C4AFC">
        <w:t>Conformément à l</w:t>
      </w:r>
      <w:r w:rsidR="00912E90">
        <w:t>’</w:t>
      </w:r>
      <w:r w:rsidRPr="000C4AFC">
        <w:t>article</w:t>
      </w:r>
      <w:r w:rsidR="00A47341">
        <w:t> </w:t>
      </w:r>
      <w:r w:rsidRPr="000C4AFC">
        <w:t>1</w:t>
      </w:r>
      <w:r w:rsidR="00A47341">
        <w:t> </w:t>
      </w:r>
      <w:r w:rsidRPr="000C4AFC">
        <w:t>a) du Règlement intérieur (TRANS/WP.29/690 et Amend.1 et 2) du Forum mondial de l</w:t>
      </w:r>
      <w:r w:rsidR="00912E90">
        <w:t>’</w:t>
      </w:r>
      <w:r w:rsidRPr="000C4AFC">
        <w:t>harmonisation des Règlements concernant les véhicules (WP.29), des experts des pays ci-après ont participé à ses travaux: Allemagne, Autriche, Belgique, Canada, Chine, Espagne, Fédération de Russie, Finlande, France, Hongrie, Inde, Italie, Japon, Luxemburg</w:t>
      </w:r>
      <w:r>
        <w:t xml:space="preserve">, </w:t>
      </w:r>
      <w:r w:rsidRPr="000C4AFC">
        <w:t xml:space="preserve">Norvège, Pays-Bas, </w:t>
      </w:r>
      <w:r w:rsidRPr="000C4AFC">
        <w:lastRenderedPageBreak/>
        <w:t>Pologne, République de Corée, République tchèque, Royaume-Uni de Grande-Bretagne et d</w:t>
      </w:r>
      <w:r w:rsidR="00912E90">
        <w:t>’</w:t>
      </w:r>
      <w:r w:rsidRPr="000C4AFC">
        <w:t>Irlande du Nord</w:t>
      </w:r>
      <w:r>
        <w:t xml:space="preserve"> et </w:t>
      </w:r>
      <w:r w:rsidRPr="000C4AFC">
        <w:t>Suède.</w:t>
      </w:r>
      <w:r>
        <w:t xml:space="preserve"> Un </w:t>
      </w:r>
      <w:r w:rsidRPr="000C4AFC">
        <w:t xml:space="preserve">expert de la Commission européenne (CE) y </w:t>
      </w:r>
      <w:r>
        <w:t>a</w:t>
      </w:r>
      <w:r w:rsidRPr="000C4AFC">
        <w:t xml:space="preserve"> participé.</w:t>
      </w:r>
      <w:r>
        <w:t xml:space="preserve"> </w:t>
      </w:r>
      <w:r w:rsidRPr="000C4AFC">
        <w:t xml:space="preserve">Des experts des organisations non gouvernementales suivantes étaient </w:t>
      </w:r>
      <w:r>
        <w:t xml:space="preserve">également </w:t>
      </w:r>
      <w:r w:rsidRPr="000C4AFC">
        <w:t>présents: Association européenne des fournisseurs de l</w:t>
      </w:r>
      <w:r w:rsidR="00912E90">
        <w:t>’</w:t>
      </w:r>
      <w:r w:rsidRPr="000C4AFC">
        <w:t xml:space="preserve">automobile (CLEPA); Association internationale des constructeurs de motocycles (IMMA); Commission électrotechnique internationale (CEI); Groupe de travail </w:t>
      </w:r>
      <w:r w:rsidR="00A47341">
        <w:t>«</w:t>
      </w:r>
      <w:r w:rsidRPr="000C4AFC">
        <w:t>Bruxelles 1952</w:t>
      </w:r>
      <w:r w:rsidR="00A47341">
        <w:t>»</w:t>
      </w:r>
      <w:r w:rsidRPr="000C4AFC">
        <w:t xml:space="preserve"> (GTB); Organisation internationale des constructeurs d</w:t>
      </w:r>
      <w:r w:rsidR="00912E90">
        <w:t>’</w:t>
      </w:r>
      <w:r w:rsidRPr="000C4AFC">
        <w:t>automobiles (OICA) et Vehicle Lighting Association.</w:t>
      </w:r>
      <w:r>
        <w:t xml:space="preserve"> </w:t>
      </w:r>
      <w:r w:rsidRPr="000C4AFC">
        <w:t>Sur invitation du Président, des experts du Comité européen des groupements de constructeurs du machinisme agricole (CEMA) étaient aussi présents.</w:t>
      </w:r>
    </w:p>
    <w:p w:rsidR="00DF0AA3" w:rsidRPr="00EA4839" w:rsidRDefault="00DF0AA3" w:rsidP="00CD6AF5">
      <w:pPr>
        <w:pStyle w:val="HChG"/>
      </w:pPr>
      <w:r w:rsidRPr="00876BBA">
        <w:tab/>
      </w:r>
      <w:bookmarkStart w:id="6" w:name="_Toc360525455"/>
      <w:bookmarkStart w:id="7" w:name="_Toc360526241"/>
      <w:bookmarkStart w:id="8" w:name="_Toc360526837"/>
      <w:bookmarkStart w:id="9" w:name="_Toc369772206"/>
      <w:r w:rsidRPr="00EA4839">
        <w:t>II.</w:t>
      </w:r>
      <w:r w:rsidRPr="00EA4839">
        <w:tab/>
      </w:r>
      <w:bookmarkEnd w:id="6"/>
      <w:bookmarkEnd w:id="7"/>
      <w:bookmarkEnd w:id="8"/>
      <w:r w:rsidRPr="00DE0EBA">
        <w:t>Adoption de l</w:t>
      </w:r>
      <w:r w:rsidR="00912E90">
        <w:t>’</w:t>
      </w:r>
      <w:r w:rsidRPr="00DE0EBA">
        <w:t>ordre du jour (point 1 de l</w:t>
      </w:r>
      <w:r w:rsidR="00912E90">
        <w:t>’</w:t>
      </w:r>
      <w:r w:rsidRPr="00DE0EBA">
        <w:t>ordre du jour)</w:t>
      </w:r>
      <w:bookmarkEnd w:id="9"/>
    </w:p>
    <w:p w:rsidR="00DF0AA3" w:rsidRPr="00EA4839" w:rsidRDefault="00DF0AA3" w:rsidP="00CD6AF5">
      <w:pPr>
        <w:pStyle w:val="SingleTxtG"/>
        <w:ind w:left="2552" w:hanging="1418"/>
        <w:jc w:val="left"/>
      </w:pPr>
      <w:r w:rsidRPr="00EA4839">
        <w:rPr>
          <w:i/>
        </w:rPr>
        <w:t>Document</w:t>
      </w:r>
      <w:r w:rsidRPr="00DE0EBA">
        <w:rPr>
          <w:i/>
        </w:rPr>
        <w:t>s</w:t>
      </w:r>
      <w:r w:rsidR="00912E90">
        <w:t>:</w:t>
      </w:r>
      <w:r w:rsidRPr="00EA4839">
        <w:tab/>
        <w:t xml:space="preserve">ECE/TRANS/WP.29/GRE/2015/1 </w:t>
      </w:r>
      <w:r>
        <w:t>et</w:t>
      </w:r>
      <w:r w:rsidRPr="00EA4839">
        <w:t xml:space="preserve"> Add.1, </w:t>
      </w:r>
      <w:r w:rsidRPr="00EA4839">
        <w:br/>
      </w:r>
      <w:r w:rsidRPr="00DE0EBA">
        <w:t>D</w:t>
      </w:r>
      <w:r w:rsidRPr="00EA4839">
        <w:t xml:space="preserve">ocuments </w:t>
      </w:r>
      <w:r w:rsidRPr="00DE0EBA">
        <w:t xml:space="preserve">informels </w:t>
      </w:r>
      <w:r w:rsidRPr="00EA4839">
        <w:t xml:space="preserve">GRE-73-01-Rev.1, GRE-73-07 </w:t>
      </w:r>
      <w:r w:rsidRPr="00DE0EBA">
        <w:t>et</w:t>
      </w:r>
      <w:r w:rsidRPr="00EA4839">
        <w:t xml:space="preserve"> GRE-73-08</w:t>
      </w:r>
      <w:r w:rsidR="00CD6AF5">
        <w:t>.</w:t>
      </w:r>
    </w:p>
    <w:p w:rsidR="00DF0AA3" w:rsidRPr="00EA4839" w:rsidRDefault="00DF0AA3" w:rsidP="00CD6AF5">
      <w:pPr>
        <w:pStyle w:val="ParNoG"/>
      </w:pPr>
      <w:r w:rsidRPr="00DE0EBA">
        <w:t xml:space="preserve">Le </w:t>
      </w:r>
      <w:r w:rsidRPr="00226531">
        <w:t xml:space="preserve">Groupe de travail </w:t>
      </w:r>
      <w:r w:rsidRPr="00DE0EBA">
        <w:t>a examiné et adopté l</w:t>
      </w:r>
      <w:r w:rsidR="00912E90">
        <w:t>’</w:t>
      </w:r>
      <w:r w:rsidRPr="00DE0EBA">
        <w:t>ordre du jour proposé pour la soixante</w:t>
      </w:r>
      <w:r w:rsidR="00557D70">
        <w:noBreakHyphen/>
      </w:r>
      <w:r>
        <w:t>trei</w:t>
      </w:r>
      <w:r w:rsidRPr="00DE0EBA">
        <w:t>zième session (ECE/TRANS/WP.29/GRE/201</w:t>
      </w:r>
      <w:r>
        <w:t>5</w:t>
      </w:r>
      <w:r w:rsidRPr="00DE0EBA">
        <w:t>/1 et Add.1) tel qu</w:t>
      </w:r>
      <w:r w:rsidR="00912E90">
        <w:t>’</w:t>
      </w:r>
      <w:r w:rsidRPr="00DE0EBA">
        <w:t>il est reproduit dans le document GRE-7</w:t>
      </w:r>
      <w:r>
        <w:t>3</w:t>
      </w:r>
      <w:r w:rsidRPr="00DE0EBA">
        <w:t>-01</w:t>
      </w:r>
      <w:r>
        <w:t>-Rev.1</w:t>
      </w:r>
      <w:r w:rsidRPr="00DE0EBA">
        <w:t xml:space="preserve"> (y compris les documents informels distribués durant la session).</w:t>
      </w:r>
      <w:r>
        <w:t xml:space="preserve"> Il a </w:t>
      </w:r>
      <w:r w:rsidRPr="00827C35">
        <w:t>aussi adopté l</w:t>
      </w:r>
      <w:r w:rsidR="00912E90">
        <w:t>’</w:t>
      </w:r>
      <w:r w:rsidRPr="00827C35">
        <w:t>ordre d</w:t>
      </w:r>
      <w:r w:rsidR="00912E90">
        <w:t>’</w:t>
      </w:r>
      <w:r w:rsidRPr="00827C35">
        <w:t>examen des divers points proposé pour la session</w:t>
      </w:r>
      <w:r>
        <w:t xml:space="preserve"> </w:t>
      </w:r>
      <w:r w:rsidRPr="00827C35">
        <w:t xml:space="preserve">dans le document </w:t>
      </w:r>
      <w:r w:rsidRPr="00EA4839">
        <w:t>GRE-73-07.</w:t>
      </w:r>
    </w:p>
    <w:p w:rsidR="00DF0AA3" w:rsidRDefault="00DF0AA3" w:rsidP="00CD6AF5">
      <w:pPr>
        <w:pStyle w:val="ParNoG"/>
      </w:pPr>
      <w:r w:rsidRPr="00827C35">
        <w:t xml:space="preserve">La liste des documents informels </w:t>
      </w:r>
      <w:r>
        <w:t xml:space="preserve">figure à </w:t>
      </w:r>
      <w:r w:rsidRPr="00827C35">
        <w:t>l</w:t>
      </w:r>
      <w:r w:rsidR="00912E90">
        <w:t>’</w:t>
      </w:r>
      <w:r w:rsidRPr="00827C35">
        <w:t>annexe I du présent rapport.</w:t>
      </w:r>
      <w:r>
        <w:t xml:space="preserve"> </w:t>
      </w:r>
      <w:r w:rsidRPr="00827C35">
        <w:t xml:space="preserve">La liste des groupes informels du GRE est reproduite </w:t>
      </w:r>
      <w:r>
        <w:t xml:space="preserve">à </w:t>
      </w:r>
      <w:r w:rsidRPr="00827C35">
        <w:t>l</w:t>
      </w:r>
      <w:r w:rsidR="00912E90">
        <w:t>’</w:t>
      </w:r>
      <w:r w:rsidRPr="00827C35">
        <w:t>annexe</w:t>
      </w:r>
      <w:r w:rsidR="005D73CD">
        <w:t> </w:t>
      </w:r>
      <w:r w:rsidRPr="00827C35">
        <w:t>III.</w:t>
      </w:r>
      <w:r>
        <w:t xml:space="preserve"> </w:t>
      </w:r>
      <w:r w:rsidRPr="00827C35">
        <w:t xml:space="preserve">Le GRE a noté que le </w:t>
      </w:r>
      <w:r>
        <w:t>24</w:t>
      </w:r>
      <w:r w:rsidR="00CD6AF5">
        <w:t> </w:t>
      </w:r>
      <w:r>
        <w:t xml:space="preserve">juillet </w:t>
      </w:r>
      <w:r w:rsidRPr="00827C35">
        <w:t xml:space="preserve">2015 était la date limite de présentation de documents officiels pour </w:t>
      </w:r>
      <w:r>
        <w:t>s</w:t>
      </w:r>
      <w:r w:rsidRPr="00827C35">
        <w:t>a session d</w:t>
      </w:r>
      <w:r w:rsidR="00912E90">
        <w:t>’octobre</w:t>
      </w:r>
      <w:r w:rsidRPr="00827C35">
        <w:t xml:space="preserve"> 2015 (GRE-7</w:t>
      </w:r>
      <w:r>
        <w:t>3</w:t>
      </w:r>
      <w:r w:rsidRPr="00827C35">
        <w:t>-</w:t>
      </w:r>
      <w:r>
        <w:t>0</w:t>
      </w:r>
      <w:r w:rsidRPr="00827C35">
        <w:t>8).</w:t>
      </w:r>
    </w:p>
    <w:p w:rsidR="00DF0AA3" w:rsidRPr="00EA4839" w:rsidRDefault="00DF0AA3" w:rsidP="00CD6AF5">
      <w:pPr>
        <w:pStyle w:val="ParNoG"/>
        <w:rPr>
          <w:strike/>
        </w:rPr>
      </w:pPr>
      <w:r w:rsidRPr="00827C35">
        <w:t>Le Groupe de travail a pris note des faits marquants des sessions de novembre 2014 et de mars 2015</w:t>
      </w:r>
      <w:r>
        <w:t xml:space="preserve"> du </w:t>
      </w:r>
      <w:r w:rsidRPr="00827C35">
        <w:t>Forum mondial de l</w:t>
      </w:r>
      <w:r w:rsidR="00912E90">
        <w:t>’</w:t>
      </w:r>
      <w:r w:rsidRPr="00827C35">
        <w:t>harmonisation des Règlements concernant les véhicules</w:t>
      </w:r>
      <w:r w:rsidRPr="00EA4839">
        <w:t xml:space="preserve"> (WP.29) (GRE-73-08). </w:t>
      </w:r>
      <w:r>
        <w:t>Dans ce contexte, l</w:t>
      </w:r>
      <w:r w:rsidR="00912E90">
        <w:t>’</w:t>
      </w:r>
      <w:r>
        <w:t>expert de la CE a rappelé que lors de la session de mars 2015 du WP.29 le représentant de l</w:t>
      </w:r>
      <w:r w:rsidR="00912E90">
        <w:t>’</w:t>
      </w:r>
      <w:r>
        <w:t xml:space="preserve">Union européenne avait fait part de ses préoccupations face au grand nombre de compléments soumis par le </w:t>
      </w:r>
      <w:r w:rsidRPr="00EA4839">
        <w:t xml:space="preserve">GRE </w:t>
      </w:r>
      <w:r w:rsidRPr="00AC05D2">
        <w:t>et qu</w:t>
      </w:r>
      <w:r>
        <w:t>e le</w:t>
      </w:r>
      <w:r w:rsidR="00CD6AF5">
        <w:t> </w:t>
      </w:r>
      <w:r w:rsidRPr="00EA4839">
        <w:t xml:space="preserve">WP.29 </w:t>
      </w:r>
      <w:r>
        <w:t xml:space="preserve">avait demandé au </w:t>
      </w:r>
      <w:r w:rsidRPr="00EA4839">
        <w:t xml:space="preserve">GRE </w:t>
      </w:r>
      <w:r>
        <w:t>de régler cette question.</w:t>
      </w:r>
    </w:p>
    <w:p w:rsidR="00DF0AA3" w:rsidRPr="00EA4839" w:rsidRDefault="00DF0AA3" w:rsidP="00CD6AF5">
      <w:pPr>
        <w:pStyle w:val="HChG"/>
      </w:pPr>
      <w:r w:rsidRPr="00EA4839">
        <w:tab/>
      </w:r>
      <w:bookmarkStart w:id="10" w:name="_Toc369772207"/>
      <w:r w:rsidRPr="00EA4839">
        <w:t>III.</w:t>
      </w:r>
      <w:r w:rsidRPr="00EA4839">
        <w:tab/>
      </w:r>
      <w:r w:rsidRPr="00DC482F">
        <w:t>Accord de 1998 − Règlements techniques mondiaux (RTM) (point 2 de l</w:t>
      </w:r>
      <w:r w:rsidR="00912E90">
        <w:t>’</w:t>
      </w:r>
      <w:r w:rsidRPr="00DC482F">
        <w:t xml:space="preserve">ordre du jour) </w:t>
      </w:r>
      <w:bookmarkEnd w:id="10"/>
    </w:p>
    <w:p w:rsidR="00DF0AA3" w:rsidRPr="00EA4839" w:rsidRDefault="00DF0AA3" w:rsidP="00CD6AF5">
      <w:pPr>
        <w:pStyle w:val="SingleTxtG"/>
        <w:ind w:left="2552" w:hanging="1418"/>
        <w:jc w:val="left"/>
        <w:rPr>
          <w:szCs w:val="24"/>
        </w:rPr>
      </w:pPr>
      <w:r w:rsidRPr="00EA4839">
        <w:rPr>
          <w:i/>
          <w:szCs w:val="24"/>
        </w:rPr>
        <w:t>Document</w:t>
      </w:r>
      <w:r w:rsidRPr="00EA4839">
        <w:rPr>
          <w:szCs w:val="24"/>
        </w:rPr>
        <w:t>:</w:t>
      </w:r>
      <w:r w:rsidRPr="00EA4839">
        <w:rPr>
          <w:szCs w:val="24"/>
        </w:rPr>
        <w:tab/>
        <w:t>ECE/TRANS/WP.29/GRE/71, par.</w:t>
      </w:r>
      <w:r w:rsidR="00CD6AF5">
        <w:rPr>
          <w:szCs w:val="24"/>
        </w:rPr>
        <w:t> </w:t>
      </w:r>
      <w:r w:rsidRPr="00EA4839">
        <w:rPr>
          <w:szCs w:val="24"/>
        </w:rPr>
        <w:t>5</w:t>
      </w:r>
      <w:r w:rsidR="00CD6AF5">
        <w:rPr>
          <w:szCs w:val="24"/>
        </w:rPr>
        <w:t>.</w:t>
      </w:r>
    </w:p>
    <w:p w:rsidR="00DF0AA3" w:rsidRPr="00EA4839" w:rsidRDefault="00DF0AA3" w:rsidP="00CD6AF5">
      <w:pPr>
        <w:pStyle w:val="ParNoG"/>
      </w:pPr>
      <w:r w:rsidRPr="00DC482F">
        <w:t>Aucune proposition n</w:t>
      </w:r>
      <w:r w:rsidR="00912E90">
        <w:t>’</w:t>
      </w:r>
      <w:r w:rsidRPr="00DC482F">
        <w:t xml:space="preserve">a été </w:t>
      </w:r>
      <w:r w:rsidR="00912E90">
        <w:t>présentée au titre de ce point.</w:t>
      </w:r>
    </w:p>
    <w:p w:rsidR="00DF0AA3" w:rsidRPr="00EA4839" w:rsidRDefault="00DF0AA3" w:rsidP="00CD6AF5">
      <w:pPr>
        <w:pStyle w:val="HChG"/>
      </w:pPr>
      <w:r w:rsidRPr="00EA4839">
        <w:tab/>
        <w:t>IV.</w:t>
      </w:r>
      <w:r w:rsidRPr="00EA4839">
        <w:tab/>
      </w:r>
      <w:r w:rsidRPr="00AC05D2">
        <w:t xml:space="preserve">Accord de 1997 </w:t>
      </w:r>
      <w:r w:rsidR="005D73CD">
        <w:t>−</w:t>
      </w:r>
      <w:r w:rsidRPr="00AC05D2">
        <w:t xml:space="preserve"> Règles (point 3 de l</w:t>
      </w:r>
      <w:r w:rsidR="00912E90">
        <w:t>’</w:t>
      </w:r>
      <w:r w:rsidRPr="00AC05D2">
        <w:t>ordre du jour)</w:t>
      </w:r>
    </w:p>
    <w:p w:rsidR="00DF0AA3" w:rsidRPr="00EA4839" w:rsidRDefault="00DF0AA3" w:rsidP="00CD6AF5">
      <w:pPr>
        <w:pStyle w:val="ParNoG"/>
      </w:pPr>
      <w:r w:rsidRPr="00DC482F">
        <w:t>Aucune information nouvelle n</w:t>
      </w:r>
      <w:r w:rsidR="00912E90">
        <w:t>’</w:t>
      </w:r>
      <w:r w:rsidRPr="00DC482F">
        <w:t>a été communiquée au titr</w:t>
      </w:r>
      <w:r>
        <w:t>e de ce point</w:t>
      </w:r>
      <w:r w:rsidRPr="00DC482F">
        <w:t>.</w:t>
      </w:r>
    </w:p>
    <w:p w:rsidR="00DF0AA3" w:rsidRPr="00EA4839" w:rsidRDefault="00DF0AA3" w:rsidP="00CD6AF5">
      <w:pPr>
        <w:pStyle w:val="HChG"/>
      </w:pPr>
      <w:r w:rsidRPr="00EA4839">
        <w:tab/>
        <w:t>V.</w:t>
      </w:r>
      <w:r w:rsidRPr="00EA4839">
        <w:tab/>
      </w:r>
      <w:r w:rsidRPr="002A1C52">
        <w:t>Simplification des Règlements relatifs à l</w:t>
      </w:r>
      <w:r w:rsidR="00912E90">
        <w:t>’</w:t>
      </w:r>
      <w:r w:rsidRPr="002A1C52">
        <w:t>éclairage et</w:t>
      </w:r>
      <w:r w:rsidR="00557D70">
        <w:br/>
      </w:r>
      <w:r w:rsidRPr="002A1C52">
        <w:t>à la signalisation lumineuse</w:t>
      </w:r>
      <w:r w:rsidR="00912E90">
        <w:t xml:space="preserve"> </w:t>
      </w:r>
      <w:r w:rsidRPr="002A1C52">
        <w:t xml:space="preserve">(point </w:t>
      </w:r>
      <w:r>
        <w:t>4</w:t>
      </w:r>
      <w:r w:rsidRPr="002A1C52">
        <w:t xml:space="preserve"> de l</w:t>
      </w:r>
      <w:r w:rsidR="00912E90">
        <w:t>’</w:t>
      </w:r>
      <w:r w:rsidRPr="002A1C52">
        <w:t>ordre du jour)</w:t>
      </w:r>
    </w:p>
    <w:p w:rsidR="00DF0AA3" w:rsidRPr="00EA4839" w:rsidRDefault="00DF0AA3" w:rsidP="00CD6AF5">
      <w:pPr>
        <w:pStyle w:val="SingleTxtG"/>
        <w:ind w:left="2552" w:hanging="1418"/>
        <w:jc w:val="left"/>
        <w:rPr>
          <w:szCs w:val="24"/>
          <w:lang w:val="fr-FR"/>
        </w:rPr>
      </w:pPr>
      <w:r w:rsidRPr="00EA4839">
        <w:rPr>
          <w:i/>
          <w:szCs w:val="24"/>
          <w:lang w:val="fr-FR"/>
        </w:rPr>
        <w:t>Document</w:t>
      </w:r>
      <w:r>
        <w:rPr>
          <w:i/>
          <w:szCs w:val="24"/>
          <w:lang w:val="fr-FR"/>
        </w:rPr>
        <w:t>s</w:t>
      </w:r>
      <w:r w:rsidRPr="00EA4839">
        <w:rPr>
          <w:szCs w:val="24"/>
          <w:lang w:val="fr-FR"/>
        </w:rPr>
        <w:t>:</w:t>
      </w:r>
      <w:r w:rsidRPr="00EA4839">
        <w:rPr>
          <w:szCs w:val="24"/>
          <w:lang w:val="fr-FR"/>
        </w:rPr>
        <w:tab/>
      </w:r>
      <w:r>
        <w:rPr>
          <w:szCs w:val="24"/>
          <w:lang w:val="fr-FR"/>
        </w:rPr>
        <w:t>D</w:t>
      </w:r>
      <w:r w:rsidRPr="00EA4839">
        <w:rPr>
          <w:szCs w:val="24"/>
          <w:lang w:val="fr-FR"/>
        </w:rPr>
        <w:t xml:space="preserve">ocuments </w:t>
      </w:r>
      <w:r>
        <w:rPr>
          <w:szCs w:val="24"/>
          <w:lang w:val="fr-FR"/>
        </w:rPr>
        <w:t xml:space="preserve">informels </w:t>
      </w:r>
      <w:r w:rsidRPr="00EA4839">
        <w:rPr>
          <w:szCs w:val="24"/>
          <w:lang w:val="fr-FR"/>
        </w:rPr>
        <w:t xml:space="preserve">GRE-73-03, GRE-73-04, GRE-73-05-Rev.1, GRE-73-22 </w:t>
      </w:r>
      <w:r>
        <w:rPr>
          <w:szCs w:val="24"/>
          <w:lang w:val="fr-FR"/>
        </w:rPr>
        <w:t>et</w:t>
      </w:r>
      <w:r w:rsidR="00CD6AF5">
        <w:rPr>
          <w:szCs w:val="24"/>
          <w:lang w:val="fr-FR"/>
        </w:rPr>
        <w:t xml:space="preserve"> GRE-73-23.</w:t>
      </w:r>
    </w:p>
    <w:p w:rsidR="00DF0AA3" w:rsidRPr="00821338" w:rsidRDefault="00DF0AA3" w:rsidP="005D73CD">
      <w:pPr>
        <w:pStyle w:val="ParNoG"/>
        <w:spacing w:line="234" w:lineRule="atLeast"/>
      </w:pPr>
      <w:r w:rsidRPr="006D4FB2">
        <w:t>Le Groupe de travail a pris note de l</w:t>
      </w:r>
      <w:r w:rsidR="00912E90">
        <w:t>’</w:t>
      </w:r>
      <w:r w:rsidRPr="006D4FB2">
        <w:t>état d</w:t>
      </w:r>
      <w:r w:rsidR="00912E90">
        <w:t>’</w:t>
      </w:r>
      <w:r w:rsidRPr="006D4FB2">
        <w:t xml:space="preserve">avancement des travaux du groupe de travail informel </w:t>
      </w:r>
      <w:r>
        <w:t xml:space="preserve">chargé de la </w:t>
      </w:r>
      <w:r w:rsidR="00912E90">
        <w:t>«</w:t>
      </w:r>
      <w:r>
        <w:t>s</w:t>
      </w:r>
      <w:r w:rsidRPr="006D4FB2">
        <w:t>implification des Règlements relatifs à l</w:t>
      </w:r>
      <w:r w:rsidR="00912E90">
        <w:t>’</w:t>
      </w:r>
      <w:r w:rsidRPr="006D4FB2">
        <w:t xml:space="preserve">éclairage et à la </w:t>
      </w:r>
      <w:r w:rsidRPr="006D4FB2">
        <w:lastRenderedPageBreak/>
        <w:t>signalisation lumineuse</w:t>
      </w:r>
      <w:r w:rsidR="00912E90">
        <w:t>»</w:t>
      </w:r>
      <w:r>
        <w:t xml:space="preserve"> et des trois calendriers possibles pour mener à bien ses activités </w:t>
      </w:r>
      <w:r w:rsidRPr="00EA4839">
        <w:t>(GRE-73-22).</w:t>
      </w:r>
      <w:r>
        <w:t xml:space="preserve"> Au nom du </w:t>
      </w:r>
      <w:r w:rsidRPr="003E3BAC">
        <w:t>groupe de travail informel</w:t>
      </w:r>
      <w:r>
        <w:t>, l</w:t>
      </w:r>
      <w:r w:rsidR="00912E90">
        <w:t>’</w:t>
      </w:r>
      <w:r>
        <w:t>expert de l</w:t>
      </w:r>
      <w:r w:rsidR="00912E90">
        <w:t>’</w:t>
      </w:r>
      <w:r>
        <w:t>Allemagne a proposé une formule de simplification fondée sur l</w:t>
      </w:r>
      <w:r w:rsidR="00912E90">
        <w:t>’</w:t>
      </w:r>
      <w:r>
        <w:t xml:space="preserve">introduction dans le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>
        <w:t xml:space="preserve">48 </w:t>
      </w:r>
      <w:r w:rsidRPr="003E3BAC">
        <w:t>d</w:t>
      </w:r>
      <w:r w:rsidR="00912E90">
        <w:t>’</w:t>
      </w:r>
      <w:r w:rsidRPr="003E3BAC">
        <w:t>une nouvelle partie</w:t>
      </w:r>
      <w:r w:rsidR="005D73CD">
        <w:t> </w:t>
      </w:r>
      <w:r w:rsidRPr="003E3BAC">
        <w:t xml:space="preserve">B </w:t>
      </w:r>
      <w:r>
        <w:t xml:space="preserve">qui servirait de </w:t>
      </w:r>
      <w:r w:rsidRPr="003E3BAC">
        <w:t>document de référence transversal</w:t>
      </w:r>
      <w:r>
        <w:t xml:space="preserve"> vers lequel seraient déplacées les dispositions communes aux Règlements concernant les différents dispositifs </w:t>
      </w:r>
      <w:r w:rsidRPr="003E3BAC">
        <w:t>(GRE-73-05-Rev.1)</w:t>
      </w:r>
      <w:r>
        <w:t>, qui ne feraient référence qu</w:t>
      </w:r>
      <w:r w:rsidR="00912E90">
        <w:t>’</w:t>
      </w:r>
      <w:r>
        <w:t xml:space="preserve">à cette partie B du </w:t>
      </w:r>
      <w:r w:rsidRPr="008A6111"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8A6111">
        <w:t>48</w:t>
      </w:r>
      <w:r w:rsidRPr="003E3BAC">
        <w:t>.</w:t>
      </w:r>
      <w:r>
        <w:t xml:space="preserve"> Une version révisée du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>
        <w:t xml:space="preserve">48 et un exemple de Règlement révisé applicable à un dispositif particulier ont été présentés </w:t>
      </w:r>
      <w:r w:rsidRPr="00821338">
        <w:t xml:space="preserve">(GRE-73-03 et GRE-73-04). </w:t>
      </w:r>
      <w:r>
        <w:t xml:space="preserve">Le </w:t>
      </w:r>
      <w:r w:rsidRPr="00821338">
        <w:t xml:space="preserve">groupe informel </w:t>
      </w:r>
      <w:r>
        <w:t>a</w:t>
      </w:r>
      <w:r w:rsidR="005D73CD">
        <w:t> </w:t>
      </w:r>
      <w:r>
        <w:t xml:space="preserve">demandé au </w:t>
      </w:r>
      <w:r w:rsidRPr="00821338">
        <w:t xml:space="preserve">GRE </w:t>
      </w:r>
      <w:r>
        <w:t>de</w:t>
      </w:r>
      <w:r w:rsidRPr="00821338">
        <w:t xml:space="preserve"> donner son avis sur</w:t>
      </w:r>
      <w:r>
        <w:t xml:space="preserve"> la méthode de simplification proposée. </w:t>
      </w:r>
    </w:p>
    <w:p w:rsidR="00DF0AA3" w:rsidRPr="00821338" w:rsidRDefault="00DF0AA3" w:rsidP="005D73CD">
      <w:pPr>
        <w:pStyle w:val="ParNoG"/>
        <w:spacing w:line="234" w:lineRule="atLeast"/>
      </w:pPr>
      <w:r w:rsidRPr="00821338">
        <w:t>Plusieurs experts ont renouvelé leur appui à la simplification des Règlements relatifs à l</w:t>
      </w:r>
      <w:r w:rsidR="00912E90">
        <w:t>’</w:t>
      </w:r>
      <w:r w:rsidRPr="00821338">
        <w:t>éclairage et à la signalisation lumineuse</w:t>
      </w:r>
      <w:r>
        <w:t>, tout en soulignant qu</w:t>
      </w:r>
      <w:r w:rsidR="00912E90">
        <w:t>’</w:t>
      </w:r>
      <w:r>
        <w:t xml:space="preserve">avant de fixer des orientations au </w:t>
      </w:r>
      <w:r w:rsidRPr="00821338">
        <w:t>groupe informel</w:t>
      </w:r>
      <w:r>
        <w:t>, ils auraient besoin de plus de temps pour étudier l</w:t>
      </w:r>
      <w:r w:rsidR="00912E90">
        <w:t>’</w:t>
      </w:r>
      <w:r>
        <w:t>approche proposée et ses conséquences. Le Groupe de travail a notamment estimé que l</w:t>
      </w:r>
      <w:r w:rsidR="00912E90">
        <w:t>’</w:t>
      </w:r>
      <w:r>
        <w:t xml:space="preserve">examen devait </w:t>
      </w:r>
      <w:r w:rsidR="00912E90">
        <w:t>porter sur les points suivants:</w:t>
      </w:r>
    </w:p>
    <w:p w:rsidR="00DF0AA3" w:rsidRPr="00A428ED" w:rsidRDefault="00DF0AA3" w:rsidP="005D73CD">
      <w:pPr>
        <w:pStyle w:val="SingleTxtG"/>
        <w:spacing w:line="234" w:lineRule="atLeast"/>
        <w:ind w:firstLine="567"/>
      </w:pPr>
      <w:r w:rsidRPr="00A428ED">
        <w:t>a)</w:t>
      </w:r>
      <w:r w:rsidRPr="00A428ED">
        <w:tab/>
      </w:r>
      <w:r>
        <w:t xml:space="preserve">Conséquences </w:t>
      </w:r>
      <w:r w:rsidRPr="00A428ED">
        <w:t>des modifications (compléments ou nouvelle</w:t>
      </w:r>
      <w:r>
        <w:t>s</w:t>
      </w:r>
      <w:r w:rsidRPr="00A428ED">
        <w:t xml:space="preserve"> séries d</w:t>
      </w:r>
      <w:r w:rsidR="00912E90">
        <w:t>’</w:t>
      </w:r>
      <w:r w:rsidRPr="00A428ED">
        <w:t>amendements) apportées à la partie</w:t>
      </w:r>
      <w:r w:rsidR="005D73CD">
        <w:t> </w:t>
      </w:r>
      <w:r w:rsidRPr="00A428ED">
        <w:t xml:space="preserve">A </w:t>
      </w:r>
      <w:r>
        <w:t>et</w:t>
      </w:r>
      <w:r w:rsidRPr="00A428ED">
        <w:t>/o</w:t>
      </w:r>
      <w:r>
        <w:t>u à la partie</w:t>
      </w:r>
      <w:r w:rsidR="005D73CD">
        <w:t> </w:t>
      </w:r>
      <w:r w:rsidRPr="00A428ED">
        <w:t xml:space="preserve">B </w:t>
      </w:r>
      <w:r>
        <w:t>du</w:t>
      </w:r>
      <w:r w:rsidR="005D73CD">
        <w:t xml:space="preserve"> </w:t>
      </w:r>
      <w:r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A428ED">
        <w:t xml:space="preserve">48 </w:t>
      </w:r>
      <w:r>
        <w:t>pour les Règlements applicables au</w:t>
      </w:r>
      <w:r w:rsidR="00912E90">
        <w:t xml:space="preserve">x différents </w:t>
      </w:r>
      <w:r>
        <w:t xml:space="preserve">dispositifs et </w:t>
      </w:r>
      <w:r w:rsidRPr="00A428ED">
        <w:t>vice versa;</w:t>
      </w:r>
    </w:p>
    <w:p w:rsidR="00DF0AA3" w:rsidRPr="00282E8C" w:rsidRDefault="00DF0AA3" w:rsidP="005D73CD">
      <w:pPr>
        <w:pStyle w:val="SingleTxtG"/>
        <w:spacing w:line="234" w:lineRule="atLeast"/>
        <w:ind w:firstLine="567"/>
      </w:pPr>
      <w:r w:rsidRPr="00282E8C">
        <w:t>b)</w:t>
      </w:r>
      <w:r w:rsidRPr="00282E8C">
        <w:tab/>
        <w:t>Certaines Parties contractantes n</w:t>
      </w:r>
      <w:r w:rsidR="00912E90">
        <w:t>’</w:t>
      </w:r>
      <w:r w:rsidRPr="00282E8C">
        <w:t xml:space="preserve">appliquent pas le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282E8C">
        <w:t>48 mais appliquent de</w:t>
      </w:r>
      <w:r>
        <w:t xml:space="preserve">s </w:t>
      </w:r>
      <w:r w:rsidRPr="00282E8C">
        <w:t xml:space="preserve">Règlements </w:t>
      </w:r>
      <w:r>
        <w:t xml:space="preserve">concernant des dispositifs </w:t>
      </w:r>
      <w:r w:rsidRPr="00282E8C">
        <w:t>spécifiques</w:t>
      </w:r>
      <w:r>
        <w:t xml:space="preserve">. Si les dispositions communes de ces Règlements étaient inclues dans le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>
        <w:t xml:space="preserve">48, ces Parties contractantes ne seraient pas en mesure de voter </w:t>
      </w:r>
      <w:r w:rsidRPr="00282E8C">
        <w:t xml:space="preserve">sur des amendements </w:t>
      </w:r>
      <w:r>
        <w:t>à ces dispositions communes ni de s</w:t>
      </w:r>
      <w:r w:rsidR="00912E90">
        <w:t>’opposer à leur adoption;</w:t>
      </w:r>
    </w:p>
    <w:p w:rsidR="00DF0AA3" w:rsidRDefault="00DF0AA3" w:rsidP="005D73CD">
      <w:pPr>
        <w:pStyle w:val="SingleTxtG"/>
        <w:spacing w:line="234" w:lineRule="atLeast"/>
        <w:ind w:firstLine="567"/>
      </w:pPr>
      <w:r w:rsidRPr="00DD3E03">
        <w:t>c)</w:t>
      </w:r>
      <w:r w:rsidRPr="00DD3E03">
        <w:tab/>
        <w:t xml:space="preserve">Les </w:t>
      </w:r>
      <w:r>
        <w:t xml:space="preserve">problèmes </w:t>
      </w:r>
      <w:r w:rsidRPr="00DD3E03">
        <w:t>mentionnés aux paragraphes a) et b) ci-dessus</w:t>
      </w:r>
      <w:r>
        <w:t xml:space="preserve"> pourraient être résolus si l</w:t>
      </w:r>
      <w:r w:rsidR="00912E90">
        <w:t>’</w:t>
      </w:r>
      <w:r>
        <w:t xml:space="preserve">on plaçait les dispositions communes des Règlements applicables à des dispositifs particuliers dans une Résolution spéciale analogue à la </w:t>
      </w:r>
      <w:r w:rsidRPr="007664D9">
        <w:t>R.E.3 plut</w:t>
      </w:r>
      <w:r>
        <w:t xml:space="preserve">ôt que dans le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>
        <w:t>48. En faisant référence à cette Résolution dans les Règlements applicables à</w:t>
      </w:r>
      <w:r w:rsidR="00CD6AF5">
        <w:t> </w:t>
      </w:r>
      <w:r>
        <w:t xml:space="preserve">des dispositifs </w:t>
      </w:r>
      <w:r w:rsidRPr="007664D9">
        <w:t>spécifiques</w:t>
      </w:r>
      <w:r>
        <w:t xml:space="preserve"> on rendrait ses dispositions </w:t>
      </w:r>
      <w:r w:rsidRPr="007664D9">
        <w:t>juridiquement</w:t>
      </w:r>
      <w:r w:rsidR="00CD6AF5">
        <w:t xml:space="preserve"> contraignantes;</w:t>
      </w:r>
    </w:p>
    <w:p w:rsidR="00DF0AA3" w:rsidRPr="007664D9" w:rsidRDefault="00DF0AA3" w:rsidP="005D73CD">
      <w:pPr>
        <w:pStyle w:val="SingleTxtG"/>
        <w:spacing w:line="234" w:lineRule="atLeast"/>
        <w:ind w:firstLine="567"/>
      </w:pPr>
      <w:r w:rsidRPr="007664D9">
        <w:t>d)</w:t>
      </w:r>
      <w:r w:rsidRPr="007664D9">
        <w:tab/>
        <w:t>L</w:t>
      </w:r>
      <w:r w:rsidR="00912E90">
        <w:t>’</w:t>
      </w:r>
      <w:r w:rsidRPr="007664D9">
        <w:t>utilisation de renvois dynamiques ou statiques</w:t>
      </w:r>
      <w:r>
        <w:t xml:space="preserve"> au </w:t>
      </w:r>
      <w:r w:rsidRPr="007664D9">
        <w:t xml:space="preserve">document de référence transversal </w:t>
      </w:r>
      <w:r>
        <w:t xml:space="preserve">dans les Règlements concernant les </w:t>
      </w:r>
      <w:r w:rsidRPr="007664D9">
        <w:t>dispositifs</w:t>
      </w:r>
      <w:r w:rsidR="00912E90">
        <w:t xml:space="preserve">: </w:t>
      </w:r>
      <w:r>
        <w:t xml:space="preserve">les </w:t>
      </w:r>
      <w:r w:rsidRPr="000423D7">
        <w:t xml:space="preserve">renvois dynamiques </w:t>
      </w:r>
      <w:r>
        <w:t>auraient l</w:t>
      </w:r>
      <w:r w:rsidR="00912E90">
        <w:t>’</w:t>
      </w:r>
      <w:r>
        <w:t>avantage de simplifier le texte, mais certaines Parties contractantes pourraient préférer les</w:t>
      </w:r>
      <w:r w:rsidR="005D73CD">
        <w:t> </w:t>
      </w:r>
      <w:r>
        <w:t>renvois statique</w:t>
      </w:r>
      <w:r w:rsidR="00912E90">
        <w:t>s pour des raisons juridiques.</w:t>
      </w:r>
    </w:p>
    <w:p w:rsidR="00DF0AA3" w:rsidRPr="00550446" w:rsidRDefault="00DF0AA3" w:rsidP="005D73CD">
      <w:pPr>
        <w:pStyle w:val="ParNoG"/>
        <w:spacing w:line="234" w:lineRule="atLeast"/>
      </w:pPr>
      <w:r w:rsidRPr="000423D7">
        <w:t>Le Groupe de travail a not</w:t>
      </w:r>
      <w:r>
        <w:t>é</w:t>
      </w:r>
      <w:r w:rsidRPr="000423D7">
        <w:t xml:space="preserve"> que</w:t>
      </w:r>
      <w:r>
        <w:t xml:space="preserve"> certaines de ces questions juridiques nécessiteraient l</w:t>
      </w:r>
      <w:r w:rsidR="00912E90">
        <w:t>’</w:t>
      </w:r>
      <w:r>
        <w:t xml:space="preserve">avis du </w:t>
      </w:r>
      <w:r w:rsidRPr="00CF11F1">
        <w:t>Bureau des affaires juridiques de l</w:t>
      </w:r>
      <w:r w:rsidR="00912E90">
        <w:t>’</w:t>
      </w:r>
      <w:r w:rsidRPr="00CF11F1">
        <w:t>ONU et/ou du WP.29. Le GRE a invité</w:t>
      </w:r>
      <w:r>
        <w:t xml:space="preserve"> tous les experts à transmettre au secrétariat avant le 24</w:t>
      </w:r>
      <w:r w:rsidR="00CD6AF5">
        <w:t> </w:t>
      </w:r>
      <w:r>
        <w:t xml:space="preserve">avril 2015 </w:t>
      </w:r>
      <w:r w:rsidRPr="00230A3E">
        <w:t xml:space="preserve">leurs observations </w:t>
      </w:r>
      <w:r>
        <w:t>et questions concernant l</w:t>
      </w:r>
      <w:r w:rsidR="00912E90">
        <w:t>’</w:t>
      </w:r>
      <w:r>
        <w:t>approche proposée. Le secrétariat a été prié de solliciter l</w:t>
      </w:r>
      <w:r w:rsidR="00912E90">
        <w:t>’</w:t>
      </w:r>
      <w:r>
        <w:t xml:space="preserve">avis du </w:t>
      </w:r>
      <w:r w:rsidRPr="00230A3E">
        <w:t>Bureau des affaires juridiques de l</w:t>
      </w:r>
      <w:r w:rsidR="00912E90">
        <w:t>’</w:t>
      </w:r>
      <w:r w:rsidRPr="00230A3E">
        <w:t xml:space="preserve">ONU </w:t>
      </w:r>
      <w:r>
        <w:t xml:space="preserve">au sujet des questions juridiques. </w:t>
      </w:r>
      <w:r w:rsidRPr="00230A3E">
        <w:t xml:space="preserve">Le GRE a décidé que le Président rendrait compte au WP.29, à sa session de juin 2015, </w:t>
      </w:r>
      <w:r>
        <w:t xml:space="preserve">des progrès réalisés en matière de </w:t>
      </w:r>
      <w:r w:rsidRPr="00230A3E">
        <w:t>simplification des Règlements relatifs à l</w:t>
      </w:r>
      <w:r w:rsidR="00912E90">
        <w:t>’</w:t>
      </w:r>
      <w:r w:rsidRPr="00230A3E">
        <w:t>éclairage et à la signalisation lumineuse</w:t>
      </w:r>
      <w:r>
        <w:t xml:space="preserve"> et qu</w:t>
      </w:r>
      <w:r w:rsidR="00912E90">
        <w:t>’</w:t>
      </w:r>
      <w:r>
        <w:t xml:space="preserve">il demanderait au WP.29 de </w:t>
      </w:r>
      <w:r w:rsidRPr="00230A3E">
        <w:t>fixer des orientations</w:t>
      </w:r>
      <w:r>
        <w:t xml:space="preserve"> au sujet de l</w:t>
      </w:r>
      <w:r w:rsidR="00912E90">
        <w:t>’</w:t>
      </w:r>
      <w:r>
        <w:t>approche proposée par le groupe informel, ainsi que, le cas échéant, de proroger le mandat de ce groupe.</w:t>
      </w:r>
      <w:r w:rsidRPr="00230A3E">
        <w:t xml:space="preserve"> </w:t>
      </w:r>
      <w:r>
        <w:t xml:space="preserve">Entre-temps, le groupe informel a été prié de poursuivre ses activités consistant à réviser les Règlements applicables aux dispositifs afin de préparer un ensemble complet pour la prochaine session du GRE, en tenant compte du fait que la décision finale concernant le </w:t>
      </w:r>
      <w:r w:rsidRPr="00550446">
        <w:t xml:space="preserve">document de référence transversal </w:t>
      </w:r>
      <w:r>
        <w:t xml:space="preserve">(nouvelle partie du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>
        <w:t>48, nouvelle Résolution, etc.) sera prise ultérieurement en fonction des orientations fournies par</w:t>
      </w:r>
      <w:r w:rsidR="005D73CD">
        <w:t> </w:t>
      </w:r>
      <w:r>
        <w:t xml:space="preserve">le </w:t>
      </w:r>
      <w:r w:rsidRPr="00550446">
        <w:t>WP.29 et le Bureau des affaires juridiques de l</w:t>
      </w:r>
      <w:r w:rsidR="00912E90">
        <w:t>’ONU.</w:t>
      </w:r>
    </w:p>
    <w:p w:rsidR="00DF0AA3" w:rsidRPr="00511214" w:rsidRDefault="00DF0AA3" w:rsidP="005D73CD">
      <w:pPr>
        <w:pStyle w:val="ParNoG"/>
        <w:spacing w:line="234" w:lineRule="atLeast"/>
      </w:pPr>
      <w:r w:rsidRPr="00CA29EE">
        <w:t>Au nom du groupe informel</w:t>
      </w:r>
      <w:r>
        <w:t>, l</w:t>
      </w:r>
      <w:r w:rsidR="00912E90">
        <w:t>’</w:t>
      </w:r>
      <w:r>
        <w:t xml:space="preserve">expert de la Commission électrotechnique internationale </w:t>
      </w:r>
      <w:r w:rsidRPr="002C4E06">
        <w:t>a proposé</w:t>
      </w:r>
      <w:r>
        <w:t xml:space="preserve">, dans un but de simplification, </w:t>
      </w:r>
      <w:r w:rsidRPr="00CA29EE">
        <w:t xml:space="preserve">de supprimer les feuilles de </w:t>
      </w:r>
      <w:r>
        <w:t xml:space="preserve">caractéristiques </w:t>
      </w:r>
      <w:r w:rsidRPr="00CA29EE">
        <w:t>relatives aux différentes sources lumineuses de l</w:t>
      </w:r>
      <w:r w:rsidR="00912E90">
        <w:t>’</w:t>
      </w:r>
      <w:r w:rsidRPr="00CA29EE">
        <w:t xml:space="preserve">annexe 1 des Règlements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rPr>
          <w:vertAlign w:val="superscript"/>
        </w:rPr>
        <w:t>s</w:t>
      </w:r>
      <w:r w:rsidR="009409CB">
        <w:t> </w:t>
      </w:r>
      <w:r w:rsidRPr="00CA29EE">
        <w:t>37, 99 et 128 et de les transférer dans un document centralisé administré par le</w:t>
      </w:r>
      <w:r>
        <w:t xml:space="preserve"> </w:t>
      </w:r>
      <w:r w:rsidRPr="00CA29EE">
        <w:t xml:space="preserve">WP.29 (GRE-73-23). Le Groupe de travail a </w:t>
      </w:r>
      <w:r>
        <w:t xml:space="preserve">noté que cette approche avait déjà été approuvée par </w:t>
      </w:r>
      <w:r>
        <w:lastRenderedPageBreak/>
        <w:t xml:space="preserve">le </w:t>
      </w:r>
      <w:r w:rsidRPr="009A4BEF">
        <w:t xml:space="preserve">WP.29 à sa session de novembre 2014 </w:t>
      </w:r>
      <w:r>
        <w:t>et que le document officiel comportant les</w:t>
      </w:r>
      <w:r w:rsidR="00CD6AF5">
        <w:t> </w:t>
      </w:r>
      <w:r>
        <w:t>propositions d</w:t>
      </w:r>
      <w:r w:rsidR="00912E90">
        <w:t>’</w:t>
      </w:r>
      <w:r>
        <w:t xml:space="preserve">amendements serait soumis à la prochaine session du </w:t>
      </w:r>
      <w:r w:rsidR="00912E90">
        <w:t>GRE.</w:t>
      </w:r>
    </w:p>
    <w:p w:rsidR="00DF0AA3" w:rsidRPr="00330BB6" w:rsidRDefault="00DF0AA3" w:rsidP="00CD6AF5">
      <w:pPr>
        <w:pStyle w:val="HChG"/>
      </w:pPr>
      <w:r w:rsidRPr="00511214">
        <w:tab/>
      </w:r>
      <w:r w:rsidRPr="00330BB6">
        <w:t>VI.</w:t>
      </w:r>
      <w:r w:rsidRPr="00330BB6">
        <w:tab/>
      </w:r>
      <w:r w:rsidRPr="00CD6AF5">
        <w:t>Règlements</w:t>
      </w:r>
      <w:r w:rsidRPr="00330BB6">
        <w:t xml:space="preserve">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rPr>
          <w:vertAlign w:val="superscript"/>
        </w:rPr>
        <w:t>s</w:t>
      </w:r>
      <w:r w:rsidR="009409CB">
        <w:t> </w:t>
      </w:r>
      <w:r w:rsidRPr="00330BB6">
        <w:t>37 (Lampes à incandescence), 99 (Sources lumineuses à décharge) et 128 (Sources lumineuses à diodes électroluminescentes)</w:t>
      </w:r>
      <w:r>
        <w:t xml:space="preserve"> </w:t>
      </w:r>
      <w:r w:rsidRPr="00330BB6">
        <w:t xml:space="preserve">(point </w:t>
      </w:r>
      <w:r>
        <w:t>5</w:t>
      </w:r>
      <w:r w:rsidRPr="00330BB6">
        <w:t xml:space="preserve"> de l</w:t>
      </w:r>
      <w:r w:rsidR="00912E90">
        <w:t>’</w:t>
      </w:r>
      <w:r w:rsidRPr="00330BB6">
        <w:t>ordre du jour)</w:t>
      </w:r>
    </w:p>
    <w:p w:rsidR="00DF0AA3" w:rsidRPr="00EB0804" w:rsidRDefault="00DF0AA3" w:rsidP="00CD6AF5">
      <w:pPr>
        <w:pStyle w:val="SingleTxtG"/>
        <w:ind w:left="2552" w:hanging="1418"/>
        <w:jc w:val="left"/>
        <w:rPr>
          <w:szCs w:val="24"/>
          <w:lang w:val="fr-FR"/>
        </w:rPr>
      </w:pPr>
      <w:r w:rsidRPr="00EB0804">
        <w:rPr>
          <w:i/>
          <w:szCs w:val="24"/>
          <w:lang w:val="fr-FR"/>
        </w:rPr>
        <w:t>Document</w:t>
      </w:r>
      <w:r>
        <w:rPr>
          <w:i/>
          <w:szCs w:val="24"/>
          <w:lang w:val="fr-FR"/>
        </w:rPr>
        <w:t>s</w:t>
      </w:r>
      <w:r w:rsidR="00912E90">
        <w:rPr>
          <w:szCs w:val="24"/>
          <w:lang w:val="fr-FR"/>
        </w:rPr>
        <w:t>:</w:t>
      </w:r>
      <w:r w:rsidR="00912E90">
        <w:rPr>
          <w:szCs w:val="24"/>
          <w:lang w:val="fr-FR"/>
        </w:rPr>
        <w:tab/>
        <w:t xml:space="preserve">ECE/TRANS/WP.29/GRE/2015/2, </w:t>
      </w:r>
      <w:r w:rsidRPr="00EB0804">
        <w:rPr>
          <w:szCs w:val="24"/>
          <w:lang w:val="fr-FR"/>
        </w:rPr>
        <w:t>ECE/TRANS/WP.29/GRE/2015/15</w:t>
      </w:r>
      <w:r w:rsidR="00CD6AF5">
        <w:rPr>
          <w:szCs w:val="24"/>
          <w:lang w:val="fr-FR"/>
        </w:rPr>
        <w:t>.</w:t>
      </w:r>
    </w:p>
    <w:p w:rsidR="00DF0AA3" w:rsidRPr="00BA78A8" w:rsidRDefault="00DF0AA3" w:rsidP="00CD6AF5">
      <w:pPr>
        <w:pStyle w:val="ParNoG"/>
      </w:pPr>
      <w:r w:rsidRPr="00511214">
        <w:t>L</w:t>
      </w:r>
      <w:r w:rsidR="00912E90">
        <w:t>’</w:t>
      </w:r>
      <w:r w:rsidRPr="00511214">
        <w:t>expert du GTB a proposé d</w:t>
      </w:r>
      <w:r w:rsidR="00912E90">
        <w:t>’</w:t>
      </w:r>
      <w:r w:rsidRPr="00511214">
        <w:t xml:space="preserve">introduire dans le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511214">
        <w:t>99 une nouvelle catégorie D9S de sources l</w:t>
      </w:r>
      <w:r w:rsidR="00CD6AF5">
        <w:t>umineuses (ECE/TRANS/WP.29/GRE/</w:t>
      </w:r>
      <w:r w:rsidRPr="00511214">
        <w:t>2015/2) ainsi que de</w:t>
      </w:r>
      <w:r>
        <w:t xml:space="preserve"> modifier les dispositions relatives aux essais et à l</w:t>
      </w:r>
      <w:r w:rsidR="00912E90">
        <w:t>’</w:t>
      </w:r>
      <w:r>
        <w:t xml:space="preserve">homologation dans le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>
        <w:t xml:space="preserve">98 pour tenir compte </w:t>
      </w:r>
      <w:r w:rsidRPr="00BA78A8">
        <w:t>du fait que la catégorie D9S englobe des sources lumineuses à plusieurs niveaux de puissance (ECE/TRANS/WP.29/GRE/2015/15).</w:t>
      </w:r>
    </w:p>
    <w:p w:rsidR="00DF0AA3" w:rsidRPr="004A6AD5" w:rsidRDefault="00DF0AA3" w:rsidP="00CD6AF5">
      <w:pPr>
        <w:pStyle w:val="ParNoG"/>
      </w:pPr>
      <w:r w:rsidRPr="00BA78A8">
        <w:t xml:space="preserve">Plusieurs experts ont souligné que le niveau de puissance inférieur </w:t>
      </w:r>
      <w:r>
        <w:t xml:space="preserve">de la catégorie </w:t>
      </w:r>
      <w:r w:rsidRPr="00BA78A8">
        <w:t>D9S</w:t>
      </w:r>
      <w:r>
        <w:t xml:space="preserve"> assure l</w:t>
      </w:r>
      <w:r w:rsidRPr="00BA78A8">
        <w:t>e flux lumineux normal</w:t>
      </w:r>
      <w:r>
        <w:t xml:space="preserve"> de </w:t>
      </w:r>
      <w:r w:rsidRPr="00BA78A8">
        <w:t>2</w:t>
      </w:r>
      <w:r w:rsidR="005D73CD">
        <w:t> </w:t>
      </w:r>
      <w:r w:rsidRPr="00BA78A8">
        <w:t>000</w:t>
      </w:r>
      <w:r w:rsidR="005D73CD">
        <w:t> </w:t>
      </w:r>
      <w:r w:rsidRPr="00EB0804">
        <w:rPr>
          <w:lang w:val="en-GB"/>
        </w:rPr>
        <w:sym w:font="Symbol" w:char="F0B1"/>
      </w:r>
      <w:r w:rsidR="005D73CD">
        <w:t> </w:t>
      </w:r>
      <w:r w:rsidRPr="00BA78A8">
        <w:t>300</w:t>
      </w:r>
      <w:r w:rsidR="005D73CD">
        <w:t> </w:t>
      </w:r>
      <w:r w:rsidRPr="00BA78A8">
        <w:t>l</w:t>
      </w:r>
      <w:r>
        <w:t>u</w:t>
      </w:r>
      <w:r w:rsidRPr="00BA78A8">
        <w:t>m</w:t>
      </w:r>
      <w:r>
        <w:t>ens</w:t>
      </w:r>
      <w:r w:rsidRPr="00BA78A8">
        <w:t xml:space="preserve">, </w:t>
      </w:r>
      <w:r>
        <w:t>ce qui dispense les projecteurs utilisant de telles sources lumineuses d</w:t>
      </w:r>
      <w:r w:rsidR="00912E90">
        <w:t>’</w:t>
      </w:r>
      <w:r>
        <w:t xml:space="preserve">être équipés de </w:t>
      </w:r>
      <w:r w:rsidRPr="00630525">
        <w:t>dispositifs de nettoyage</w:t>
      </w:r>
      <w:r>
        <w:t xml:space="preserve"> et </w:t>
      </w:r>
      <w:r w:rsidRPr="00630525">
        <w:t>de réglage automatique</w:t>
      </w:r>
      <w:r>
        <w:t xml:space="preserve">. Le </w:t>
      </w:r>
      <w:r w:rsidRPr="00C748D7">
        <w:t xml:space="preserve">Groupe de travail </w:t>
      </w:r>
      <w:r>
        <w:t>a rappelé qu</w:t>
      </w:r>
      <w:r w:rsidR="00912E90">
        <w:t>’</w:t>
      </w:r>
      <w:r>
        <w:t>en vertu du paragraphe</w:t>
      </w:r>
      <w:r w:rsidR="00CD6AF5">
        <w:t> </w:t>
      </w:r>
      <w:r w:rsidRPr="00630525">
        <w:t xml:space="preserve">6.2.9 du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630525">
        <w:t>48</w:t>
      </w:r>
      <w:r>
        <w:t xml:space="preserve"> ces prescriptions supplémentaires ne s</w:t>
      </w:r>
      <w:r w:rsidR="00912E90">
        <w:t>’</w:t>
      </w:r>
      <w:r>
        <w:t>appliquent qu</w:t>
      </w:r>
      <w:r w:rsidR="00912E90">
        <w:t>’</w:t>
      </w:r>
      <w:r>
        <w:t xml:space="preserve">aux projecteurs dont le </w:t>
      </w:r>
      <w:r w:rsidRPr="00630525">
        <w:t>flux lumineux normal est supérieur à 2</w:t>
      </w:r>
      <w:r w:rsidR="00CD6AF5">
        <w:t> </w:t>
      </w:r>
      <w:r w:rsidRPr="00630525">
        <w:t>000</w:t>
      </w:r>
      <w:r w:rsidR="00CD6AF5">
        <w:t> </w:t>
      </w:r>
      <w:r w:rsidRPr="00630525">
        <w:t>lumens</w:t>
      </w:r>
      <w:r>
        <w:t xml:space="preserve"> compte non tenu des tolérances qui figurent dans la feuille de caractéristiques pertinente. Le </w:t>
      </w:r>
      <w:r w:rsidRPr="00C748D7">
        <w:t>GRE a convenu qu</w:t>
      </w:r>
      <w:r w:rsidR="00912E90">
        <w:t>’</w:t>
      </w:r>
      <w:r w:rsidRPr="00C748D7">
        <w:t>à l</w:t>
      </w:r>
      <w:r w:rsidR="00912E90">
        <w:t>’</w:t>
      </w:r>
      <w:r w:rsidRPr="00C748D7">
        <w:t xml:space="preserve">avenir les projecteurs équipés de sources lumineuses nouvelles ne pourront </w:t>
      </w:r>
      <w:r>
        <w:t xml:space="preserve">être dispensées de ces prescriptions supplémentaires que si leur </w:t>
      </w:r>
      <w:r w:rsidRPr="00C748D7">
        <w:t>flux lumineux normal</w:t>
      </w:r>
      <w:r>
        <w:t xml:space="preserve">, y compris la tolérance éventuelle, est inférieur à </w:t>
      </w:r>
      <w:r w:rsidRPr="004A6AD5">
        <w:t>2</w:t>
      </w:r>
      <w:r w:rsidR="00CD6AF5">
        <w:t> </w:t>
      </w:r>
      <w:r w:rsidRPr="004A6AD5">
        <w:t>000</w:t>
      </w:r>
      <w:r w:rsidR="00CD6AF5">
        <w:t> </w:t>
      </w:r>
      <w:r w:rsidRPr="004A6AD5">
        <w:t>lumens. Le GTB a été prié d</w:t>
      </w:r>
      <w:r w:rsidR="00912E90">
        <w:t>’</w:t>
      </w:r>
      <w:r w:rsidRPr="004A6AD5">
        <w:t xml:space="preserve">établir </w:t>
      </w:r>
      <w:r>
        <w:t xml:space="preserve">en conséquence </w:t>
      </w:r>
      <w:r w:rsidRPr="004A6AD5">
        <w:t>une proposition d</w:t>
      </w:r>
      <w:r w:rsidR="00912E90">
        <w:t>’</w:t>
      </w:r>
      <w:r w:rsidRPr="004A6AD5">
        <w:t xml:space="preserve">amendements au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912E90">
        <w:t>48.</w:t>
      </w:r>
    </w:p>
    <w:p w:rsidR="00DF0AA3" w:rsidRPr="00AD7725" w:rsidRDefault="00DF0AA3" w:rsidP="00CD6AF5">
      <w:pPr>
        <w:pStyle w:val="ParNoG"/>
        <w:rPr>
          <w:color w:val="000000"/>
        </w:rPr>
      </w:pPr>
      <w:r w:rsidRPr="00AD7725">
        <w:t>C</w:t>
      </w:r>
      <w:r w:rsidR="00912E90">
        <w:t>’</w:t>
      </w:r>
      <w:r w:rsidRPr="00AD7725">
        <w:t>est sur cette base que le G</w:t>
      </w:r>
      <w:r>
        <w:t>roupe de travail</w:t>
      </w:r>
      <w:r w:rsidRPr="00AD7725">
        <w:t xml:space="preserve"> a adopté</w:t>
      </w:r>
      <w:r>
        <w:t xml:space="preserve"> les propositions susmentionnées et prié le secrétariat de les soumettre au </w:t>
      </w:r>
      <w:r w:rsidRPr="00AD7725">
        <w:t xml:space="preserve">WP.29 </w:t>
      </w:r>
      <w:r>
        <w:t xml:space="preserve">et au </w:t>
      </w:r>
      <w:r w:rsidRPr="00AD7725">
        <w:t>Comité d</w:t>
      </w:r>
      <w:r w:rsidR="00912E90">
        <w:t>’</w:t>
      </w:r>
      <w:r w:rsidRPr="00AD7725">
        <w:t>administration de l</w:t>
      </w:r>
      <w:r w:rsidR="00912E90">
        <w:t>’</w:t>
      </w:r>
      <w:r w:rsidRPr="00AD7725">
        <w:t xml:space="preserve">Accord de 1958 (AC.1) pour examen et mise aux voix </w:t>
      </w:r>
      <w:r>
        <w:t xml:space="preserve">lors de leurs sessions de novembre </w:t>
      </w:r>
      <w:r w:rsidRPr="00AD7725">
        <w:t>2015</w:t>
      </w:r>
      <w:r>
        <w:t xml:space="preserve">, respectivement </w:t>
      </w:r>
      <w:r w:rsidRPr="00AD7725">
        <w:t xml:space="preserve">en tant que </w:t>
      </w:r>
      <w:r>
        <w:t xml:space="preserve">projet de </w:t>
      </w:r>
      <w:r w:rsidRPr="00AD7725">
        <w:t>complément</w:t>
      </w:r>
      <w:r w:rsidR="00CD6AF5">
        <w:t> </w:t>
      </w:r>
      <w:r w:rsidRPr="00AD7725">
        <w:t>11</w:t>
      </w:r>
      <w:r>
        <w:t xml:space="preserve"> </w:t>
      </w:r>
      <w:r w:rsidRPr="00AD7725">
        <w:t>à la version originale du Règlement</w:t>
      </w:r>
      <w:r>
        <w:t xml:space="preserve">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>
        <w:t xml:space="preserve">99 et de </w:t>
      </w:r>
      <w:r w:rsidRPr="00AD7725">
        <w:t>projet de complément</w:t>
      </w:r>
      <w:r w:rsidR="00CD6AF5">
        <w:t> </w:t>
      </w:r>
      <w:r w:rsidRPr="00AD7725">
        <w:t>7 à la série</w:t>
      </w:r>
      <w:r w:rsidR="00CD6AF5">
        <w:t> </w:t>
      </w:r>
      <w:r w:rsidRPr="00AD7725">
        <w:t>01 d</w:t>
      </w:r>
      <w:r w:rsidR="00912E90">
        <w:t>’</w:t>
      </w:r>
      <w:r w:rsidRPr="00AD7725">
        <w:t xml:space="preserve">amendements au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="00CD6AF5">
        <w:t>98.</w:t>
      </w:r>
    </w:p>
    <w:p w:rsidR="00DF0AA3" w:rsidRPr="00330BB6" w:rsidRDefault="00DF0AA3" w:rsidP="00CD6AF5">
      <w:pPr>
        <w:pStyle w:val="HChG"/>
      </w:pPr>
      <w:r w:rsidRPr="00AD7725">
        <w:tab/>
      </w:r>
      <w:r w:rsidRPr="00330BB6">
        <w:t>VII.</w:t>
      </w:r>
      <w:r w:rsidRPr="00330BB6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330BB6">
        <w:t>48 (Installation des dispositifs d</w:t>
      </w:r>
      <w:r w:rsidR="00912E90">
        <w:t>’</w:t>
      </w:r>
      <w:r w:rsidRPr="00330BB6">
        <w:t>éclairage et</w:t>
      </w:r>
      <w:r w:rsidR="005D73CD">
        <w:t xml:space="preserve"> </w:t>
      </w:r>
      <w:r w:rsidRPr="00330BB6">
        <w:t>de</w:t>
      </w:r>
      <w:r w:rsidR="00CD6AF5">
        <w:t> </w:t>
      </w:r>
      <w:r w:rsidRPr="00330BB6">
        <w:t xml:space="preserve">signalisation lumineuse) (point </w:t>
      </w:r>
      <w:r>
        <w:t>6</w:t>
      </w:r>
      <w:r w:rsidRPr="00330BB6">
        <w:t xml:space="preserve"> de l</w:t>
      </w:r>
      <w:r w:rsidR="00912E90">
        <w:t>’</w:t>
      </w:r>
      <w:r w:rsidRPr="00330BB6">
        <w:t>ordre du jour)</w:t>
      </w:r>
      <w:r>
        <w:t xml:space="preserve"> </w:t>
      </w:r>
    </w:p>
    <w:p w:rsidR="00DF0AA3" w:rsidRPr="00330BB6" w:rsidRDefault="00DF0AA3" w:rsidP="00CD6AF5">
      <w:pPr>
        <w:pStyle w:val="H1G"/>
      </w:pPr>
      <w:r w:rsidRPr="00330BB6">
        <w:tab/>
        <w:t>A.</w:t>
      </w:r>
      <w:r w:rsidRPr="00330BB6">
        <w:tab/>
        <w:t>Propositions d</w:t>
      </w:r>
      <w:r w:rsidR="00912E90">
        <w:t>’</w:t>
      </w:r>
      <w:r w:rsidRPr="00330BB6">
        <w:t>amendements aux séries 05 et 06 d</w:t>
      </w:r>
      <w:r w:rsidR="00912E90">
        <w:t>’</w:t>
      </w:r>
      <w:r w:rsidR="00CD6AF5">
        <w:t>amendements</w:t>
      </w:r>
    </w:p>
    <w:p w:rsidR="00DF0AA3" w:rsidRPr="00EB0804" w:rsidRDefault="00DF0AA3" w:rsidP="00CD6AF5">
      <w:pPr>
        <w:pStyle w:val="SingleTxtG"/>
        <w:ind w:left="2552" w:hanging="1418"/>
        <w:jc w:val="left"/>
        <w:rPr>
          <w:szCs w:val="24"/>
        </w:rPr>
      </w:pPr>
      <w:r w:rsidRPr="00EB0804">
        <w:rPr>
          <w:i/>
          <w:szCs w:val="24"/>
        </w:rPr>
        <w:t>Documents</w:t>
      </w:r>
      <w:r w:rsidRPr="00CD6AF5">
        <w:rPr>
          <w:szCs w:val="24"/>
        </w:rPr>
        <w:t>:</w:t>
      </w:r>
      <w:r w:rsidRPr="00EB0804">
        <w:rPr>
          <w:szCs w:val="24"/>
        </w:rPr>
        <w:tab/>
        <w:t xml:space="preserve">ECE/TRANS/WP.29/GRE/2015/3, ECE/TRANS/WP.29/GRE/2015/4, ECE/TRANS/WP.29/GRE/2015/13, </w:t>
      </w:r>
      <w:r w:rsidRPr="00EB0804">
        <w:rPr>
          <w:szCs w:val="24"/>
        </w:rPr>
        <w:br/>
        <w:t>Documents informels GRE-73-11, GRE-73-14 et GRE-73-15</w:t>
      </w:r>
      <w:r w:rsidR="002A6661">
        <w:rPr>
          <w:szCs w:val="24"/>
        </w:rPr>
        <w:t>.</w:t>
      </w:r>
    </w:p>
    <w:p w:rsidR="00DF0AA3" w:rsidRPr="009C583A" w:rsidRDefault="00DF0AA3" w:rsidP="00CD6AF5">
      <w:pPr>
        <w:pStyle w:val="ParNoG"/>
        <w:rPr>
          <w:color w:val="000000"/>
        </w:rPr>
      </w:pPr>
      <w:r w:rsidRPr="009C583A">
        <w:rPr>
          <w:color w:val="000000"/>
        </w:rPr>
        <w:t>L</w:t>
      </w:r>
      <w:r w:rsidR="00912E90">
        <w:rPr>
          <w:color w:val="000000"/>
        </w:rPr>
        <w:t>’</w:t>
      </w:r>
      <w:r w:rsidRPr="009C583A">
        <w:rPr>
          <w:color w:val="000000"/>
        </w:rPr>
        <w:t xml:space="preserve">expert du GTB a proposé de clarifier </w:t>
      </w:r>
      <w:r>
        <w:rPr>
          <w:color w:val="000000"/>
        </w:rPr>
        <w:t>l</w:t>
      </w:r>
      <w:r w:rsidR="00912E90">
        <w:rPr>
          <w:color w:val="000000"/>
        </w:rPr>
        <w:t>’</w:t>
      </w:r>
      <w:r>
        <w:rPr>
          <w:color w:val="000000"/>
        </w:rPr>
        <w:t xml:space="preserve">applicabilité du </w:t>
      </w:r>
      <w:r w:rsidRPr="009C583A">
        <w:t>paragraphe</w:t>
      </w:r>
      <w:r w:rsidR="00CD6AF5">
        <w:t> </w:t>
      </w:r>
      <w:r w:rsidRPr="009C583A">
        <w:t>5.7.1.3</w:t>
      </w:r>
      <w:r>
        <w:t xml:space="preserve"> en ce</w:t>
      </w:r>
      <w:r w:rsidR="005D73CD">
        <w:t xml:space="preserve"> </w:t>
      </w:r>
      <w:r>
        <w:t xml:space="preserve">qui concerne la séparation entre feux indicateurs arrière et feux stop </w:t>
      </w:r>
      <w:r w:rsidRPr="009C583A">
        <w:t xml:space="preserve">(ECE/TRANS/WP.29/GRE/2015/3 et GRE-73-15). Les </w:t>
      </w:r>
      <w:r>
        <w:t xml:space="preserve">experts </w:t>
      </w:r>
      <w:r w:rsidRPr="009C583A">
        <w:t>de l</w:t>
      </w:r>
      <w:r w:rsidR="00912E90">
        <w:t>’</w:t>
      </w:r>
      <w:r w:rsidRPr="009C583A">
        <w:t xml:space="preserve">Allemagne, de la France, du Japon et du </w:t>
      </w:r>
      <w:r>
        <w:t>Royaume-Uni n</w:t>
      </w:r>
      <w:r w:rsidR="00912E90">
        <w:t>’</w:t>
      </w:r>
      <w:r>
        <w:t>ont pas appuyé cette proposition, soulignant qu</w:t>
      </w:r>
      <w:r w:rsidR="00912E90">
        <w:t>’</w:t>
      </w:r>
      <w:r>
        <w:t>elle n</w:t>
      </w:r>
      <w:r w:rsidR="00912E90">
        <w:t>’</w:t>
      </w:r>
      <w:r>
        <w:t xml:space="preserve">était pas assez claire et prêtait dès lors à différentes interprétations. </w:t>
      </w:r>
      <w:r w:rsidRPr="009C583A">
        <w:t xml:space="preserve">Le Groupe de travail </w:t>
      </w:r>
      <w:r>
        <w:t xml:space="preserve">a invité le </w:t>
      </w:r>
      <w:r w:rsidRPr="009C583A">
        <w:t xml:space="preserve">GTB à revoir </w:t>
      </w:r>
      <w:r>
        <w:t>s</w:t>
      </w:r>
      <w:r w:rsidRPr="009C583A">
        <w:t>a proposition à la lumière de</w:t>
      </w:r>
      <w:r w:rsidR="00912E90">
        <w:t>s observations reçues.</w:t>
      </w:r>
    </w:p>
    <w:p w:rsidR="00DF0AA3" w:rsidRPr="0035411F" w:rsidRDefault="00DF0AA3" w:rsidP="00CD6AF5">
      <w:pPr>
        <w:pStyle w:val="ParNoG"/>
      </w:pPr>
      <w:r w:rsidRPr="009C583A">
        <w:t>L</w:t>
      </w:r>
      <w:r w:rsidR="00912E90">
        <w:t>’</w:t>
      </w:r>
      <w:r w:rsidRPr="009C583A">
        <w:t>expert du GTB a présenté une proposition</w:t>
      </w:r>
      <w:r>
        <w:t xml:space="preserve"> visant à introduire à titre facultatif des feux de circulation diurne à intensité variable dans le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>
        <w:t xml:space="preserve">48 </w:t>
      </w:r>
      <w:r w:rsidRPr="00054972">
        <w:t>(ECE/TRANS/WP.29/GRE/2015/4), en même temps qu</w:t>
      </w:r>
      <w:r w:rsidR="00912E90">
        <w:t>’</w:t>
      </w:r>
      <w:r w:rsidRPr="00054972">
        <w:t xml:space="preserve">une proposition </w:t>
      </w:r>
      <w:r>
        <w:t xml:space="preserve">visant à les </w:t>
      </w:r>
      <w:r>
        <w:lastRenderedPageBreak/>
        <w:t xml:space="preserve">introduire dans le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054972">
        <w:t>87 (ECE/TRANS/WP.29/GRE/2015/13) (</w:t>
      </w:r>
      <w:r>
        <w:t>point</w:t>
      </w:r>
      <w:r w:rsidR="002A6661">
        <w:t> </w:t>
      </w:r>
      <w:r w:rsidRPr="00054972">
        <w:t>7</w:t>
      </w:r>
      <w:r w:rsidR="002A6661">
        <w:t> </w:t>
      </w:r>
      <w:r w:rsidRPr="00054972">
        <w:t>g</w:t>
      </w:r>
      <w:r w:rsidR="002A6661">
        <w:t>)</w:t>
      </w:r>
      <w:r>
        <w:t xml:space="preserve"> de l</w:t>
      </w:r>
      <w:r w:rsidR="00912E90">
        <w:t>’</w:t>
      </w:r>
      <w:r>
        <w:t>ordre du jour</w:t>
      </w:r>
      <w:r w:rsidRPr="00054972">
        <w:t xml:space="preserve">). </w:t>
      </w:r>
      <w:r w:rsidRPr="002D7ABF">
        <w:t>À la différence des feux de circulation diurne actuels qui n</w:t>
      </w:r>
      <w:r w:rsidR="00912E90">
        <w:t>’</w:t>
      </w:r>
      <w:r w:rsidRPr="002D7ABF">
        <w:t>ont qu</w:t>
      </w:r>
      <w:r w:rsidR="00912E90">
        <w:t>’</w:t>
      </w:r>
      <w:r w:rsidRPr="002D7ABF">
        <w:t xml:space="preserve">un </w:t>
      </w:r>
      <w:r w:rsidRPr="003424CC">
        <w:t>niveau d</w:t>
      </w:r>
      <w:r w:rsidR="00912E90">
        <w:t>’</w:t>
      </w:r>
      <w:r>
        <w:t xml:space="preserve">intensité unique compris </w:t>
      </w:r>
      <w:r w:rsidRPr="003424CC">
        <w:t>entre 400 et 1</w:t>
      </w:r>
      <w:r w:rsidR="002A6661">
        <w:t> </w:t>
      </w:r>
      <w:r w:rsidRPr="003424CC">
        <w:t>200</w:t>
      </w:r>
      <w:r w:rsidR="002A6661">
        <w:t> </w:t>
      </w:r>
      <w:r w:rsidRPr="003424CC">
        <w:t>cd pour toutes les conditions ambiantes</w:t>
      </w:r>
      <w:r>
        <w:t xml:space="preserve">, il a été proposé que les </w:t>
      </w:r>
      <w:r w:rsidRPr="003424CC">
        <w:t xml:space="preserve">feux de circulation diurne </w:t>
      </w:r>
      <w:r>
        <w:t>à intensité variable aient plusieurs niveaux d</w:t>
      </w:r>
      <w:r w:rsidR="00912E90">
        <w:t>’</w:t>
      </w:r>
      <w:r>
        <w:t xml:space="preserve">intensité compris entre </w:t>
      </w:r>
      <w:r w:rsidRPr="0035411F">
        <w:t>200 et 2 000 cd, en fonc</w:t>
      </w:r>
      <w:r w:rsidR="002A6661">
        <w:t>tion de la luminosité ambiante.</w:t>
      </w:r>
    </w:p>
    <w:p w:rsidR="00DF0AA3" w:rsidRPr="00E20736" w:rsidRDefault="00DF0AA3" w:rsidP="002A6661">
      <w:pPr>
        <w:pStyle w:val="ParNoG"/>
      </w:pPr>
      <w:r w:rsidRPr="00E856CE">
        <w:t>Les experts de la France et de l</w:t>
      </w:r>
      <w:r w:rsidR="00912E90">
        <w:t>’</w:t>
      </w:r>
      <w:r>
        <w:t>Italie n</w:t>
      </w:r>
      <w:r w:rsidR="00912E90">
        <w:t>’</w:t>
      </w:r>
      <w:r>
        <w:t>ont pas été en mesure d</w:t>
      </w:r>
      <w:r w:rsidR="00912E90">
        <w:t>’</w:t>
      </w:r>
      <w:r>
        <w:t>accepter cette proposition. Ceux de l</w:t>
      </w:r>
      <w:r w:rsidR="00912E90">
        <w:t>’</w:t>
      </w:r>
      <w:r>
        <w:t xml:space="preserve">Allemagne, de la </w:t>
      </w:r>
      <w:r w:rsidRPr="00E856CE">
        <w:t>Finlande,</w:t>
      </w:r>
      <w:r>
        <w:t xml:space="preserve"> des Pays-Bas, de la </w:t>
      </w:r>
      <w:r w:rsidRPr="00E856CE">
        <w:t>Pol</w:t>
      </w:r>
      <w:r>
        <w:t>ogne</w:t>
      </w:r>
      <w:r w:rsidRPr="00E856CE">
        <w:t xml:space="preserve"> </w:t>
      </w:r>
      <w:r>
        <w:t xml:space="preserve">et du Royaume-Uni ont soutenu le concept de base de </w:t>
      </w:r>
      <w:r w:rsidRPr="00E856CE">
        <w:t>feux de circulation diurne</w:t>
      </w:r>
      <w:r>
        <w:t xml:space="preserve"> </w:t>
      </w:r>
      <w:r w:rsidRPr="00E856CE">
        <w:t>à intensité variable</w:t>
      </w:r>
      <w:r>
        <w:t xml:space="preserve"> tout en proposant quelques modifications.</w:t>
      </w:r>
      <w:r w:rsidRPr="00E856CE">
        <w:t xml:space="preserve"> </w:t>
      </w:r>
      <w:r>
        <w:t xml:space="preserve">Le Groupe de travail a aussi rappelé que le </w:t>
      </w:r>
      <w:r w:rsidRPr="00E856CE">
        <w:t xml:space="preserve">WP.29 </w:t>
      </w:r>
      <w:r>
        <w:t>l</w:t>
      </w:r>
      <w:r w:rsidR="00912E90">
        <w:t>’</w:t>
      </w:r>
      <w:r>
        <w:t xml:space="preserve">avait invité </w:t>
      </w:r>
      <w:r w:rsidRPr="00E856CE">
        <w:t>à rechercher</w:t>
      </w:r>
      <w:r>
        <w:t>,</w:t>
      </w:r>
      <w:r w:rsidRPr="00E856CE">
        <w:t xml:space="preserve"> en étroite collaboration avec </w:t>
      </w:r>
      <w:r>
        <w:t xml:space="preserve">toutes </w:t>
      </w:r>
      <w:r w:rsidRPr="00E856CE">
        <w:t>les parties prenantes</w:t>
      </w:r>
      <w:r>
        <w:t xml:space="preserve">, une </w:t>
      </w:r>
      <w:r w:rsidRPr="00F33958">
        <w:t xml:space="preserve">solution </w:t>
      </w:r>
      <w:r>
        <w:t xml:space="preserve">permettant </w:t>
      </w:r>
      <w:r w:rsidRPr="00F33958">
        <w:t xml:space="preserve">de citer en référence le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F33958">
        <w:t xml:space="preserve">48 dans </w:t>
      </w:r>
      <w:r>
        <w:t xml:space="preserve">une </w:t>
      </w:r>
      <w:r w:rsidRPr="00F33958">
        <w:t xml:space="preserve">annexe du Règlement ONU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F33958">
        <w:t>0</w:t>
      </w:r>
      <w:r>
        <w:t xml:space="preserve"> </w:t>
      </w:r>
      <w:r w:rsidRPr="00F33958">
        <w:t>(IVWTA) (ECE/TRANS/WP.29/1112, par.</w:t>
      </w:r>
      <w:r w:rsidR="002A6661">
        <w:t> </w:t>
      </w:r>
      <w:r w:rsidRPr="00F33958">
        <w:t xml:space="preserve">43). </w:t>
      </w:r>
      <w:r>
        <w:t>Dans ce contexte, l</w:t>
      </w:r>
      <w:r w:rsidR="00912E90">
        <w:t>’</w:t>
      </w:r>
      <w:r>
        <w:t xml:space="preserve">expert du Japon a informé le GRE que son pays ne pourrait pas appuyer la proposition du GTB en raison des dangers que pourrait faire courir aux motocycles la valeur de </w:t>
      </w:r>
      <w:r w:rsidRPr="006850D0">
        <w:t>2 000 lum</w:t>
      </w:r>
      <w:r>
        <w:t xml:space="preserve">ens, jugée trop élevée. </w:t>
      </w:r>
      <w:r w:rsidRPr="009422EE">
        <w:t>Il a également indiqué que le Japon ne voulait pas entraver l</w:t>
      </w:r>
      <w:r w:rsidR="00912E90">
        <w:t>’</w:t>
      </w:r>
      <w:r w:rsidRPr="009422EE">
        <w:t>IVWTA</w:t>
      </w:r>
      <w:r>
        <w:t xml:space="preserve"> et qu</w:t>
      </w:r>
      <w:r w:rsidR="00912E90">
        <w:t>’</w:t>
      </w:r>
      <w:r>
        <w:t xml:space="preserve">il avait lancé une étude sur les </w:t>
      </w:r>
      <w:r w:rsidRPr="009422EE">
        <w:t>feux de circulation diurne</w:t>
      </w:r>
      <w:r>
        <w:t xml:space="preserve"> dont les résultats seraient communiqués au GRE à la prochaine session. </w:t>
      </w:r>
      <w:r w:rsidRPr="00E20736">
        <w:t>Le Groupe de travail a</w:t>
      </w:r>
      <w:r w:rsidR="002A6661">
        <w:t> </w:t>
      </w:r>
      <w:r w:rsidRPr="00E20736">
        <w:t>invité le GTB à tenir compte des observations</w:t>
      </w:r>
      <w:r>
        <w:t xml:space="preserve"> reçues et à préparer, en collaboration avec le Japon et d</w:t>
      </w:r>
      <w:r w:rsidR="00912E90">
        <w:t>’</w:t>
      </w:r>
      <w:r>
        <w:t>autres parties intéressées, une proposition révisée pour la prochaine session du</w:t>
      </w:r>
      <w:r w:rsidR="002A6661">
        <w:t> </w:t>
      </w:r>
      <w:r>
        <w:t>GRE.</w:t>
      </w:r>
    </w:p>
    <w:p w:rsidR="00DF0AA3" w:rsidRPr="00330BB6" w:rsidRDefault="00DF0AA3" w:rsidP="002A6661">
      <w:pPr>
        <w:pStyle w:val="H1G"/>
      </w:pPr>
      <w:r w:rsidRPr="00707A8F">
        <w:tab/>
      </w:r>
      <w:r w:rsidRPr="00330BB6">
        <w:t>B.</w:t>
      </w:r>
      <w:r w:rsidRPr="00330BB6">
        <w:tab/>
        <w:t>Autres propositions d</w:t>
      </w:r>
      <w:r w:rsidR="00912E90">
        <w:t>’</w:t>
      </w:r>
      <w:r w:rsidRPr="00330BB6">
        <w:t xml:space="preserve">amendements au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330BB6">
        <w:t>48</w:t>
      </w:r>
    </w:p>
    <w:p w:rsidR="00DF0AA3" w:rsidRPr="00707A8F" w:rsidRDefault="00DF0AA3" w:rsidP="00CD6AF5">
      <w:pPr>
        <w:pStyle w:val="SingleTxtG"/>
        <w:ind w:left="2552" w:hanging="1418"/>
        <w:jc w:val="left"/>
        <w:rPr>
          <w:szCs w:val="24"/>
        </w:rPr>
      </w:pPr>
      <w:r w:rsidRPr="00330BB6">
        <w:rPr>
          <w:i/>
          <w:szCs w:val="24"/>
          <w:lang w:val="fr-FR"/>
        </w:rPr>
        <w:t>Documents</w:t>
      </w:r>
      <w:r w:rsidRPr="002A6661">
        <w:rPr>
          <w:szCs w:val="24"/>
          <w:lang w:val="fr-FR"/>
        </w:rPr>
        <w:t>:</w:t>
      </w:r>
      <w:r w:rsidRPr="00330BB6">
        <w:rPr>
          <w:szCs w:val="24"/>
          <w:lang w:val="fr-FR"/>
        </w:rPr>
        <w:tab/>
        <w:t>ECE/TRANS/WP.29/GRE/2015/5, ECE/TRANS/WP.29/GRE/2015/</w:t>
      </w:r>
      <w:r w:rsidR="002A6661">
        <w:rPr>
          <w:szCs w:val="24"/>
          <w:lang w:val="fr-FR"/>
        </w:rPr>
        <w:t>6, ECE/TRANS/WP.29/GRE/2015/21,</w:t>
      </w:r>
      <w:r w:rsidRPr="00330BB6">
        <w:rPr>
          <w:szCs w:val="24"/>
          <w:lang w:val="fr-FR"/>
        </w:rPr>
        <w:br/>
      </w:r>
      <w:r>
        <w:rPr>
          <w:szCs w:val="24"/>
          <w:lang w:val="fr-FR"/>
        </w:rPr>
        <w:t>D</w:t>
      </w:r>
      <w:r w:rsidRPr="00330BB6">
        <w:rPr>
          <w:szCs w:val="24"/>
          <w:lang w:val="fr-FR"/>
        </w:rPr>
        <w:t xml:space="preserve">ocuments </w:t>
      </w:r>
      <w:r>
        <w:rPr>
          <w:szCs w:val="24"/>
          <w:lang w:val="fr-FR"/>
        </w:rPr>
        <w:t xml:space="preserve">informels </w:t>
      </w:r>
      <w:r w:rsidRPr="00330BB6">
        <w:rPr>
          <w:szCs w:val="24"/>
          <w:lang w:val="fr-FR"/>
        </w:rPr>
        <w:t>GRE-73-12, GRE-73-17, GRE-73-18, GRE-73-19</w:t>
      </w:r>
      <w:r w:rsidR="005D73CD">
        <w:rPr>
          <w:szCs w:val="24"/>
          <w:lang w:val="fr-FR"/>
        </w:rPr>
        <w:t>,</w:t>
      </w:r>
      <w:r w:rsidRPr="00330BB6">
        <w:rPr>
          <w:szCs w:val="24"/>
          <w:lang w:val="fr-FR"/>
        </w:rPr>
        <w:t xml:space="preserve"> </w:t>
      </w:r>
      <w:r w:rsidR="002A6661">
        <w:rPr>
          <w:szCs w:val="24"/>
        </w:rPr>
        <w:t>GRE-73-25, GRE-73-27, GRE-73-28.</w:t>
      </w:r>
    </w:p>
    <w:p w:rsidR="00DF0AA3" w:rsidRPr="003478CB" w:rsidRDefault="00DF0AA3" w:rsidP="002A6661">
      <w:pPr>
        <w:pStyle w:val="ParNoG"/>
      </w:pPr>
      <w:r w:rsidRPr="00E20736">
        <w:t>Les experts de l</w:t>
      </w:r>
      <w:r w:rsidR="00912E90">
        <w:t>’</w:t>
      </w:r>
      <w:r w:rsidRPr="00E20736">
        <w:t>OICA et du GTB ont propos</w:t>
      </w:r>
      <w:r>
        <w:t>é d</w:t>
      </w:r>
      <w:r w:rsidR="00912E90">
        <w:t>’</w:t>
      </w:r>
      <w:r>
        <w:t xml:space="preserve">introduire de nouveaux critères </w:t>
      </w:r>
      <w:r w:rsidRPr="00E20736">
        <w:t>pour le réglage automatique de l</w:t>
      </w:r>
      <w:r w:rsidR="00912E90">
        <w:t>’</w:t>
      </w:r>
      <w:r w:rsidRPr="00E20736">
        <w:t>assiette des projecteurs, fondés sur les études du GTB relatives à l</w:t>
      </w:r>
      <w:r w:rsidR="00912E90">
        <w:t>’</w:t>
      </w:r>
      <w:r w:rsidRPr="00E20736">
        <w:t>é</w:t>
      </w:r>
      <w:r>
        <w:t>blouissement et à la visibilité</w:t>
      </w:r>
      <w:r w:rsidRPr="00E20736">
        <w:t xml:space="preserve"> (ECE/TRANS/WP.29/GRE/2015/5). L</w:t>
      </w:r>
      <w:r w:rsidR="00912E90">
        <w:t>’</w:t>
      </w:r>
      <w:r w:rsidRPr="00E20736">
        <w:t xml:space="preserve">expert de la Pologne a </w:t>
      </w:r>
      <w:r>
        <w:t>suggéré d</w:t>
      </w:r>
      <w:r w:rsidR="00912E90">
        <w:t>’</w:t>
      </w:r>
      <w:r>
        <w:t xml:space="preserve">apporter quelques </w:t>
      </w:r>
      <w:r w:rsidRPr="00E20736">
        <w:t>modifications suppl</w:t>
      </w:r>
      <w:r w:rsidR="00912E90">
        <w:t>émentaires à cette proposition</w:t>
      </w:r>
      <w:r w:rsidRPr="00E20736">
        <w:t xml:space="preserve"> (GRE-73-28). </w:t>
      </w:r>
      <w:r>
        <w:t xml:space="preserve">Les </w:t>
      </w:r>
      <w:r w:rsidRPr="003478CB">
        <w:t>experts de l</w:t>
      </w:r>
      <w:r w:rsidR="00912E90">
        <w:t>’</w:t>
      </w:r>
      <w:r w:rsidRPr="003478CB">
        <w:t>Allemagne et du Japon ont proposé d</w:t>
      </w:r>
      <w:r w:rsidR="00912E90">
        <w:t>’</w:t>
      </w:r>
      <w:r w:rsidRPr="003478CB">
        <w:t xml:space="preserve">imposer un </w:t>
      </w:r>
      <w:r>
        <w:t xml:space="preserve">réglage </w:t>
      </w:r>
      <w:r w:rsidRPr="003478CB">
        <w:t>automatique dans tous les cas</w:t>
      </w:r>
      <w:r>
        <w:t xml:space="preserve"> </w:t>
      </w:r>
      <w:r w:rsidRPr="003478CB">
        <w:t>afin de réduire les problèm</w:t>
      </w:r>
      <w:r>
        <w:t>e</w:t>
      </w:r>
      <w:r w:rsidRPr="003478CB">
        <w:t>s</w:t>
      </w:r>
      <w:r>
        <w:t xml:space="preserve"> d</w:t>
      </w:r>
      <w:r w:rsidR="00912E90">
        <w:t>’</w:t>
      </w:r>
      <w:r>
        <w:t xml:space="preserve">éblouissement des conducteurs </w:t>
      </w:r>
      <w:r w:rsidRPr="003478CB">
        <w:t>(GRE-73-18). A</w:t>
      </w:r>
      <w:r>
        <w:t xml:space="preserve">u terme </w:t>
      </w:r>
      <w:r w:rsidRPr="003478CB">
        <w:t>d</w:t>
      </w:r>
      <w:r w:rsidR="00912E90">
        <w:t>’</w:t>
      </w:r>
      <w:r w:rsidRPr="003478CB">
        <w:t>un échange de vues approfondi concernant ces trois documents</w:t>
      </w:r>
      <w:r>
        <w:t xml:space="preserve">, le </w:t>
      </w:r>
      <w:r w:rsidRPr="000A1EC3">
        <w:t xml:space="preserve">Groupe de travail </w:t>
      </w:r>
      <w:r>
        <w:t>a constaté qu</w:t>
      </w:r>
      <w:r w:rsidR="00912E90">
        <w:t>’</w:t>
      </w:r>
      <w:r>
        <w:t>aucun consensus ne pourrait se dégager tant qu</w:t>
      </w:r>
      <w:r w:rsidR="00912E90">
        <w:t>’</w:t>
      </w:r>
      <w:r>
        <w:t>il n</w:t>
      </w:r>
      <w:r w:rsidR="00912E90">
        <w:t>’</w:t>
      </w:r>
      <w:r>
        <w:t>y aurait pas de proposition unique.</w:t>
      </w:r>
    </w:p>
    <w:p w:rsidR="00DF0AA3" w:rsidRPr="007B3FA4" w:rsidRDefault="00DF0AA3" w:rsidP="002A6661">
      <w:pPr>
        <w:pStyle w:val="ParNoG"/>
      </w:pPr>
      <w:r w:rsidRPr="003478CB">
        <w:t xml:space="preserve">Afin de faire progresser cette question </w:t>
      </w:r>
      <w:r>
        <w:t>et d</w:t>
      </w:r>
      <w:r w:rsidR="00912E90">
        <w:t>’</w:t>
      </w:r>
      <w:r>
        <w:t xml:space="preserve">établir une proposition exhaustive, le </w:t>
      </w:r>
      <w:r w:rsidRPr="000A1EC3">
        <w:t>GRE</w:t>
      </w:r>
      <w:r>
        <w:t xml:space="preserve"> </w:t>
      </w:r>
      <w:r w:rsidRPr="003478CB">
        <w:t xml:space="preserve">a </w:t>
      </w:r>
      <w:r>
        <w:t xml:space="preserve">décidé de mettre sur pied un groupe de travail informel provisoirement intitulé </w:t>
      </w:r>
      <w:r w:rsidR="005D73CD">
        <w:t>«</w:t>
      </w:r>
      <w:r w:rsidRPr="007B3FA4">
        <w:t>sur la visibilité, l</w:t>
      </w:r>
      <w:r w:rsidR="00912E90">
        <w:t>’</w:t>
      </w:r>
      <w:r w:rsidRPr="007B3FA4">
        <w:t>éblouissement et le réglage</w:t>
      </w:r>
      <w:r w:rsidR="005D73CD">
        <w:t>»</w:t>
      </w:r>
      <w:r w:rsidRPr="007B3FA4">
        <w:t xml:space="preserve">, </w:t>
      </w:r>
      <w:r>
        <w:t>au</w:t>
      </w:r>
      <w:r w:rsidRPr="007B3FA4">
        <w:t>quel les experts</w:t>
      </w:r>
      <w:r>
        <w:t xml:space="preserve"> de l</w:t>
      </w:r>
      <w:r w:rsidR="00912E90">
        <w:t>’</w:t>
      </w:r>
      <w:r>
        <w:t xml:space="preserve">Allemagne et de la Pologne ont accepté de servir respectivement de Président et de Secrétaire. </w:t>
      </w:r>
      <w:r w:rsidRPr="007B3FA4">
        <w:t>Le GRE a demandé au groupe informel de lui soumettre son manda</w:t>
      </w:r>
      <w:r>
        <w:t>t pour examen lors de sa prochaine session et prié le Président d</w:t>
      </w:r>
      <w:r w:rsidR="00912E90">
        <w:t>’</w:t>
      </w:r>
      <w:r>
        <w:t>obtenir en juin 2015 l</w:t>
      </w:r>
      <w:r w:rsidR="00912E90">
        <w:t>’</w:t>
      </w:r>
      <w:r>
        <w:t xml:space="preserve">accord du WP.29 pour la création de </w:t>
      </w:r>
      <w:r w:rsidR="00912E90">
        <w:t>ce groupe de travail informel.</w:t>
      </w:r>
    </w:p>
    <w:p w:rsidR="00DF0AA3" w:rsidRPr="00DA5DF7" w:rsidRDefault="00DF0AA3" w:rsidP="002A6661">
      <w:pPr>
        <w:pStyle w:val="ParNoG"/>
      </w:pPr>
      <w:r w:rsidRPr="00351F8D">
        <w:t>L</w:t>
      </w:r>
      <w:r w:rsidR="00912E90">
        <w:t>’</w:t>
      </w:r>
      <w:r w:rsidRPr="00351F8D">
        <w:t xml:space="preserve">expert de la Pologne a proposé </w:t>
      </w:r>
      <w:r>
        <w:t>d</w:t>
      </w:r>
      <w:r w:rsidR="00912E90">
        <w:t>’</w:t>
      </w:r>
      <w:r>
        <w:t xml:space="preserve">introduire </w:t>
      </w:r>
      <w:r w:rsidRPr="00DA5DF7">
        <w:t>les feux d</w:t>
      </w:r>
      <w:r w:rsidR="00912E90">
        <w:t>’</w:t>
      </w:r>
      <w:r w:rsidRPr="00DA5DF7">
        <w:t xml:space="preserve">éclairage latéral </w:t>
      </w:r>
      <w:r>
        <w:t xml:space="preserve">facultatifs </w:t>
      </w:r>
      <w:r w:rsidRPr="00DA5DF7">
        <w:t>dans le</w:t>
      </w:r>
      <w:r>
        <w:t>s</w:t>
      </w:r>
      <w:r w:rsidRPr="00DA5DF7">
        <w:t xml:space="preserve"> Règlement</w:t>
      </w:r>
      <w:r>
        <w:t xml:space="preserve">s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A47341">
        <w:rPr>
          <w:vertAlign w:val="superscript"/>
        </w:rPr>
        <w:t>s</w:t>
      </w:r>
      <w:r w:rsidR="009409CB">
        <w:t> </w:t>
      </w:r>
      <w:r w:rsidRPr="00DA5DF7">
        <w:t>48 et 119 (point</w:t>
      </w:r>
      <w:r w:rsidR="00A47341">
        <w:t> </w:t>
      </w:r>
      <w:r w:rsidRPr="00DA5DF7">
        <w:t>7</w:t>
      </w:r>
      <w:r w:rsidR="00A47341">
        <w:t> </w:t>
      </w:r>
      <w:r w:rsidRPr="00DA5DF7">
        <w:t>l) de l</w:t>
      </w:r>
      <w:r w:rsidR="00912E90">
        <w:t>’</w:t>
      </w:r>
      <w:r w:rsidRPr="00DA5DF7">
        <w:t>ordre du jour) (ECE/TRANS/WP.29/</w:t>
      </w:r>
      <w:r w:rsidR="002A6661">
        <w:t xml:space="preserve"> </w:t>
      </w:r>
      <w:r w:rsidRPr="00DA5DF7">
        <w:t xml:space="preserve">GRE/2015/6, ECE/TRANS/WP.29/GRE/2015/19, GRE-73-12, GRE-73-13, GRE-73-27) </w:t>
      </w:r>
      <w:r>
        <w:t>afin d</w:t>
      </w:r>
      <w:r w:rsidR="00912E90">
        <w:t>’</w:t>
      </w:r>
      <w:r>
        <w:t xml:space="preserve">accroître la visibilité des piétons, animaux, etc. par des conducteurs éblouis. </w:t>
      </w:r>
      <w:r w:rsidRPr="00DA5DF7">
        <w:t>L</w:t>
      </w:r>
      <w:r w:rsidR="00912E90">
        <w:t>’</w:t>
      </w:r>
      <w:r w:rsidRPr="00DA5DF7">
        <w:t>expert de l</w:t>
      </w:r>
      <w:r w:rsidR="00912E90">
        <w:t>’</w:t>
      </w:r>
      <w:r w:rsidRPr="00DA5DF7">
        <w:t>Inde a suggéré d</w:t>
      </w:r>
      <w:r w:rsidR="00912E90">
        <w:t>’</w:t>
      </w:r>
      <w:r w:rsidRPr="00DA5DF7">
        <w:t xml:space="preserve">apporter quelques modifications à cette proposition (GRE-73-19). </w:t>
      </w:r>
      <w:r w:rsidRPr="00DA5DF7">
        <w:lastRenderedPageBreak/>
        <w:t>Le</w:t>
      </w:r>
      <w:r w:rsidR="002A6661">
        <w:t> </w:t>
      </w:r>
      <w:r w:rsidRPr="000A1EC3">
        <w:t>Groupe de travail</w:t>
      </w:r>
      <w:r w:rsidRPr="00DA5DF7">
        <w:t xml:space="preserve"> a estimé que cette proposition ne présenterait aucun </w:t>
      </w:r>
      <w:r>
        <w:t>a</w:t>
      </w:r>
      <w:r w:rsidRPr="00DA5DF7">
        <w:t xml:space="preserve">vantage </w:t>
      </w:r>
      <w:r>
        <w:t>supplémentaire pour la sécurité routière et qu</w:t>
      </w:r>
      <w:r w:rsidR="00912E90">
        <w:t>’</w:t>
      </w:r>
      <w:r>
        <w:t>il ne pourrait donc pas l</w:t>
      </w:r>
      <w:r w:rsidR="00912E90">
        <w:t>’appuyer.</w:t>
      </w:r>
    </w:p>
    <w:p w:rsidR="00DF0AA3" w:rsidRPr="002A6661" w:rsidRDefault="00DF0AA3" w:rsidP="00DF0AA3">
      <w:pPr>
        <w:pStyle w:val="ParNoG"/>
        <w:keepLines/>
        <w:kinsoku/>
        <w:overflowPunct/>
        <w:autoSpaceDE/>
        <w:autoSpaceDN/>
        <w:adjustRightInd/>
        <w:snapToGrid/>
        <w:rPr>
          <w:color w:val="000000"/>
          <w:szCs w:val="24"/>
        </w:rPr>
      </w:pPr>
      <w:r w:rsidRPr="00DA5DF7">
        <w:t>L</w:t>
      </w:r>
      <w:r w:rsidR="00912E90">
        <w:t>’</w:t>
      </w:r>
      <w:r w:rsidRPr="00DA5DF7">
        <w:t>expert de la France a proposé de</w:t>
      </w:r>
      <w:r>
        <w:t xml:space="preserve"> </w:t>
      </w:r>
      <w:r w:rsidRPr="00DA5DF7">
        <w:t xml:space="preserve">supprimer </w:t>
      </w:r>
      <w:r>
        <w:t xml:space="preserve">du Règlement </w:t>
      </w:r>
      <w:r w:rsidR="009409CB" w:rsidRPr="00BE7246">
        <w:t>n</w:t>
      </w:r>
      <w:r w:rsidR="009409CB" w:rsidRPr="002A6661">
        <w:rPr>
          <w:vertAlign w:val="superscript"/>
        </w:rPr>
        <w:t>o</w:t>
      </w:r>
      <w:r w:rsidR="009409CB">
        <w:t> </w:t>
      </w:r>
      <w:r>
        <w:t xml:space="preserve">48 </w:t>
      </w:r>
      <w:r w:rsidRPr="00DA5DF7">
        <w:t>une prescription restrictive en matière de conception</w:t>
      </w:r>
      <w:r>
        <w:t xml:space="preserve"> d</w:t>
      </w:r>
      <w:r w:rsidR="00912E90">
        <w:t>’</w:t>
      </w:r>
      <w:r>
        <w:t xml:space="preserve">un dispositif de réglage automatique des </w:t>
      </w:r>
      <w:r w:rsidRPr="005E30EA">
        <w:t>faisceau</w:t>
      </w:r>
      <w:r>
        <w:t>x</w:t>
      </w:r>
      <w:r w:rsidRPr="005E30EA">
        <w:t xml:space="preserve"> de croisement</w:t>
      </w:r>
      <w:r>
        <w:t xml:space="preserve"> produits par des sources, alors que pour les autres sources lumineuses </w:t>
      </w:r>
      <w:r w:rsidRPr="005E30EA">
        <w:t>à diodes électroluminescentes</w:t>
      </w:r>
      <w:r>
        <w:t xml:space="preserve"> la prescription ne s</w:t>
      </w:r>
      <w:r w:rsidR="00912E90">
        <w:t>’</w:t>
      </w:r>
      <w:r>
        <w:t>applique que</w:t>
      </w:r>
      <w:r w:rsidRPr="005E30EA">
        <w:t xml:space="preserve"> </w:t>
      </w:r>
      <w:r>
        <w:t xml:space="preserve">si leur </w:t>
      </w:r>
      <w:r w:rsidRPr="005E30EA">
        <w:t xml:space="preserve">flux lumineux de référence </w:t>
      </w:r>
      <w:r>
        <w:t xml:space="preserve">est supérieur à </w:t>
      </w:r>
      <w:r w:rsidRPr="005E30EA">
        <w:t>2</w:t>
      </w:r>
      <w:r w:rsidR="002A6661">
        <w:t> </w:t>
      </w:r>
      <w:r w:rsidRPr="005E30EA">
        <w:t>000</w:t>
      </w:r>
      <w:r w:rsidR="002A6661">
        <w:t> </w:t>
      </w:r>
      <w:r>
        <w:t>l</w:t>
      </w:r>
      <w:r w:rsidRPr="005E30EA">
        <w:t xml:space="preserve">umens (ECE/TRANS/WP.29/GRE/2015/21 </w:t>
      </w:r>
      <w:r>
        <w:t xml:space="preserve">et </w:t>
      </w:r>
      <w:r w:rsidRPr="005E30EA">
        <w:t xml:space="preserve">GRE-73-25). </w:t>
      </w:r>
      <w:r>
        <w:t>Selon l</w:t>
      </w:r>
      <w:r w:rsidR="00912E90">
        <w:t>’</w:t>
      </w:r>
      <w:r>
        <w:t xml:space="preserve">expert, si les </w:t>
      </w:r>
      <w:r w:rsidRPr="00610EC4">
        <w:t>diodes électroluminescentes</w:t>
      </w:r>
      <w:r>
        <w:t xml:space="preserve"> (DEL) étaient traitées de la même manière que les autres sources lumineuses, cela se traduirait par une augmentation du nombre de véhicules équipés de </w:t>
      </w:r>
      <w:r w:rsidRPr="00610EC4">
        <w:t>projecteurs à DEL</w:t>
      </w:r>
      <w:r>
        <w:t xml:space="preserve"> et, partant, par une amélioration de la sécurité routière et une réduction des émissions de </w:t>
      </w:r>
      <w:r w:rsidRPr="00610EC4">
        <w:t>CO</w:t>
      </w:r>
      <w:r w:rsidRPr="002A6661">
        <w:rPr>
          <w:vertAlign w:val="subscript"/>
        </w:rPr>
        <w:t>2</w:t>
      </w:r>
      <w:r w:rsidRPr="00610EC4">
        <w:t>. Les experts de l</w:t>
      </w:r>
      <w:r w:rsidR="00912E90">
        <w:t>’</w:t>
      </w:r>
      <w:r w:rsidRPr="00610EC4">
        <w:t xml:space="preserve">Allemagne, de la Belgique, du Japon et du </w:t>
      </w:r>
      <w:r>
        <w:t>Royaume-Uni ont estimé que cette question devrait d</w:t>
      </w:r>
      <w:r w:rsidR="00912E90">
        <w:t>’</w:t>
      </w:r>
      <w:r>
        <w:t>abord être adressée au groupe de travail informel et examinée en même temps que d</w:t>
      </w:r>
      <w:r w:rsidR="00912E90">
        <w:t>’</w:t>
      </w:r>
      <w:r>
        <w:t>autres propositions concernant le réglage (voir par.</w:t>
      </w:r>
      <w:r w:rsidR="002A6661">
        <w:t> </w:t>
      </w:r>
      <w:r w:rsidRPr="00610EC4">
        <w:t>17 et 18 ci-dessus),</w:t>
      </w:r>
      <w:r>
        <w:t xml:space="preserve"> étant entendu qu</w:t>
      </w:r>
      <w:r w:rsidR="00912E90">
        <w:t>’</w:t>
      </w:r>
      <w:r>
        <w:t xml:space="preserve">une solution définitive élaborée par le groupe informel </w:t>
      </w:r>
      <w:r w:rsidRPr="000F549D">
        <w:t>ne devait pas favoriser telle ou telle technologie</w:t>
      </w:r>
      <w:r w:rsidR="002A6661">
        <w:t xml:space="preserve">. </w:t>
      </w:r>
      <w:r w:rsidRPr="002A6661">
        <w:rPr>
          <w:color w:val="000000"/>
          <w:szCs w:val="24"/>
        </w:rPr>
        <w:t>Les experts de l</w:t>
      </w:r>
      <w:r w:rsidR="00912E90" w:rsidRPr="002A6661">
        <w:rPr>
          <w:color w:val="000000"/>
          <w:szCs w:val="24"/>
        </w:rPr>
        <w:t>’</w:t>
      </w:r>
      <w:r w:rsidRPr="002A6661">
        <w:rPr>
          <w:color w:val="000000"/>
          <w:szCs w:val="24"/>
        </w:rPr>
        <w:t>Espagne, de l</w:t>
      </w:r>
      <w:r w:rsidR="00912E90" w:rsidRPr="002A6661">
        <w:rPr>
          <w:color w:val="000000"/>
          <w:szCs w:val="24"/>
        </w:rPr>
        <w:t>’</w:t>
      </w:r>
      <w:r w:rsidRPr="002A6661">
        <w:rPr>
          <w:color w:val="000000"/>
          <w:szCs w:val="24"/>
        </w:rPr>
        <w:t xml:space="preserve">Italie, de la CE, </w:t>
      </w:r>
      <w:r w:rsidR="00912E90" w:rsidRPr="002A6661">
        <w:rPr>
          <w:color w:val="000000"/>
          <w:szCs w:val="24"/>
        </w:rPr>
        <w:t xml:space="preserve">du </w:t>
      </w:r>
      <w:r w:rsidRPr="002A6661">
        <w:rPr>
          <w:color w:val="000000"/>
          <w:szCs w:val="24"/>
        </w:rPr>
        <w:t>CLEPA et de l</w:t>
      </w:r>
      <w:r w:rsidR="00912E90" w:rsidRPr="002A6661">
        <w:rPr>
          <w:color w:val="000000"/>
          <w:szCs w:val="24"/>
        </w:rPr>
        <w:t>’</w:t>
      </w:r>
      <w:r w:rsidRPr="002A6661">
        <w:rPr>
          <w:color w:val="000000"/>
          <w:szCs w:val="24"/>
        </w:rPr>
        <w:t>OICA ont non seulement soutenu la proposition de la France de supprimer toute discrimination entre les diverses technologies de sources lumineuses, mais ils ont demandé qu</w:t>
      </w:r>
      <w:r w:rsidR="00912E90" w:rsidRPr="002A6661">
        <w:rPr>
          <w:color w:val="000000"/>
          <w:szCs w:val="24"/>
        </w:rPr>
        <w:t>’</w:t>
      </w:r>
      <w:r w:rsidRPr="002A6661">
        <w:rPr>
          <w:color w:val="000000"/>
          <w:szCs w:val="24"/>
        </w:rPr>
        <w:t>elle soit adoptée sans délai, indépendamment des activités du groupe informel. Le Groupe de travail a décidé que le Président soumettrait cette question à la session de juin 2015 du WP.29 pour avoir son avis, puis qu</w:t>
      </w:r>
      <w:r w:rsidR="00912E90" w:rsidRPr="002A6661">
        <w:rPr>
          <w:color w:val="000000"/>
          <w:szCs w:val="24"/>
        </w:rPr>
        <w:t>’</w:t>
      </w:r>
      <w:r w:rsidRPr="002A6661">
        <w:rPr>
          <w:color w:val="000000"/>
          <w:szCs w:val="24"/>
        </w:rPr>
        <w:t xml:space="preserve">il ferait rapport au GRE lors de sa prochaine </w:t>
      </w:r>
      <w:r w:rsidR="00912E90" w:rsidRPr="002A6661">
        <w:rPr>
          <w:color w:val="000000"/>
          <w:szCs w:val="24"/>
        </w:rPr>
        <w:t>session.</w:t>
      </w:r>
    </w:p>
    <w:p w:rsidR="00DF0AA3" w:rsidRPr="00330BB6" w:rsidRDefault="00DF0AA3" w:rsidP="00A43EB0">
      <w:pPr>
        <w:pStyle w:val="HChG"/>
      </w:pPr>
      <w:r w:rsidRPr="000C3087">
        <w:tab/>
      </w:r>
      <w:r w:rsidRPr="00876BBA">
        <w:t>VIII.</w:t>
      </w:r>
      <w:r w:rsidRPr="00876BBA">
        <w:tab/>
      </w:r>
      <w:r w:rsidRPr="00A43EB0">
        <w:t>Autres</w:t>
      </w:r>
      <w:r w:rsidRPr="00330BB6">
        <w:t xml:space="preserve"> Règlements (point 7 de l</w:t>
      </w:r>
      <w:r w:rsidR="00912E90">
        <w:t>’</w:t>
      </w:r>
      <w:r w:rsidRPr="00330BB6">
        <w:t>ordre du jour)</w:t>
      </w:r>
    </w:p>
    <w:p w:rsidR="00DF0AA3" w:rsidRPr="00330BB6" w:rsidRDefault="00DF0AA3" w:rsidP="00A43EB0">
      <w:pPr>
        <w:pStyle w:val="H1G"/>
      </w:pPr>
      <w:r w:rsidRPr="00330BB6">
        <w:tab/>
        <w:t>A.</w:t>
      </w:r>
      <w:r w:rsidRPr="00330BB6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330BB6">
        <w:t>6 (Feux indicateurs de direction)</w:t>
      </w:r>
    </w:p>
    <w:p w:rsidR="00DF0AA3" w:rsidRPr="00330BB6" w:rsidRDefault="00DF0AA3" w:rsidP="00CD6AF5">
      <w:pPr>
        <w:pStyle w:val="SingleTxtG"/>
        <w:ind w:left="2552" w:hanging="1418"/>
        <w:jc w:val="left"/>
        <w:rPr>
          <w:szCs w:val="24"/>
          <w:lang w:val="fr-FR"/>
        </w:rPr>
      </w:pPr>
      <w:r w:rsidRPr="00CD6AF5">
        <w:rPr>
          <w:i/>
        </w:rPr>
        <w:t>Document</w:t>
      </w:r>
      <w:r w:rsidRPr="005D73CD">
        <w:rPr>
          <w:szCs w:val="24"/>
          <w:lang w:val="fr-FR"/>
        </w:rPr>
        <w:t>:</w:t>
      </w:r>
      <w:r w:rsidRPr="00330BB6">
        <w:rPr>
          <w:szCs w:val="24"/>
          <w:lang w:val="fr-FR"/>
        </w:rPr>
        <w:tab/>
        <w:t>ECE/TRANS/WP.29/GRE/2015/7</w:t>
      </w:r>
      <w:r w:rsidR="002A6661">
        <w:rPr>
          <w:szCs w:val="24"/>
          <w:lang w:val="fr-FR"/>
        </w:rPr>
        <w:t>.</w:t>
      </w:r>
    </w:p>
    <w:p w:rsidR="00DF0AA3" w:rsidRPr="007C234B" w:rsidRDefault="00DF0AA3" w:rsidP="00A43EB0">
      <w:pPr>
        <w:pStyle w:val="ParNoG"/>
      </w:pPr>
      <w:r w:rsidRPr="00A43EB0">
        <w:t xml:space="preserve">Le GTB a proposé de corriger une erreur dans le Règlement </w:t>
      </w:r>
      <w:r w:rsidR="009409CB" w:rsidRPr="00A43EB0">
        <w:t>n</w:t>
      </w:r>
      <w:r w:rsidR="009409CB" w:rsidRPr="00A43EB0">
        <w:rPr>
          <w:vertAlign w:val="superscript"/>
        </w:rPr>
        <w:t>o</w:t>
      </w:r>
      <w:r w:rsidR="009409CB" w:rsidRPr="00A43EB0">
        <w:t> </w:t>
      </w:r>
      <w:r w:rsidRPr="00A43EB0">
        <w:t>6 (ECE/TRANS/WP.29/GRE/2015/7). Le Groupe de travail a approuvé cette proposition mais décidé de renvoyer à la prochaine session la décision éventuelle de la soumettre au WP.29 et à l</w:t>
      </w:r>
      <w:r w:rsidR="00912E90" w:rsidRPr="00A43EB0">
        <w:t>’</w:t>
      </w:r>
      <w:r w:rsidRPr="00A43EB0">
        <w:t>AC.1 pour examen et mise aux voix, dans l</w:t>
      </w:r>
      <w:r w:rsidR="00912E90" w:rsidRPr="00A43EB0">
        <w:t>’</w:t>
      </w:r>
      <w:r w:rsidRPr="00A43EB0">
        <w:t>attente d</w:t>
      </w:r>
      <w:r w:rsidR="00912E90" w:rsidRPr="00A43EB0">
        <w:t>’</w:t>
      </w:r>
      <w:r w:rsidRPr="00A43EB0">
        <w:t>autres propositions</w:t>
      </w:r>
      <w:r>
        <w:t xml:space="preserve"> d</w:t>
      </w:r>
      <w:r w:rsidR="00912E90">
        <w:t>’</w:t>
      </w:r>
      <w:r>
        <w:t xml:space="preserve">amendements possibles à ce Règlement dans le cadre </w:t>
      </w:r>
      <w:r w:rsidR="00912E90">
        <w:t>du processus de simplification.</w:t>
      </w:r>
    </w:p>
    <w:p w:rsidR="00DF0AA3" w:rsidRPr="00AE432D" w:rsidRDefault="00DF0AA3" w:rsidP="00A43EB0">
      <w:pPr>
        <w:pStyle w:val="ParNoG"/>
      </w:pPr>
      <w:r w:rsidRPr="007C234B">
        <w:t>L</w:t>
      </w:r>
      <w:r w:rsidR="00912E90">
        <w:t>’</w:t>
      </w:r>
      <w:r w:rsidRPr="007C234B">
        <w:t>expert de la CE a attiré l</w:t>
      </w:r>
      <w:r w:rsidR="00912E90">
        <w:t>’</w:t>
      </w:r>
      <w:r w:rsidRPr="007C234B">
        <w:t>attention sur l</w:t>
      </w:r>
      <w:r>
        <w:t>a charge administrative et l</w:t>
      </w:r>
      <w:r w:rsidR="00912E90">
        <w:t>’</w:t>
      </w:r>
      <w:r w:rsidRPr="007C234B">
        <w:t xml:space="preserve">insécurité juridique </w:t>
      </w:r>
      <w:r>
        <w:t>qu</w:t>
      </w:r>
      <w:r w:rsidR="00912E90">
        <w:t>’</w:t>
      </w:r>
      <w:r>
        <w:t xml:space="preserve">engendrent les nombreux compléments aux Règlements concernant </w:t>
      </w:r>
      <w:r w:rsidRPr="007C234B">
        <w:t>l</w:t>
      </w:r>
      <w:r w:rsidR="00912E90">
        <w:t>’</w:t>
      </w:r>
      <w:r w:rsidRPr="007C234B">
        <w:t>éclairage et la signalisation lumineuse</w:t>
      </w:r>
      <w:r>
        <w:t>, demandant que le nombre d</w:t>
      </w:r>
      <w:r w:rsidR="00912E90">
        <w:t>’</w:t>
      </w:r>
      <w:r>
        <w:t>amendements soit limité à un seul par an et par Règlement. Il s</w:t>
      </w:r>
      <w:r w:rsidR="00912E90">
        <w:t>’</w:t>
      </w:r>
      <w:r>
        <w:t>est également inquiété du grand nombre de documents officiels contenant des propositions d</w:t>
      </w:r>
      <w:r w:rsidR="00912E90">
        <w:t>’</w:t>
      </w:r>
      <w:r>
        <w:t>amendements soumises par le GTB avant même qu</w:t>
      </w:r>
      <w:r w:rsidR="00912E90">
        <w:t>’</w:t>
      </w:r>
      <w:r>
        <w:t>ils aient été examinés en tant que documents informels. L</w:t>
      </w:r>
      <w:r w:rsidR="00912E90">
        <w:t>’</w:t>
      </w:r>
      <w:r>
        <w:t>expert du GTB a déclaré que son organisation examinerait les moyens d</w:t>
      </w:r>
      <w:r w:rsidR="00912E90">
        <w:t>’</w:t>
      </w:r>
      <w:r>
        <w:t xml:space="preserve">améliorer la transparence de son travail et les soumissions au GRE. Le secrétariat a précisé que toutes les soumissions reçues plus de douze semaines avant la session étaient soumises en tant que documents officiels pour traduction, conformément au </w:t>
      </w:r>
      <w:r w:rsidRPr="00CC52D6">
        <w:t>Règlement intérieur</w:t>
      </w:r>
      <w:r>
        <w:t>. L</w:t>
      </w:r>
      <w:r w:rsidR="00912E90">
        <w:t>’</w:t>
      </w:r>
      <w:r>
        <w:t xml:space="preserve">expert du Royaume-Uni, qui préside le Groupe de travail </w:t>
      </w:r>
      <w:r w:rsidRPr="00CC52D6">
        <w:t>en mati</w:t>
      </w:r>
      <w:r>
        <w:t>ère de roulement et de freinage</w:t>
      </w:r>
      <w:r w:rsidRPr="00CC52D6">
        <w:t xml:space="preserve"> (GRRF), </w:t>
      </w:r>
      <w:r>
        <w:t xml:space="preserve">a </w:t>
      </w:r>
      <w:r w:rsidRPr="00CC52D6">
        <w:t>inform</w:t>
      </w:r>
      <w:r>
        <w:t xml:space="preserve">é le </w:t>
      </w:r>
      <w:r w:rsidRPr="00CC52D6">
        <w:t xml:space="preserve">GRE </w:t>
      </w:r>
      <w:r>
        <w:t xml:space="preserve">des expériences du </w:t>
      </w:r>
      <w:r w:rsidRPr="00CC52D6">
        <w:t>GRRF e</w:t>
      </w:r>
      <w:r>
        <w:t>n matière de documents et de limitation du nombre d</w:t>
      </w:r>
      <w:r w:rsidR="00912E90">
        <w:t>’</w:t>
      </w:r>
      <w:r>
        <w:t xml:space="preserve">amendements proposés qui sont transmis au </w:t>
      </w:r>
      <w:r w:rsidRPr="00CC52D6">
        <w:t xml:space="preserve">WP.29. </w:t>
      </w:r>
      <w:r>
        <w:t>Plusieurs experts ont appuyé d</w:t>
      </w:r>
      <w:r w:rsidR="00912E90">
        <w:t>’</w:t>
      </w:r>
      <w:r>
        <w:t>une manière générale l</w:t>
      </w:r>
      <w:r w:rsidR="00912E90">
        <w:t>’</w:t>
      </w:r>
      <w:r>
        <w:t>idée de rassembler toutes les propositions d</w:t>
      </w:r>
      <w:r w:rsidR="00912E90">
        <w:t>’</w:t>
      </w:r>
      <w:r>
        <w:t xml:space="preserve">amendements au même Règlement présentées au cours de plusieurs sessions du GRE et de les soumettre ensuite ensemble au </w:t>
      </w:r>
      <w:r w:rsidRPr="00CC52D6">
        <w:t>WP.29 une fois par an.</w:t>
      </w:r>
      <w:r>
        <w:t xml:space="preserve"> </w:t>
      </w:r>
      <w:r w:rsidRPr="00AE432D">
        <w:t>Dans le même temps, les experts ont plaidé en faveur d</w:t>
      </w:r>
      <w:r w:rsidR="00912E90">
        <w:t>’</w:t>
      </w:r>
      <w:r w:rsidRPr="00AE432D">
        <w:t>une certaine souplesse et d</w:t>
      </w:r>
      <w:r w:rsidR="00912E90">
        <w:t>’</w:t>
      </w:r>
      <w:r>
        <w:t>exceptions à cette pratique en cas de besoins urgents des Parties contractantes et/ou de l</w:t>
      </w:r>
      <w:r w:rsidR="00912E90">
        <w:t>’</w:t>
      </w:r>
      <w:r>
        <w:t>industrie, ou encore en raison de l</w:t>
      </w:r>
      <w:r w:rsidR="00912E90">
        <w:t>’</w:t>
      </w:r>
      <w:r>
        <w:t>appari</w:t>
      </w:r>
      <w:r w:rsidR="00A43EB0">
        <w:t>tion de nouvelles technologies.</w:t>
      </w:r>
    </w:p>
    <w:p w:rsidR="00DF0AA3" w:rsidRPr="00CC52D6" w:rsidRDefault="00DF0AA3" w:rsidP="00A43EB0">
      <w:pPr>
        <w:pStyle w:val="ParNoG"/>
        <w:keepNext/>
      </w:pPr>
      <w:r w:rsidRPr="00CC52D6">
        <w:lastRenderedPageBreak/>
        <w:t>Le Président a tir</w:t>
      </w:r>
      <w:r>
        <w:t>é</w:t>
      </w:r>
      <w:r w:rsidRPr="00CC52D6">
        <w:t xml:space="preserve"> les conclusions suivantes:</w:t>
      </w:r>
    </w:p>
    <w:p w:rsidR="00DF0AA3" w:rsidRPr="002E594B" w:rsidRDefault="00DF0AA3" w:rsidP="00A43EB0">
      <w:pPr>
        <w:pStyle w:val="SingleTxtG"/>
        <w:ind w:firstLine="567"/>
      </w:pPr>
      <w:r w:rsidRPr="0059421C">
        <w:t>a)</w:t>
      </w:r>
      <w:r w:rsidRPr="0059421C">
        <w:tab/>
      </w:r>
      <w:r>
        <w:t>Les p</w:t>
      </w:r>
      <w:r w:rsidRPr="0059421C">
        <w:t>ropositions d</w:t>
      </w:r>
      <w:r w:rsidR="00912E90">
        <w:t>’</w:t>
      </w:r>
      <w:r w:rsidRPr="0059421C">
        <w:t xml:space="preserve">amendements soumises avant le délai de douze semaines </w:t>
      </w:r>
      <w:r>
        <w:t xml:space="preserve">devraient continuer à être publiées en tant que documents </w:t>
      </w:r>
      <w:r w:rsidR="00A43EB0">
        <w:t>officiels;</w:t>
      </w:r>
    </w:p>
    <w:p w:rsidR="00DF0AA3" w:rsidRPr="002E594B" w:rsidRDefault="00DF0AA3" w:rsidP="00A43EB0">
      <w:pPr>
        <w:pStyle w:val="SingleTxtG"/>
        <w:ind w:firstLine="567"/>
      </w:pPr>
      <w:r w:rsidRPr="002E594B">
        <w:t>b)</w:t>
      </w:r>
      <w:r w:rsidRPr="002E594B">
        <w:tab/>
        <w:t>Les documents officiels soumis à la présente session du GRE (comme par exemple le document ECE/TRANS/WP.29/GRE/2015/7) pourraient être adoptés en principe mais mis de côté jusqu</w:t>
      </w:r>
      <w:r w:rsidR="00912E90">
        <w:t>’</w:t>
      </w:r>
      <w:r w:rsidRPr="002E594B">
        <w:t>à la prochaine session en attendant les résultats des activités du groupe de travail informel</w:t>
      </w:r>
      <w:r>
        <w:t xml:space="preserve"> </w:t>
      </w:r>
      <w:r w:rsidRPr="002E594B">
        <w:t>chargé de la simplification des Règlements relatifs à</w:t>
      </w:r>
      <w:r w:rsidR="00A43EB0">
        <w:t> </w:t>
      </w:r>
      <w:r w:rsidRPr="002E594B">
        <w:t>l</w:t>
      </w:r>
      <w:r w:rsidR="00912E90">
        <w:t>’</w:t>
      </w:r>
      <w:r w:rsidRPr="002E594B">
        <w:t xml:space="preserve">éclairage </w:t>
      </w:r>
      <w:r>
        <w:t>et à la signalisation lumineuse</w:t>
      </w:r>
      <w:r w:rsidRPr="002E594B">
        <w:t>;</w:t>
      </w:r>
    </w:p>
    <w:p w:rsidR="00DF0AA3" w:rsidRPr="00190492" w:rsidRDefault="00DF0AA3" w:rsidP="00A43EB0">
      <w:pPr>
        <w:pStyle w:val="SingleTxtG"/>
        <w:ind w:firstLine="567"/>
      </w:pPr>
      <w:r w:rsidRPr="002E594B">
        <w:t>c)</w:t>
      </w:r>
      <w:r w:rsidRPr="002E594B">
        <w:tab/>
        <w:t>Le GRE rassemblerait toutes les propositions d</w:t>
      </w:r>
      <w:r w:rsidR="00912E90">
        <w:t>’</w:t>
      </w:r>
      <w:r w:rsidRPr="002E594B">
        <w:t>amendements adoptées qui concernent le même Règlement afin de les soumettre toutes ensemble au WP.29 à un moment donné. Cette règle générale ne devrait pas empêcher de soumettre sans délai des propositions adoptées en cas d</w:t>
      </w:r>
      <w:r w:rsidR="00912E90">
        <w:t>’</w:t>
      </w:r>
      <w:r w:rsidRPr="002E594B">
        <w:t>urgence;</w:t>
      </w:r>
    </w:p>
    <w:p w:rsidR="00DF0AA3" w:rsidRPr="00190492" w:rsidRDefault="00DF0AA3" w:rsidP="00A43EB0">
      <w:pPr>
        <w:pStyle w:val="SingleTxtG"/>
        <w:ind w:firstLine="567"/>
      </w:pPr>
      <w:r w:rsidRPr="00190492">
        <w:t>d)</w:t>
      </w:r>
      <w:r w:rsidRPr="00190492">
        <w:tab/>
        <w:t>L</w:t>
      </w:r>
      <w:r w:rsidR="00912E90">
        <w:t>’</w:t>
      </w:r>
      <w:r w:rsidRPr="00190492">
        <w:t>ordre du jour provisoire devrait comporter un nouveau point réservé au</w:t>
      </w:r>
      <w:r>
        <w:t>x</w:t>
      </w:r>
      <w:r w:rsidRPr="00190492">
        <w:t xml:space="preserve"> propositions d</w:t>
      </w:r>
      <w:r w:rsidR="00912E90">
        <w:t>’</w:t>
      </w:r>
      <w:r w:rsidRPr="00190492">
        <w:t>ame</w:t>
      </w:r>
      <w:r w:rsidR="00912E90">
        <w:t>ndements en suspens.</w:t>
      </w:r>
    </w:p>
    <w:p w:rsidR="00DF0AA3" w:rsidRPr="002E594B" w:rsidRDefault="00DF0AA3" w:rsidP="00A43EB0">
      <w:pPr>
        <w:pStyle w:val="H1G"/>
      </w:pPr>
      <w:r w:rsidRPr="00190492">
        <w:tab/>
      </w:r>
      <w:r w:rsidRPr="002E594B">
        <w:t>B.</w:t>
      </w:r>
      <w:r w:rsidRPr="002E594B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2E594B">
        <w:t>7 (Feux de position, feux-stop et feux d</w:t>
      </w:r>
      <w:r w:rsidR="00912E90">
        <w:t>’</w:t>
      </w:r>
      <w:r w:rsidRPr="002E594B">
        <w:t>encombrement)</w:t>
      </w:r>
    </w:p>
    <w:p w:rsidR="00DF0AA3" w:rsidRPr="002E594B" w:rsidRDefault="00DF0AA3" w:rsidP="00CD6AF5">
      <w:pPr>
        <w:pStyle w:val="SingleTxtG"/>
        <w:ind w:left="2552" w:hanging="1418"/>
        <w:jc w:val="left"/>
        <w:rPr>
          <w:szCs w:val="24"/>
        </w:rPr>
      </w:pPr>
      <w:r w:rsidRPr="002E594B">
        <w:rPr>
          <w:i/>
          <w:szCs w:val="24"/>
        </w:rPr>
        <w:t>Documents</w:t>
      </w:r>
      <w:r w:rsidRPr="00A43EB0">
        <w:rPr>
          <w:szCs w:val="24"/>
        </w:rPr>
        <w:t>:</w:t>
      </w:r>
      <w:r w:rsidRPr="002E594B">
        <w:rPr>
          <w:szCs w:val="24"/>
        </w:rPr>
        <w:tab/>
        <w:t>ECE/TRANS/WP.29/GRE/2015/8, ECE/TRANS/WP.29/GRE/2015/10, ECE/TRANS/WP.29/GRE/2015/11, ECE/TRANS/WP.29/GRE/2015/12, ECE/TRANS/WP.29/GRE/2015/14, ECE/TRANS/WP.29/GRE/2015/18</w:t>
      </w:r>
      <w:r w:rsidR="00A43EB0">
        <w:rPr>
          <w:szCs w:val="24"/>
        </w:rPr>
        <w:t>.</w:t>
      </w:r>
    </w:p>
    <w:p w:rsidR="00DF0AA3" w:rsidRPr="00AC314F" w:rsidRDefault="00DF0AA3" w:rsidP="00A43EB0">
      <w:pPr>
        <w:pStyle w:val="ParNoG"/>
        <w:rPr>
          <w:color w:val="000000"/>
        </w:rPr>
      </w:pPr>
      <w:r w:rsidRPr="002E594B">
        <w:t>L</w:t>
      </w:r>
      <w:r w:rsidR="00912E90">
        <w:t>’</w:t>
      </w:r>
      <w:r w:rsidRPr="002E594B">
        <w:t>expert</w:t>
      </w:r>
      <w:r w:rsidR="00912E90">
        <w:t xml:space="preserve"> du GTB a présenté le document </w:t>
      </w:r>
      <w:r w:rsidR="005D73CD">
        <w:t>ECE/TRANS/WP.29/GRE/</w:t>
      </w:r>
      <w:r w:rsidRPr="002E594B">
        <w:t>2015/8 contenant une proposition d</w:t>
      </w:r>
      <w:r w:rsidR="00912E90">
        <w:t>’</w:t>
      </w:r>
      <w:r w:rsidRPr="002E594B">
        <w:t>actualisation des dispositions relatives à la défaillance de sources lumineuses sur les véhicules équipés d</w:t>
      </w:r>
      <w:r w:rsidR="00912E90">
        <w:t>’</w:t>
      </w:r>
      <w:r w:rsidRPr="002E594B">
        <w:t>un témoin de fonctionnement. Le Groupe de travail a noté que ce document faisait partie d</w:t>
      </w:r>
      <w:r w:rsidR="00912E90">
        <w:t>’</w:t>
      </w:r>
      <w:r w:rsidRPr="002E594B">
        <w:t xml:space="preserve">amendements collectifs à divers Règlements </w:t>
      </w:r>
      <w:r w:rsidR="00A43EB0">
        <w:t>(ECE/TRANS/WP.29/</w:t>
      </w:r>
      <w:r w:rsidRPr="002E594B">
        <w:t>GRE/2015/10, ECE/TRANS/WP.29/GRE/2015/11, ECE/TRANS/</w:t>
      </w:r>
      <w:r w:rsidR="00A43EB0">
        <w:t xml:space="preserve"> WP.29/</w:t>
      </w:r>
      <w:r w:rsidRPr="002E594B">
        <w:t>GRE/2015/12, ECE/TRANS/WP.29/GRE/2015/14, ECE/TRANS/WP.29/GRE/</w:t>
      </w:r>
      <w:r w:rsidR="005D73CD">
        <w:t xml:space="preserve"> </w:t>
      </w:r>
      <w:r w:rsidRPr="002E594B">
        <w:t>2015/18). À la suite d</w:t>
      </w:r>
      <w:r w:rsidR="00912E90">
        <w:t>’</w:t>
      </w:r>
      <w:r w:rsidRPr="002E594B">
        <w:t>observations formulées par les experts de l</w:t>
      </w:r>
      <w:r w:rsidR="00912E90">
        <w:t>’</w:t>
      </w:r>
      <w:r w:rsidRPr="002E594B">
        <w:t>Allemagne et des Pays</w:t>
      </w:r>
      <w:r w:rsidR="00A43EB0">
        <w:noBreakHyphen/>
      </w:r>
      <w:r w:rsidRPr="002E594B">
        <w:t>Bas, le GRE a prié le GTB de réviser la proposition et de soumettre un nouveau document à la prochaine session.</w:t>
      </w:r>
    </w:p>
    <w:p w:rsidR="00DF0AA3" w:rsidRPr="006D5416" w:rsidRDefault="00DF0AA3" w:rsidP="00A43EB0">
      <w:pPr>
        <w:pStyle w:val="H1G"/>
      </w:pPr>
      <w:r w:rsidRPr="00AC314F">
        <w:tab/>
      </w:r>
      <w:r w:rsidR="00A43EB0">
        <w:t>C.</w:t>
      </w:r>
      <w:r w:rsidRPr="006D5416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6D5416">
        <w:t>10 (C</w:t>
      </w:r>
      <w:r w:rsidR="00A43EB0">
        <w:t>ompatibilité électromagnétique)</w:t>
      </w:r>
    </w:p>
    <w:p w:rsidR="00DF0AA3" w:rsidRPr="006D5416" w:rsidRDefault="00DF0AA3" w:rsidP="00CD6AF5">
      <w:pPr>
        <w:pStyle w:val="SingleTxtG"/>
        <w:ind w:left="2552" w:hanging="1418"/>
        <w:jc w:val="left"/>
        <w:rPr>
          <w:szCs w:val="24"/>
          <w:lang w:val="fr-FR"/>
        </w:rPr>
      </w:pPr>
      <w:r w:rsidRPr="006D5416">
        <w:rPr>
          <w:i/>
          <w:szCs w:val="24"/>
          <w:lang w:val="fr-FR"/>
        </w:rPr>
        <w:t>Documents</w:t>
      </w:r>
      <w:r w:rsidRPr="00A43EB0">
        <w:rPr>
          <w:szCs w:val="24"/>
          <w:lang w:val="fr-FR"/>
        </w:rPr>
        <w:t>:</w:t>
      </w:r>
      <w:r w:rsidRPr="006D5416">
        <w:rPr>
          <w:szCs w:val="24"/>
          <w:lang w:val="fr-FR"/>
        </w:rPr>
        <w:tab/>
        <w:t xml:space="preserve">ECE/TRANS/WP.29/GRE/2015/9, ECE/TRANS/WP.29/GRE/2014/41, </w:t>
      </w:r>
      <w:r w:rsidRPr="006D5416">
        <w:rPr>
          <w:lang w:val="en-GB"/>
        </w:rPr>
        <w:br/>
      </w:r>
      <w:r w:rsidR="00A43EB0">
        <w:rPr>
          <w:szCs w:val="24"/>
          <w:lang w:val="fr-FR"/>
        </w:rPr>
        <w:t>Document informel GRE-73-20.</w:t>
      </w:r>
    </w:p>
    <w:p w:rsidR="00DF0AA3" w:rsidRPr="00A43EB0" w:rsidRDefault="00DF0AA3" w:rsidP="00A43EB0">
      <w:pPr>
        <w:pStyle w:val="ParNoG"/>
        <w:rPr>
          <w:spacing w:val="-4"/>
        </w:rPr>
      </w:pPr>
      <w:r w:rsidRPr="006D5416">
        <w:t>L</w:t>
      </w:r>
      <w:r w:rsidR="00912E90">
        <w:t>’</w:t>
      </w:r>
      <w:r w:rsidRPr="006D5416">
        <w:t>expert de l</w:t>
      </w:r>
      <w:r w:rsidR="00912E90">
        <w:t>’</w:t>
      </w:r>
      <w:r w:rsidRPr="006D5416">
        <w:t>OICA a proposé de permettre que des laboratoires de constructeurs soient désignés comme laboratoires d</w:t>
      </w:r>
      <w:r w:rsidR="00912E90">
        <w:t>’</w:t>
      </w:r>
      <w:r w:rsidRPr="006D5416">
        <w:t xml:space="preserve">essais agréés pour le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6D5416">
        <w:t>10 (ECE/TRANS/</w:t>
      </w:r>
      <w:r w:rsidR="00A43EB0">
        <w:t xml:space="preserve"> </w:t>
      </w:r>
      <w:r w:rsidRPr="00A43EB0">
        <w:rPr>
          <w:spacing w:val="-4"/>
        </w:rPr>
        <w:t>WP.29/GRE/2015/9). Le Groupe de travail n</w:t>
      </w:r>
      <w:r w:rsidR="00912E90" w:rsidRPr="00A43EB0">
        <w:rPr>
          <w:spacing w:val="-4"/>
        </w:rPr>
        <w:t>’</w:t>
      </w:r>
      <w:r w:rsidRPr="00A43EB0">
        <w:rPr>
          <w:spacing w:val="-4"/>
        </w:rPr>
        <w:t xml:space="preserve">a pas été en mesure </w:t>
      </w:r>
      <w:r w:rsidRPr="00A43EB0">
        <w:t>d</w:t>
      </w:r>
      <w:r w:rsidR="00912E90" w:rsidRPr="00A43EB0">
        <w:t>’appuyer cette</w:t>
      </w:r>
      <w:r w:rsidR="00A43EB0" w:rsidRPr="00A43EB0">
        <w:t xml:space="preserve"> </w:t>
      </w:r>
      <w:r w:rsidR="00912E90" w:rsidRPr="00A43EB0">
        <w:t>propositio</w:t>
      </w:r>
      <w:r w:rsidR="00912E90" w:rsidRPr="00A43EB0">
        <w:rPr>
          <w:spacing w:val="-4"/>
        </w:rPr>
        <w:t>n.</w:t>
      </w:r>
    </w:p>
    <w:p w:rsidR="00DF0AA3" w:rsidRPr="00745221" w:rsidRDefault="00DF0AA3" w:rsidP="00A43EB0">
      <w:pPr>
        <w:pStyle w:val="ParNoG"/>
      </w:pPr>
      <w:r w:rsidRPr="006D5416">
        <w:t>L</w:t>
      </w:r>
      <w:r w:rsidR="00912E90">
        <w:t>’</w:t>
      </w:r>
      <w:r w:rsidRPr="006D5416">
        <w:t>expert de la Belgique a rappelé sa proposition d</w:t>
      </w:r>
      <w:r w:rsidR="00912E90">
        <w:t>’</w:t>
      </w:r>
      <w:r w:rsidRPr="006D5416">
        <w:t>amendement concernant la compatibilité électronique des trolleybus (ECE/TRANS/WP.29/GRE/2014/41) et demandé au Groupe de travail de renvoyer l</w:t>
      </w:r>
      <w:r w:rsidR="00912E90">
        <w:t>’</w:t>
      </w:r>
      <w:r w:rsidRPr="006D5416">
        <w:t>examen de cette question à la prochaine session, en raison de consultations en cours avec l</w:t>
      </w:r>
      <w:r w:rsidR="00912E90">
        <w:t>’</w:t>
      </w:r>
      <w:r w:rsidRPr="006D5416">
        <w:t>OICA. L</w:t>
      </w:r>
      <w:r w:rsidR="00912E90">
        <w:t>’</w:t>
      </w:r>
      <w:r w:rsidRPr="006D5416">
        <w:t>expert de la Fédération de Russie a proposé d</w:t>
      </w:r>
      <w:r w:rsidR="00912E90">
        <w:t>’</w:t>
      </w:r>
      <w:r w:rsidRPr="006D5416">
        <w:t>apporter des corrections a</w:t>
      </w:r>
      <w:r w:rsidR="00A43EB0">
        <w:t>u document ECE/TRANS/WP.29/GRE/</w:t>
      </w:r>
      <w:r w:rsidRPr="006D5416">
        <w:t>2014/41 (GRE-73-20). L</w:t>
      </w:r>
      <w:r w:rsidR="00912E90">
        <w:t>’</w:t>
      </w:r>
      <w:r w:rsidRPr="006D5416">
        <w:t xml:space="preserve">expert du Canada, qui a présidé le GRE en 2014, a rendu compte de ses consultations bilatérales avec le Président du Groupe de travail des dispositions générales de sécurité (GRSG) </w:t>
      </w:r>
      <w:r>
        <w:t>avec qui il est tomb</w:t>
      </w:r>
      <w:r w:rsidRPr="006D5416">
        <w:t>é d</w:t>
      </w:r>
      <w:r w:rsidR="00912E90">
        <w:t>’</w:t>
      </w:r>
      <w:r w:rsidRPr="006D5416">
        <w:t>accord pour considérer que cette question relève du</w:t>
      </w:r>
      <w:r>
        <w:t xml:space="preserve">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>
        <w:t xml:space="preserve">10 et doit donc être traitée au sein du GRE. </w:t>
      </w:r>
      <w:r w:rsidRPr="00745221">
        <w:t>Le Groupe de travail a</w:t>
      </w:r>
      <w:r>
        <w:t xml:space="preserve"> décidé de reprendre l</w:t>
      </w:r>
      <w:r w:rsidR="00912E90">
        <w:t>’</w:t>
      </w:r>
      <w:r>
        <w:t>examen de cette question à sa prochaine session, invitant les experts de la Belgique, de la Fédération de Russie et de l</w:t>
      </w:r>
      <w:r w:rsidR="00912E90">
        <w:t>’</w:t>
      </w:r>
      <w:r>
        <w:t>OICA à sou</w:t>
      </w:r>
      <w:r w:rsidR="00A43EB0">
        <w:t>mettre une proposition commune.</w:t>
      </w:r>
    </w:p>
    <w:p w:rsidR="00DF0AA3" w:rsidRPr="00270CEE" w:rsidRDefault="00DF0AA3" w:rsidP="00A43EB0">
      <w:pPr>
        <w:pStyle w:val="H1G"/>
      </w:pPr>
      <w:r w:rsidRPr="00707A8F">
        <w:lastRenderedPageBreak/>
        <w:tab/>
      </w:r>
      <w:r w:rsidRPr="00270CEE">
        <w:t>D.</w:t>
      </w:r>
      <w:r w:rsidRPr="00270CEE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270CEE">
        <w:t>23 (Feux de marche arrière)</w:t>
      </w:r>
    </w:p>
    <w:p w:rsidR="00DF0AA3" w:rsidRPr="00270CEE" w:rsidRDefault="00DF0AA3" w:rsidP="00CD6AF5">
      <w:pPr>
        <w:pStyle w:val="SingleTxtG"/>
        <w:ind w:left="2552" w:hanging="1418"/>
        <w:jc w:val="left"/>
        <w:rPr>
          <w:szCs w:val="24"/>
          <w:lang w:val="fr-FR"/>
        </w:rPr>
      </w:pPr>
      <w:r w:rsidRPr="00270CEE">
        <w:rPr>
          <w:i/>
          <w:szCs w:val="24"/>
          <w:lang w:val="fr-FR"/>
        </w:rPr>
        <w:t>Document</w:t>
      </w:r>
      <w:r w:rsidRPr="005D73CD">
        <w:rPr>
          <w:szCs w:val="24"/>
          <w:lang w:val="fr-FR"/>
        </w:rPr>
        <w:t xml:space="preserve">: </w:t>
      </w:r>
      <w:r w:rsidR="00A43EB0">
        <w:rPr>
          <w:szCs w:val="24"/>
          <w:lang w:val="fr-FR"/>
        </w:rPr>
        <w:tab/>
        <w:t>ECE/TRANS/WP.29/GRE/2015/10.</w:t>
      </w:r>
    </w:p>
    <w:p w:rsidR="00DF0AA3" w:rsidRPr="00C12D45" w:rsidRDefault="00DF0AA3" w:rsidP="00A43EB0">
      <w:pPr>
        <w:pStyle w:val="ParNoG"/>
      </w:pPr>
      <w:r w:rsidRPr="00270CEE">
        <w:t>Le Groupe de travail a noté que cette proposition serait examinée à la prochaine session en même temps qu</w:t>
      </w:r>
      <w:r w:rsidR="00912E90">
        <w:t>’</w:t>
      </w:r>
      <w:r w:rsidRPr="00270CEE">
        <w:t>une proposition similaire d</w:t>
      </w:r>
      <w:r w:rsidR="00912E90">
        <w:t>’</w:t>
      </w:r>
      <w:r w:rsidRPr="00270CEE">
        <w:t xml:space="preserve">amendements au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270CEE">
        <w:t>7 (voir par.</w:t>
      </w:r>
      <w:r w:rsidR="00A47341">
        <w:t> </w:t>
      </w:r>
      <w:r w:rsidRPr="00270CEE">
        <w:t>24 du présent rapport).</w:t>
      </w:r>
    </w:p>
    <w:p w:rsidR="00DF0AA3" w:rsidRPr="00707A8F" w:rsidRDefault="00DF0AA3" w:rsidP="00A43EB0">
      <w:pPr>
        <w:pStyle w:val="H1G"/>
      </w:pPr>
      <w:r w:rsidRPr="00C12D45">
        <w:tab/>
      </w:r>
      <w:r w:rsidRPr="00707A8F">
        <w:t>E.</w:t>
      </w:r>
      <w:r w:rsidRPr="00707A8F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707A8F">
        <w:t>38 (Feux de brouillard arrière)</w:t>
      </w:r>
    </w:p>
    <w:p w:rsidR="00DF0AA3" w:rsidRPr="00CD6AF5" w:rsidRDefault="00A43EB0" w:rsidP="00CD6AF5">
      <w:pPr>
        <w:pStyle w:val="SingleTxtG"/>
        <w:ind w:left="2552" w:hanging="1418"/>
        <w:jc w:val="left"/>
        <w:rPr>
          <w:i/>
        </w:rPr>
      </w:pPr>
      <w:r>
        <w:rPr>
          <w:i/>
        </w:rPr>
        <w:t>Document</w:t>
      </w:r>
      <w:r w:rsidRPr="005D73CD">
        <w:t>:</w:t>
      </w:r>
      <w:r w:rsidR="00DF0AA3" w:rsidRPr="00CD6AF5">
        <w:rPr>
          <w:i/>
        </w:rPr>
        <w:tab/>
      </w:r>
      <w:r w:rsidR="00DF0AA3" w:rsidRPr="00A43EB0">
        <w:t>ECE/TRANS/WP.29/GRE/2015/11</w:t>
      </w:r>
      <w:r>
        <w:rPr>
          <w:i/>
        </w:rPr>
        <w:t>.</w:t>
      </w:r>
    </w:p>
    <w:p w:rsidR="00DF0AA3" w:rsidRPr="00876BBA" w:rsidRDefault="00DF0AA3" w:rsidP="00A43EB0">
      <w:pPr>
        <w:pStyle w:val="ParNoG"/>
        <w:rPr>
          <w:color w:val="000000"/>
        </w:rPr>
      </w:pPr>
      <w:r w:rsidRPr="00C12D45">
        <w:t>Le Groupe de travail a noté que cette proposition serait examinée à la prochaine session en même temps qu</w:t>
      </w:r>
      <w:r w:rsidR="00912E90">
        <w:t>’</w:t>
      </w:r>
      <w:r w:rsidRPr="00C12D45">
        <w:t>une proposition similaire d</w:t>
      </w:r>
      <w:r w:rsidR="00912E90">
        <w:t>’</w:t>
      </w:r>
      <w:r w:rsidRPr="00C12D45">
        <w:t xml:space="preserve">amendements au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C12D45">
        <w:t>7 (voir par.</w:t>
      </w:r>
      <w:r w:rsidR="00A47341">
        <w:t> 24 du présent rapport).</w:t>
      </w:r>
    </w:p>
    <w:p w:rsidR="00DF0AA3" w:rsidRPr="00D30758" w:rsidRDefault="00DF0AA3" w:rsidP="00A43EB0">
      <w:pPr>
        <w:pStyle w:val="H1G"/>
      </w:pPr>
      <w:r w:rsidRPr="00876BBA">
        <w:tab/>
      </w:r>
      <w:r w:rsidRPr="00D30758">
        <w:t>F.</w:t>
      </w:r>
      <w:r w:rsidRPr="00D30758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D30758">
        <w:t>77 (Feux de stationnement)</w:t>
      </w:r>
    </w:p>
    <w:p w:rsidR="00DF0AA3" w:rsidRPr="00D30758" w:rsidRDefault="00A43EB0" w:rsidP="00CD6AF5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Pr="00A43EB0">
        <w:rPr>
          <w:szCs w:val="24"/>
        </w:rPr>
        <w:t>:</w:t>
      </w:r>
      <w:r>
        <w:rPr>
          <w:szCs w:val="24"/>
        </w:rPr>
        <w:tab/>
        <w:t>ECE/TRANS/WP.29/GRE/2015/12.</w:t>
      </w:r>
    </w:p>
    <w:p w:rsidR="00DF0AA3" w:rsidRPr="00876BBA" w:rsidRDefault="00DF0AA3" w:rsidP="00A43EB0">
      <w:pPr>
        <w:pStyle w:val="ParNoG"/>
        <w:rPr>
          <w:color w:val="000000"/>
        </w:rPr>
      </w:pPr>
      <w:r w:rsidRPr="00C12D45">
        <w:t>Le Groupe de travail a noté que cette proposition serait examinée à la prochaine session en même temps qu</w:t>
      </w:r>
      <w:r w:rsidR="00912E90">
        <w:t>’</w:t>
      </w:r>
      <w:r w:rsidRPr="00C12D45">
        <w:t>une proposition similaire d</w:t>
      </w:r>
      <w:r w:rsidR="00912E90">
        <w:t>’</w:t>
      </w:r>
      <w:r w:rsidRPr="00C12D45">
        <w:t xml:space="preserve">amendements au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C12D45">
        <w:t>7 (voir par.</w:t>
      </w:r>
      <w:r w:rsidR="00A47341">
        <w:t> </w:t>
      </w:r>
      <w:r w:rsidRPr="00C12D45">
        <w:t>24 du</w:t>
      </w:r>
      <w:r w:rsidR="00A47341">
        <w:t xml:space="preserve"> présent rapport).</w:t>
      </w:r>
    </w:p>
    <w:p w:rsidR="00DF0AA3" w:rsidRPr="00D30758" w:rsidRDefault="00DF0AA3" w:rsidP="00A43EB0">
      <w:pPr>
        <w:pStyle w:val="H1G"/>
      </w:pPr>
      <w:r w:rsidRPr="00876BBA">
        <w:tab/>
      </w:r>
      <w:r w:rsidRPr="00D30758">
        <w:t>G.</w:t>
      </w:r>
      <w:r w:rsidRPr="00D30758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D30758">
        <w:t>87 (Feux de circulation diurne)</w:t>
      </w:r>
    </w:p>
    <w:p w:rsidR="00DF0AA3" w:rsidRPr="00D30758" w:rsidRDefault="00DF0AA3" w:rsidP="00CD6AF5">
      <w:pPr>
        <w:pStyle w:val="SingleTxtG"/>
        <w:ind w:left="2552" w:hanging="1418"/>
        <w:jc w:val="left"/>
        <w:rPr>
          <w:szCs w:val="24"/>
        </w:rPr>
      </w:pPr>
      <w:r w:rsidRPr="00D30758">
        <w:rPr>
          <w:i/>
          <w:szCs w:val="24"/>
        </w:rPr>
        <w:t>Document</w:t>
      </w:r>
      <w:r w:rsidRPr="00A43EB0">
        <w:rPr>
          <w:szCs w:val="24"/>
        </w:rPr>
        <w:t>:</w:t>
      </w:r>
      <w:r w:rsidR="00A47341">
        <w:rPr>
          <w:szCs w:val="24"/>
        </w:rPr>
        <w:tab/>
        <w:t>ECE/TRANS/WP.29/GRE/2015/13</w:t>
      </w:r>
      <w:r w:rsidR="00A43EB0">
        <w:rPr>
          <w:szCs w:val="24"/>
        </w:rPr>
        <w:t>.</w:t>
      </w:r>
    </w:p>
    <w:p w:rsidR="00DF0AA3" w:rsidRPr="00876BBA" w:rsidRDefault="00DF0AA3" w:rsidP="00A43EB0">
      <w:pPr>
        <w:pStyle w:val="ParNoG"/>
        <w:rPr>
          <w:color w:val="000000"/>
        </w:rPr>
      </w:pPr>
      <w:r w:rsidRPr="00FD0973">
        <w:t>Cette question a été examinée en même temps que le point</w:t>
      </w:r>
      <w:r w:rsidR="00A47341">
        <w:t> </w:t>
      </w:r>
      <w:r w:rsidRPr="00FD0973">
        <w:t>6</w:t>
      </w:r>
      <w:r w:rsidR="00A47341">
        <w:t> </w:t>
      </w:r>
      <w:r w:rsidRPr="00FD0973">
        <w:t>a) de l</w:t>
      </w:r>
      <w:r w:rsidR="00912E90">
        <w:t>’</w:t>
      </w:r>
      <w:r w:rsidRPr="00FD0973">
        <w:t>ordre du jour (</w:t>
      </w:r>
      <w:r>
        <w:t xml:space="preserve">voir </w:t>
      </w:r>
      <w:r w:rsidRPr="00FD0973">
        <w:t>par.</w:t>
      </w:r>
      <w:r w:rsidR="00A47341">
        <w:t> </w:t>
      </w:r>
      <w:r w:rsidRPr="00876BBA">
        <w:t xml:space="preserve">15 </w:t>
      </w:r>
      <w:r>
        <w:t xml:space="preserve">et </w:t>
      </w:r>
      <w:r w:rsidRPr="00876BBA">
        <w:t xml:space="preserve">16 </w:t>
      </w:r>
      <w:r>
        <w:t>ci-dessus</w:t>
      </w:r>
      <w:r w:rsidRPr="00876BBA">
        <w:t>).</w:t>
      </w:r>
    </w:p>
    <w:p w:rsidR="00DF0AA3" w:rsidRPr="00D30758" w:rsidRDefault="00DF0AA3" w:rsidP="00A43EB0">
      <w:pPr>
        <w:pStyle w:val="H1G"/>
      </w:pPr>
      <w:r w:rsidRPr="00876BBA">
        <w:tab/>
      </w:r>
      <w:r w:rsidRPr="00D30758">
        <w:t>H.</w:t>
      </w:r>
      <w:r w:rsidRPr="00D30758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D30758">
        <w:t>91 (Feux de position latéraux)</w:t>
      </w:r>
    </w:p>
    <w:p w:rsidR="00DF0AA3" w:rsidRPr="00D30758" w:rsidRDefault="00A43EB0" w:rsidP="00CD6AF5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Pr="005D73CD">
        <w:rPr>
          <w:szCs w:val="24"/>
        </w:rPr>
        <w:t>:</w:t>
      </w:r>
      <w:r>
        <w:rPr>
          <w:szCs w:val="24"/>
        </w:rPr>
        <w:tab/>
        <w:t>ECE/TRANS/WP.29/GRE/2015/14.</w:t>
      </w:r>
    </w:p>
    <w:p w:rsidR="00DF0AA3" w:rsidRDefault="00DF0AA3" w:rsidP="00A43EB0">
      <w:pPr>
        <w:pStyle w:val="ParNoG"/>
      </w:pPr>
      <w:r w:rsidRPr="00FD0973">
        <w:t>Le Groupe de travail a noté que cette proposition serait examinée à la prochaine session en même temps qu</w:t>
      </w:r>
      <w:r w:rsidR="00912E90">
        <w:t>’</w:t>
      </w:r>
      <w:r w:rsidRPr="00FD0973">
        <w:t>une proposition similaire d</w:t>
      </w:r>
      <w:r w:rsidR="00912E90">
        <w:t>’</w:t>
      </w:r>
      <w:r w:rsidRPr="00FD0973">
        <w:t xml:space="preserve">amendements au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FD0973">
        <w:t>7 (voir par.</w:t>
      </w:r>
      <w:r w:rsidR="00A43EB0">
        <w:t> </w:t>
      </w:r>
      <w:r w:rsidRPr="00FD0973">
        <w:t>24 du pré</w:t>
      </w:r>
      <w:r w:rsidR="00912E90">
        <w:t>sent rapport).</w:t>
      </w:r>
    </w:p>
    <w:p w:rsidR="00DF0AA3" w:rsidRPr="00D30758" w:rsidRDefault="00DF0AA3" w:rsidP="00A43EB0">
      <w:pPr>
        <w:pStyle w:val="H1G"/>
      </w:pPr>
      <w:r w:rsidRPr="00876BBA">
        <w:tab/>
      </w:r>
      <w:r w:rsidRPr="00D30758">
        <w:t>I.</w:t>
      </w:r>
      <w:r w:rsidRPr="00D30758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D30758">
        <w:t>98 (Projecteurs munis de sources lumineuses à décharge)</w:t>
      </w:r>
    </w:p>
    <w:p w:rsidR="00DF0AA3" w:rsidRPr="00D30758" w:rsidRDefault="00DF0AA3" w:rsidP="00CD6AF5">
      <w:pPr>
        <w:pStyle w:val="SingleTxtG"/>
        <w:ind w:left="2552" w:hanging="1418"/>
        <w:jc w:val="left"/>
        <w:rPr>
          <w:szCs w:val="24"/>
          <w:lang w:val="fr-FR"/>
        </w:rPr>
      </w:pPr>
      <w:r w:rsidRPr="00D30758">
        <w:rPr>
          <w:i/>
          <w:szCs w:val="24"/>
          <w:lang w:val="fr-FR"/>
        </w:rPr>
        <w:t>Document</w:t>
      </w:r>
      <w:r w:rsidRPr="00F6145B">
        <w:rPr>
          <w:szCs w:val="24"/>
          <w:lang w:val="fr-FR"/>
        </w:rPr>
        <w:t>:</w:t>
      </w:r>
      <w:r w:rsidRPr="00D30758">
        <w:rPr>
          <w:b/>
          <w:szCs w:val="24"/>
          <w:lang w:val="fr-FR"/>
        </w:rPr>
        <w:tab/>
      </w:r>
      <w:r w:rsidRPr="00D30758">
        <w:rPr>
          <w:szCs w:val="24"/>
          <w:lang w:val="fr-FR"/>
        </w:rPr>
        <w:t>ECE/TRANS/WP.29/GRE/2015/15</w:t>
      </w:r>
      <w:r w:rsidR="005D73CD">
        <w:rPr>
          <w:szCs w:val="24"/>
          <w:lang w:val="fr-FR"/>
        </w:rPr>
        <w:t>.</w:t>
      </w:r>
    </w:p>
    <w:p w:rsidR="00DF0AA3" w:rsidRDefault="00DF0AA3" w:rsidP="00057728">
      <w:pPr>
        <w:pStyle w:val="ParNoG"/>
      </w:pPr>
      <w:r w:rsidRPr="00FD0973">
        <w:t>Cette question a été examinée en même temps que le point</w:t>
      </w:r>
      <w:r w:rsidR="00F6145B">
        <w:t> </w:t>
      </w:r>
      <w:r>
        <w:t>5</w:t>
      </w:r>
      <w:r w:rsidRPr="00FD0973">
        <w:t xml:space="preserve"> de l</w:t>
      </w:r>
      <w:r w:rsidR="00912E90">
        <w:t>’</w:t>
      </w:r>
      <w:r w:rsidRPr="00FD0973">
        <w:t>ordre du jour (voir</w:t>
      </w:r>
      <w:r w:rsidR="00A43EB0">
        <w:t> </w:t>
      </w:r>
      <w:r w:rsidRPr="00FD0973">
        <w:t>par.</w:t>
      </w:r>
      <w:r w:rsidR="00057728">
        <w:t> </w:t>
      </w:r>
      <w:r w:rsidRPr="00FD0973">
        <w:t>1</w:t>
      </w:r>
      <w:r>
        <w:t>1</w:t>
      </w:r>
      <w:r w:rsidRPr="00FD0973">
        <w:t xml:space="preserve"> </w:t>
      </w:r>
      <w:r w:rsidR="00E443EB">
        <w:t xml:space="preserve">à </w:t>
      </w:r>
      <w:r>
        <w:t>13</w:t>
      </w:r>
      <w:r w:rsidRPr="00FD0973">
        <w:t xml:space="preserve"> ci-dessus).</w:t>
      </w:r>
    </w:p>
    <w:p w:rsidR="00DF0AA3" w:rsidRPr="00D30758" w:rsidRDefault="00DF0AA3" w:rsidP="00A43EB0">
      <w:pPr>
        <w:pStyle w:val="H1G"/>
      </w:pPr>
      <w:r w:rsidRPr="00876BBA">
        <w:tab/>
      </w:r>
      <w:r w:rsidRPr="00D30758">
        <w:t>J.</w:t>
      </w:r>
      <w:r w:rsidRPr="00D30758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D30758">
        <w:t>112 (Projecteurs émettant un faisceau de croisement asymétrique)</w:t>
      </w:r>
    </w:p>
    <w:p w:rsidR="00DF0AA3" w:rsidRPr="00D30758" w:rsidRDefault="00DF0AA3" w:rsidP="00CD6AF5">
      <w:pPr>
        <w:pStyle w:val="SingleTxtG"/>
        <w:ind w:left="2552" w:hanging="1418"/>
        <w:jc w:val="left"/>
        <w:rPr>
          <w:szCs w:val="24"/>
          <w:lang w:val="fr-FR"/>
        </w:rPr>
      </w:pPr>
      <w:r w:rsidRPr="00D30758">
        <w:rPr>
          <w:i/>
          <w:szCs w:val="24"/>
          <w:lang w:val="fr-FR"/>
        </w:rPr>
        <w:t>Document</w:t>
      </w:r>
      <w:r>
        <w:rPr>
          <w:i/>
          <w:szCs w:val="24"/>
          <w:lang w:val="fr-FR"/>
        </w:rPr>
        <w:t>s</w:t>
      </w:r>
      <w:r w:rsidRPr="00A43EB0">
        <w:rPr>
          <w:szCs w:val="24"/>
          <w:lang w:val="fr-FR"/>
        </w:rPr>
        <w:t>:</w:t>
      </w:r>
      <w:r w:rsidRPr="00D30758">
        <w:rPr>
          <w:b/>
          <w:szCs w:val="24"/>
          <w:lang w:val="fr-FR"/>
        </w:rPr>
        <w:tab/>
      </w:r>
      <w:r w:rsidRPr="00D30758">
        <w:rPr>
          <w:szCs w:val="24"/>
          <w:lang w:val="fr-FR"/>
        </w:rPr>
        <w:t xml:space="preserve">ECE/TRANS/WP.29/GRE/2015/16, ECE/TRANS/WP.29/GRE/2015/22, ECE/TRANS/WP.29/GRE/2015/23, </w:t>
      </w:r>
      <w:r w:rsidRPr="00D30758">
        <w:rPr>
          <w:szCs w:val="24"/>
          <w:lang w:val="fr-FR"/>
        </w:rPr>
        <w:br/>
      </w:r>
      <w:r>
        <w:rPr>
          <w:szCs w:val="24"/>
          <w:lang w:val="fr-FR"/>
        </w:rPr>
        <w:t>D</w:t>
      </w:r>
      <w:r w:rsidRPr="00D30758">
        <w:rPr>
          <w:szCs w:val="24"/>
          <w:lang w:val="fr-FR"/>
        </w:rPr>
        <w:t xml:space="preserve">ocuments </w:t>
      </w:r>
      <w:r>
        <w:rPr>
          <w:szCs w:val="24"/>
          <w:lang w:val="fr-FR"/>
        </w:rPr>
        <w:t xml:space="preserve">informels </w:t>
      </w:r>
      <w:r w:rsidRPr="00D30758">
        <w:rPr>
          <w:szCs w:val="24"/>
          <w:lang w:val="fr-FR"/>
        </w:rPr>
        <w:t>GRE-73-21</w:t>
      </w:r>
      <w:r>
        <w:rPr>
          <w:szCs w:val="24"/>
          <w:lang w:val="fr-FR"/>
        </w:rPr>
        <w:t xml:space="preserve"> et</w:t>
      </w:r>
      <w:r w:rsidRPr="00D30758">
        <w:rPr>
          <w:szCs w:val="24"/>
          <w:lang w:val="fr-FR"/>
        </w:rPr>
        <w:t xml:space="preserve"> GRE-73-26</w:t>
      </w:r>
      <w:r w:rsidR="00A43EB0">
        <w:rPr>
          <w:szCs w:val="24"/>
          <w:lang w:val="fr-FR"/>
        </w:rPr>
        <w:t>.</w:t>
      </w:r>
    </w:p>
    <w:p w:rsidR="00DF0AA3" w:rsidRDefault="00DF0AA3" w:rsidP="00057728">
      <w:pPr>
        <w:pStyle w:val="ParNoG"/>
      </w:pPr>
      <w:r w:rsidRPr="00FD0973">
        <w:lastRenderedPageBreak/>
        <w:t>L</w:t>
      </w:r>
      <w:r w:rsidR="00912E90">
        <w:t>’</w:t>
      </w:r>
      <w:r w:rsidRPr="00FD0973">
        <w:t>expert du GTB a propos</w:t>
      </w:r>
      <w:r>
        <w:t>é</w:t>
      </w:r>
      <w:r w:rsidRPr="00FD0973">
        <w:t xml:space="preserve"> </w:t>
      </w:r>
      <w:r>
        <w:t xml:space="preserve">de </w:t>
      </w:r>
      <w:r w:rsidRPr="00D33175">
        <w:t>corriger des erreurs de rédaction concernant les marques d</w:t>
      </w:r>
      <w:r w:rsidR="00912E90">
        <w:t>’</w:t>
      </w:r>
      <w:r w:rsidRPr="00D33175">
        <w:t>homologation dans l</w:t>
      </w:r>
      <w:r w:rsidR="00912E90">
        <w:t>’</w:t>
      </w:r>
      <w:r w:rsidRPr="00D33175">
        <w:t>annexe</w:t>
      </w:r>
      <w:r w:rsidR="005C71FA">
        <w:t> </w:t>
      </w:r>
      <w:r w:rsidRPr="00D33175">
        <w:t>2</w:t>
      </w:r>
      <w:r>
        <w:t xml:space="preserve"> </w:t>
      </w:r>
      <w:r w:rsidRPr="00D33175">
        <w:t xml:space="preserve">(ECE/TRANS/WP.29/GRE/2015/16). Le Groupe de travail a </w:t>
      </w:r>
      <w:r>
        <w:t xml:space="preserve">approuvé cette proposition mais il a décidé de renvoyer à la prochaine session la décision de la soumettre au </w:t>
      </w:r>
      <w:r w:rsidRPr="00D33175">
        <w:t>WP.29 et à l</w:t>
      </w:r>
      <w:r w:rsidR="00912E90">
        <w:t>’</w:t>
      </w:r>
      <w:r w:rsidRPr="00D33175">
        <w:t xml:space="preserve">AC.1 </w:t>
      </w:r>
      <w:r>
        <w:t>pour examen et mise aux voix, dans l</w:t>
      </w:r>
      <w:r w:rsidR="00912E90">
        <w:t>’</w:t>
      </w:r>
      <w:r>
        <w:t>attente d</w:t>
      </w:r>
      <w:r w:rsidR="00912E90">
        <w:t>’</w:t>
      </w:r>
      <w:r>
        <w:t>autres propositions éventuelles d</w:t>
      </w:r>
      <w:r w:rsidR="00912E90">
        <w:t>’</w:t>
      </w:r>
      <w:r>
        <w:t>amendement à ce même Règlement dans le cadre d</w:t>
      </w:r>
      <w:r w:rsidR="00912E90">
        <w:t>u processus de simplification.</w:t>
      </w:r>
    </w:p>
    <w:p w:rsidR="00DF0AA3" w:rsidRPr="00E42967" w:rsidRDefault="00DF0AA3" w:rsidP="00057728">
      <w:pPr>
        <w:pStyle w:val="ParNoG"/>
      </w:pPr>
      <w:r w:rsidRPr="00897213">
        <w:t>L</w:t>
      </w:r>
      <w:r w:rsidR="00912E90">
        <w:t>’</w:t>
      </w:r>
      <w:r w:rsidRPr="00897213">
        <w:t>expert de la France a proposé de supprimer une prescription restrictive en matière de conception</w:t>
      </w:r>
      <w:r>
        <w:t xml:space="preserve"> </w:t>
      </w:r>
      <w:r w:rsidRPr="00897213">
        <w:t xml:space="preserve">(ECE/TRANS/WP.29/GRE/2015/22 </w:t>
      </w:r>
      <w:r>
        <w:t xml:space="preserve">et </w:t>
      </w:r>
      <w:r w:rsidRPr="00897213">
        <w:t xml:space="preserve">GRE-73-26). </w:t>
      </w:r>
      <w:r>
        <w:t>Cette proposition a été commentée par les experts de l</w:t>
      </w:r>
      <w:r w:rsidR="00912E90">
        <w:t>’</w:t>
      </w:r>
      <w:r>
        <w:t xml:space="preserve">Allemagne et des Pays-Bas. </w:t>
      </w:r>
      <w:r w:rsidRPr="005351E8">
        <w:t>L</w:t>
      </w:r>
      <w:r w:rsidR="00912E90">
        <w:t>’</w:t>
      </w:r>
      <w:r w:rsidRPr="005351E8">
        <w:t xml:space="preserve">expert de la Pologne a proposé </w:t>
      </w:r>
      <w:r>
        <w:t>manière différente d</w:t>
      </w:r>
      <w:r w:rsidR="00912E90">
        <w:t>’</w:t>
      </w:r>
      <w:r>
        <w:t xml:space="preserve">aborder </w:t>
      </w:r>
      <w:r w:rsidRPr="005351E8">
        <w:t>cette question (GRE-73-21). Le Président a invité les experts de l</w:t>
      </w:r>
      <w:r w:rsidR="00912E90">
        <w:t>’</w:t>
      </w:r>
      <w:r w:rsidRPr="005351E8">
        <w:t>Allemagne, de la F</w:t>
      </w:r>
      <w:r>
        <w:t>r</w:t>
      </w:r>
      <w:r w:rsidRPr="005351E8">
        <w:t xml:space="preserve">ance, </w:t>
      </w:r>
      <w:r>
        <w:t xml:space="preserve">des Pays-Bas, de la </w:t>
      </w:r>
      <w:r w:rsidRPr="005351E8">
        <w:t>Pol</w:t>
      </w:r>
      <w:r>
        <w:t xml:space="preserve">ogne, du </w:t>
      </w:r>
      <w:r w:rsidRPr="005351E8">
        <w:t xml:space="preserve">CLEPA </w:t>
      </w:r>
      <w:r>
        <w:t xml:space="preserve">et de la CEI à établir une proposition révisée pour la prochaine </w:t>
      </w:r>
      <w:r w:rsidR="00912E90">
        <w:t>session.</w:t>
      </w:r>
    </w:p>
    <w:p w:rsidR="00DF0AA3" w:rsidRDefault="00DF0AA3" w:rsidP="00057728">
      <w:pPr>
        <w:pStyle w:val="ParNoG"/>
      </w:pPr>
      <w:r w:rsidRPr="00E42967">
        <w:t>L</w:t>
      </w:r>
      <w:r w:rsidR="00912E90">
        <w:t>’</w:t>
      </w:r>
      <w:r w:rsidRPr="00E42967">
        <w:t>expert de la France a proposé de</w:t>
      </w:r>
      <w:r>
        <w:t xml:space="preserve"> corriger une incohérence à l</w:t>
      </w:r>
      <w:r w:rsidR="00912E90">
        <w:t>’</w:t>
      </w:r>
      <w:r>
        <w:t>a</w:t>
      </w:r>
      <w:r w:rsidRPr="00E42967">
        <w:t>nnexe</w:t>
      </w:r>
      <w:r w:rsidR="00057728">
        <w:t> </w:t>
      </w:r>
      <w:r w:rsidRPr="00E42967">
        <w:t>3 (ECE/TRANS/WP.29/GRE/2015/23). Le Groupe de travail a approuvé cette proposition mais décidé de renvoyer à la prochaine session la décision de la soumettre au WP.29 et à l</w:t>
      </w:r>
      <w:r w:rsidR="00912E90">
        <w:t>’</w:t>
      </w:r>
      <w:r w:rsidRPr="00E42967">
        <w:t>AC.1 pour examen et mise aux voix, dans l</w:t>
      </w:r>
      <w:r w:rsidR="00912E90">
        <w:t>’</w:t>
      </w:r>
      <w:r w:rsidRPr="00E42967">
        <w:t>attente d</w:t>
      </w:r>
      <w:r w:rsidR="00912E90">
        <w:t>’</w:t>
      </w:r>
      <w:r w:rsidRPr="00E42967">
        <w:t>autres propositions éventuelles d</w:t>
      </w:r>
      <w:r w:rsidR="00912E90">
        <w:t>’</w:t>
      </w:r>
      <w:r w:rsidRPr="00E42967">
        <w:t>amendement à ce même Règlement dans le cadre d</w:t>
      </w:r>
      <w:r w:rsidR="00912E90">
        <w:t>u processus de simplification.</w:t>
      </w:r>
    </w:p>
    <w:p w:rsidR="00DF0AA3" w:rsidRPr="00E42967" w:rsidRDefault="00DF0AA3" w:rsidP="00057728">
      <w:pPr>
        <w:pStyle w:val="H1G"/>
      </w:pPr>
      <w:r w:rsidRPr="00707A8F">
        <w:tab/>
      </w:r>
      <w:r w:rsidRPr="00E42967">
        <w:t>K.</w:t>
      </w:r>
      <w:r w:rsidRPr="00E42967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E42967">
        <w:t>113 (Projecteurs émettant un faisceau</w:t>
      </w:r>
      <w:r w:rsidR="00057728">
        <w:br/>
      </w:r>
      <w:r w:rsidRPr="00E42967">
        <w:t>de croi</w:t>
      </w:r>
      <w:r w:rsidR="00057728">
        <w:t>sement symétrique)</w:t>
      </w:r>
    </w:p>
    <w:p w:rsidR="00DF0AA3" w:rsidRPr="00E42967" w:rsidRDefault="00DF0AA3" w:rsidP="00057728">
      <w:pPr>
        <w:pStyle w:val="SingleTxtG"/>
        <w:ind w:left="2552" w:hanging="1418"/>
        <w:jc w:val="left"/>
        <w:rPr>
          <w:b/>
          <w:lang w:val="fr-FR"/>
        </w:rPr>
      </w:pPr>
      <w:r w:rsidRPr="00E42967">
        <w:rPr>
          <w:i/>
          <w:lang w:val="fr-FR"/>
        </w:rPr>
        <w:t>Document</w:t>
      </w:r>
      <w:r w:rsidRPr="00057728">
        <w:rPr>
          <w:lang w:val="fr-FR"/>
        </w:rPr>
        <w:t>:</w:t>
      </w:r>
      <w:r w:rsidRPr="00E42967">
        <w:rPr>
          <w:b/>
          <w:lang w:val="fr-FR"/>
        </w:rPr>
        <w:tab/>
      </w:r>
      <w:r w:rsidRPr="00E42967">
        <w:rPr>
          <w:lang w:val="fr-FR"/>
        </w:rPr>
        <w:t>ECE/TRANS/WP.29/GRE/2015/17</w:t>
      </w:r>
      <w:r w:rsidR="00057728" w:rsidRPr="00057728">
        <w:rPr>
          <w:lang w:val="fr-FR"/>
        </w:rPr>
        <w:t>.</w:t>
      </w:r>
    </w:p>
    <w:p w:rsidR="00DF0AA3" w:rsidRPr="00E42967" w:rsidRDefault="00DF0AA3" w:rsidP="00057728">
      <w:pPr>
        <w:pStyle w:val="ParNoG"/>
        <w:rPr>
          <w:lang w:val="fr-FR"/>
        </w:rPr>
      </w:pPr>
      <w:r w:rsidRPr="00E42967">
        <w:rPr>
          <w:lang w:val="fr-FR"/>
        </w:rPr>
        <w:t>À la demande de l</w:t>
      </w:r>
      <w:r w:rsidR="00912E90">
        <w:rPr>
          <w:lang w:val="fr-FR"/>
        </w:rPr>
        <w:t>’</w:t>
      </w:r>
      <w:r w:rsidRPr="00E42967">
        <w:rPr>
          <w:lang w:val="fr-FR"/>
        </w:rPr>
        <w:t xml:space="preserve">expert du GTB, le Groupe de travail a </w:t>
      </w:r>
      <w:r>
        <w:rPr>
          <w:lang w:val="fr-FR"/>
        </w:rPr>
        <w:t>décidé de reprendre l</w:t>
      </w:r>
      <w:r w:rsidR="00912E90">
        <w:rPr>
          <w:lang w:val="fr-FR"/>
        </w:rPr>
        <w:t>’</w:t>
      </w:r>
      <w:r>
        <w:rPr>
          <w:lang w:val="fr-FR"/>
        </w:rPr>
        <w:t>examen de cette q</w:t>
      </w:r>
      <w:r w:rsidR="00912E90">
        <w:rPr>
          <w:lang w:val="fr-FR"/>
        </w:rPr>
        <w:t>uestion à sa prochaine session.</w:t>
      </w:r>
    </w:p>
    <w:p w:rsidR="00DF0AA3" w:rsidRPr="00D30758" w:rsidRDefault="00DF0AA3" w:rsidP="00057728">
      <w:pPr>
        <w:pStyle w:val="H1G"/>
      </w:pPr>
      <w:r w:rsidRPr="00E42967">
        <w:rPr>
          <w:lang w:val="fr-FR"/>
        </w:rPr>
        <w:tab/>
      </w:r>
      <w:r w:rsidRPr="00E42967">
        <w:t>L.</w:t>
      </w:r>
      <w:r w:rsidRPr="00E42967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E42967">
        <w:t>119 (Feux d</w:t>
      </w:r>
      <w:r w:rsidR="00912E90">
        <w:t>’</w:t>
      </w:r>
      <w:r w:rsidRPr="00E42967">
        <w:t>angle)</w:t>
      </w:r>
    </w:p>
    <w:p w:rsidR="00DF0AA3" w:rsidRPr="00D30758" w:rsidRDefault="00DF0AA3" w:rsidP="00CD6AF5">
      <w:pPr>
        <w:pStyle w:val="SingleTxtG"/>
        <w:ind w:left="2552" w:hanging="1418"/>
        <w:jc w:val="left"/>
        <w:rPr>
          <w:szCs w:val="24"/>
          <w:lang w:val="fr-FR"/>
        </w:rPr>
      </w:pPr>
      <w:r w:rsidRPr="00D30758">
        <w:rPr>
          <w:i/>
          <w:szCs w:val="24"/>
          <w:lang w:val="fr-FR"/>
        </w:rPr>
        <w:t>Document</w:t>
      </w:r>
      <w:r>
        <w:rPr>
          <w:i/>
          <w:szCs w:val="24"/>
          <w:lang w:val="fr-FR"/>
        </w:rPr>
        <w:t>s</w:t>
      </w:r>
      <w:r w:rsidRPr="005C71FA">
        <w:rPr>
          <w:szCs w:val="24"/>
          <w:lang w:val="fr-FR"/>
        </w:rPr>
        <w:t>:</w:t>
      </w:r>
      <w:r w:rsidR="00057728">
        <w:rPr>
          <w:szCs w:val="24"/>
          <w:lang w:val="fr-FR"/>
        </w:rPr>
        <w:tab/>
      </w:r>
      <w:r w:rsidR="00912E90">
        <w:rPr>
          <w:szCs w:val="24"/>
          <w:lang w:val="fr-FR"/>
        </w:rPr>
        <w:t xml:space="preserve">ECE/TRANS/WP.29/GRE/2015/18, </w:t>
      </w:r>
      <w:r w:rsidRPr="00D30758">
        <w:rPr>
          <w:szCs w:val="24"/>
          <w:lang w:val="fr-FR"/>
        </w:rPr>
        <w:t xml:space="preserve">ECE/TRANS/WP.29/GRE/2015/19, </w:t>
      </w:r>
      <w:r w:rsidRPr="00D30758">
        <w:rPr>
          <w:szCs w:val="24"/>
          <w:lang w:val="fr-FR"/>
        </w:rPr>
        <w:br/>
      </w:r>
      <w:r>
        <w:rPr>
          <w:szCs w:val="24"/>
          <w:lang w:val="fr-FR"/>
        </w:rPr>
        <w:t>D</w:t>
      </w:r>
      <w:r w:rsidRPr="00D30758">
        <w:rPr>
          <w:szCs w:val="24"/>
          <w:lang w:val="fr-FR"/>
        </w:rPr>
        <w:t xml:space="preserve">ocuments </w:t>
      </w:r>
      <w:r>
        <w:rPr>
          <w:szCs w:val="24"/>
          <w:lang w:val="fr-FR"/>
        </w:rPr>
        <w:t xml:space="preserve">informels </w:t>
      </w:r>
      <w:r w:rsidRPr="00D30758">
        <w:rPr>
          <w:szCs w:val="24"/>
          <w:lang w:val="fr-FR"/>
        </w:rPr>
        <w:t>GRE-73-13</w:t>
      </w:r>
      <w:r>
        <w:rPr>
          <w:szCs w:val="24"/>
          <w:lang w:val="fr-FR"/>
        </w:rPr>
        <w:t xml:space="preserve"> et</w:t>
      </w:r>
      <w:r w:rsidRPr="00D30758">
        <w:rPr>
          <w:szCs w:val="24"/>
          <w:lang w:val="fr-FR"/>
        </w:rPr>
        <w:t xml:space="preserve"> GRE-73-27</w:t>
      </w:r>
      <w:r w:rsidR="00057728">
        <w:rPr>
          <w:szCs w:val="24"/>
          <w:lang w:val="fr-FR"/>
        </w:rPr>
        <w:t>.</w:t>
      </w:r>
    </w:p>
    <w:p w:rsidR="00DF0AA3" w:rsidRPr="00E42967" w:rsidRDefault="00DF0AA3" w:rsidP="00057728">
      <w:pPr>
        <w:pStyle w:val="ParNoG"/>
        <w:rPr>
          <w:color w:val="000000"/>
        </w:rPr>
      </w:pPr>
      <w:r w:rsidRPr="00E42967">
        <w:t xml:space="preserve">Le Groupe de </w:t>
      </w:r>
      <w:r w:rsidRPr="00057728">
        <w:t>travail</w:t>
      </w:r>
      <w:r w:rsidRPr="00E42967">
        <w:t xml:space="preserve"> a noté que cette proposition serait examinée à la prochaine session en même temps qu</w:t>
      </w:r>
      <w:r w:rsidR="00912E90">
        <w:t>’</w:t>
      </w:r>
      <w:r w:rsidRPr="00E42967">
        <w:t>une proposition similaire d</w:t>
      </w:r>
      <w:r w:rsidR="00912E90">
        <w:t>’</w:t>
      </w:r>
      <w:r w:rsidRPr="00E42967">
        <w:t xml:space="preserve">amendements au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E42967">
        <w:t>7 (voir pa</w:t>
      </w:r>
      <w:r w:rsidR="00912E90">
        <w:t>r.</w:t>
      </w:r>
      <w:r w:rsidR="00057728">
        <w:t> </w:t>
      </w:r>
      <w:r w:rsidR="00912E90">
        <w:t>24 du présent rapport).</w:t>
      </w:r>
    </w:p>
    <w:p w:rsidR="00DF0AA3" w:rsidRPr="00876BBA" w:rsidRDefault="00DF0AA3" w:rsidP="00057728">
      <w:pPr>
        <w:pStyle w:val="ParNoG"/>
      </w:pPr>
      <w:r w:rsidRPr="00E42967">
        <w:t xml:space="preserve">Le GRE a rappelé </w:t>
      </w:r>
      <w:r>
        <w:t>qu</w:t>
      </w:r>
      <w:r w:rsidR="00912E90">
        <w:t>’</w:t>
      </w:r>
      <w:r>
        <w:t>u</w:t>
      </w:r>
      <w:r w:rsidRPr="00E42967">
        <w:t>ne proposition de l</w:t>
      </w:r>
      <w:r w:rsidR="00912E90">
        <w:t>’</w:t>
      </w:r>
      <w:r w:rsidRPr="00E42967">
        <w:t xml:space="preserve">expert de la Pologne visant à introduire </w:t>
      </w:r>
      <w:r>
        <w:t>d</w:t>
      </w:r>
      <w:r w:rsidRPr="00E42967">
        <w:t>es feux d</w:t>
      </w:r>
      <w:r w:rsidR="00912E90">
        <w:t>’</w:t>
      </w:r>
      <w:r w:rsidRPr="00E42967">
        <w:t xml:space="preserve">éclairage latéral dans le 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E42967">
        <w:t>119</w:t>
      </w:r>
      <w:r>
        <w:t xml:space="preserve"> </w:t>
      </w:r>
      <w:r w:rsidRPr="00E42967">
        <w:t>(ECE/TRANS/WP.29/GRE/2015/19, GRE-73-13, GRE-73-27) avait été examinée en m</w:t>
      </w:r>
      <w:r>
        <w:t xml:space="preserve">ême temps que le point </w:t>
      </w:r>
      <w:r w:rsidRPr="00E42967">
        <w:t xml:space="preserve">6 b) </w:t>
      </w:r>
      <w:r>
        <w:t>de l</w:t>
      </w:r>
      <w:r w:rsidR="00912E90">
        <w:t>’</w:t>
      </w:r>
      <w:r>
        <w:t>ordre du</w:t>
      </w:r>
      <w:r w:rsidR="00057728">
        <w:t> </w:t>
      </w:r>
      <w:r>
        <w:t xml:space="preserve">jour </w:t>
      </w:r>
      <w:r w:rsidRPr="00E42967">
        <w:t>(</w:t>
      </w:r>
      <w:r>
        <w:t>voir</w:t>
      </w:r>
      <w:r w:rsidRPr="00E42967">
        <w:t xml:space="preserve"> par.</w:t>
      </w:r>
      <w:r w:rsidR="00057728">
        <w:t> </w:t>
      </w:r>
      <w:r w:rsidRPr="00876BBA">
        <w:t xml:space="preserve">19 </w:t>
      </w:r>
      <w:r>
        <w:t>ci-dessus</w:t>
      </w:r>
      <w:r w:rsidR="00912E90">
        <w:t>).</w:t>
      </w:r>
    </w:p>
    <w:p w:rsidR="00DF0AA3" w:rsidRPr="00742FC2" w:rsidRDefault="00DF0AA3" w:rsidP="00057728">
      <w:pPr>
        <w:pStyle w:val="H1G"/>
      </w:pPr>
      <w:r w:rsidRPr="00876BBA">
        <w:tab/>
      </w:r>
      <w:r w:rsidRPr="00742FC2">
        <w:t>M.</w:t>
      </w:r>
      <w:r w:rsidRPr="00742FC2">
        <w:tab/>
        <w:t xml:space="preserve">Règlement </w:t>
      </w:r>
      <w:r w:rsidR="009409CB" w:rsidRPr="00BE7246">
        <w:t>n</w:t>
      </w:r>
      <w:r w:rsidR="009409CB" w:rsidRPr="00BE7246">
        <w:rPr>
          <w:vertAlign w:val="superscript"/>
        </w:rPr>
        <w:t>o</w:t>
      </w:r>
      <w:r w:rsidR="009409CB">
        <w:t> </w:t>
      </w:r>
      <w:r w:rsidRPr="00742FC2">
        <w:t>123 (Systèmes d</w:t>
      </w:r>
      <w:r w:rsidR="00912E90">
        <w:t>’</w:t>
      </w:r>
      <w:r w:rsidRPr="00742FC2">
        <w:t>éclairage avant acti</w:t>
      </w:r>
      <w:r w:rsidR="00912E90">
        <w:t>fs (AFS))</w:t>
      </w:r>
    </w:p>
    <w:p w:rsidR="00DF0AA3" w:rsidRPr="00742FC2" w:rsidRDefault="005C71FA" w:rsidP="00CD6AF5">
      <w:pPr>
        <w:pStyle w:val="SingleTxtG"/>
        <w:ind w:left="2552" w:hanging="1418"/>
        <w:jc w:val="left"/>
        <w:rPr>
          <w:szCs w:val="24"/>
        </w:rPr>
      </w:pPr>
      <w:r>
        <w:rPr>
          <w:i/>
          <w:szCs w:val="24"/>
        </w:rPr>
        <w:t>Document</w:t>
      </w:r>
      <w:r w:rsidRPr="005C71FA">
        <w:rPr>
          <w:szCs w:val="24"/>
        </w:rPr>
        <w:t>:</w:t>
      </w:r>
      <w:r w:rsidR="00DF0AA3" w:rsidRPr="00742FC2">
        <w:rPr>
          <w:szCs w:val="24"/>
        </w:rPr>
        <w:t xml:space="preserve"> </w:t>
      </w:r>
      <w:r w:rsidR="00DF0AA3" w:rsidRPr="00742FC2">
        <w:rPr>
          <w:szCs w:val="24"/>
        </w:rPr>
        <w:tab/>
        <w:t>ECE/TRANS/WP.29/GRE/2015/20</w:t>
      </w:r>
      <w:r>
        <w:rPr>
          <w:szCs w:val="24"/>
        </w:rPr>
        <w:t>.</w:t>
      </w:r>
    </w:p>
    <w:p w:rsidR="00DF0AA3" w:rsidRPr="002F2D15" w:rsidRDefault="00DF0AA3" w:rsidP="00057728">
      <w:pPr>
        <w:pStyle w:val="ParNoG"/>
      </w:pPr>
      <w:r w:rsidRPr="002F2D15">
        <w:t>L</w:t>
      </w:r>
      <w:r w:rsidR="00912E90">
        <w:t>’</w:t>
      </w:r>
      <w:r w:rsidRPr="002F2D15">
        <w:t>expert du GTB a retir</w:t>
      </w:r>
      <w:r>
        <w:t>é</w:t>
      </w:r>
      <w:r w:rsidRPr="002F2D15">
        <w:t xml:space="preserve"> le document ECE/TRANS/WP.29/GRE/</w:t>
      </w:r>
      <w:r w:rsidR="00912E90">
        <w:t>2015/20.</w:t>
      </w:r>
    </w:p>
    <w:p w:rsidR="00DF0AA3" w:rsidRPr="00742FC2" w:rsidRDefault="00DF0AA3" w:rsidP="00057728">
      <w:pPr>
        <w:pStyle w:val="HChG"/>
      </w:pPr>
      <w:r w:rsidRPr="002F2D15">
        <w:lastRenderedPageBreak/>
        <w:tab/>
      </w:r>
      <w:r w:rsidRPr="00742FC2">
        <w:t>IX.</w:t>
      </w:r>
      <w:r w:rsidRPr="00742FC2">
        <w:tab/>
        <w:t xml:space="preserve">Questions diverses (point </w:t>
      </w:r>
      <w:r>
        <w:t>8</w:t>
      </w:r>
      <w:r w:rsidRPr="00742FC2">
        <w:t xml:space="preserve"> de l</w:t>
      </w:r>
      <w:r w:rsidR="00912E90">
        <w:t>’</w:t>
      </w:r>
      <w:r w:rsidRPr="00742FC2">
        <w:t>ordre du jour)</w:t>
      </w:r>
    </w:p>
    <w:p w:rsidR="00DF0AA3" w:rsidRPr="00687D98" w:rsidRDefault="00DF0AA3" w:rsidP="00057728">
      <w:pPr>
        <w:pStyle w:val="H1G"/>
      </w:pPr>
      <w:r w:rsidRPr="00742FC2">
        <w:tab/>
      </w:r>
      <w:r w:rsidRPr="00687D98">
        <w:t>A.</w:t>
      </w:r>
      <w:r w:rsidRPr="00687D98">
        <w:tab/>
        <w:t>Amendements à la Convention sur la circulation routière</w:t>
      </w:r>
      <w:r w:rsidR="00057728">
        <w:br/>
      </w:r>
      <w:r w:rsidRPr="00687D98">
        <w:t>(Vienne, 1968)</w:t>
      </w:r>
    </w:p>
    <w:p w:rsidR="00DF0AA3" w:rsidRDefault="00DF0AA3" w:rsidP="00057728">
      <w:pPr>
        <w:pStyle w:val="ParNoG"/>
      </w:pPr>
      <w:r w:rsidRPr="00B3778B">
        <w:t xml:space="preserve">Le Secrétaire du Groupe de travail de la sécurité et de la circulation routière (WP.1) a informé le GRE que le WP.1 avait, à sa session de </w:t>
      </w:r>
      <w:r>
        <w:t>mars 2015</w:t>
      </w:r>
      <w:r w:rsidRPr="00B3778B">
        <w:t xml:space="preserve">, continué </w:t>
      </w:r>
      <w:r>
        <w:t xml:space="preserve">à </w:t>
      </w:r>
      <w:r w:rsidRPr="00B3778B">
        <w:t>examiner les projets de propositions d</w:t>
      </w:r>
      <w:r w:rsidR="00912E90">
        <w:t>’</w:t>
      </w:r>
      <w:r w:rsidRPr="00B3778B">
        <w:t xml:space="preserve">amendements </w:t>
      </w:r>
      <w:r>
        <w:t>de l</w:t>
      </w:r>
      <w:r w:rsidR="00912E90">
        <w:t>’</w:t>
      </w:r>
      <w:r>
        <w:t>article 32 et du chapitre II de l</w:t>
      </w:r>
      <w:r w:rsidR="00912E90">
        <w:t>’</w:t>
      </w:r>
      <w:r>
        <w:t xml:space="preserve">annexe 5 de </w:t>
      </w:r>
      <w:r w:rsidRPr="00B3778B">
        <w:t>la Convention de Vienne de 1968 concernant l</w:t>
      </w:r>
      <w:r w:rsidR="00912E90">
        <w:t>’</w:t>
      </w:r>
      <w:r w:rsidRPr="00B3778B">
        <w:t>éclairage et la signalisation lumineus</w:t>
      </w:r>
      <w:r>
        <w:t>e. Il avait été demandé au secrétariat de préparer, en vue de la prochaine session, une nouvelle révision incorporant les propositions d</w:t>
      </w:r>
      <w:r w:rsidR="00912E90">
        <w:t>’</w:t>
      </w:r>
      <w:r>
        <w:t>amendements soumises par l</w:t>
      </w:r>
      <w:r w:rsidR="00912E90">
        <w:t>’</w:t>
      </w:r>
      <w:r>
        <w:t>Association internationale des constructeurs de motocycles. Le Groupe de travail a rappelé qu</w:t>
      </w:r>
      <w:r w:rsidR="00912E90">
        <w:t>’</w:t>
      </w:r>
      <w:r>
        <w:t>u</w:t>
      </w:r>
      <w:r w:rsidRPr="00B3778B">
        <w:t>ne fois finalisées et approuvées par le WP.1 les propositions d</w:t>
      </w:r>
      <w:r w:rsidR="00912E90">
        <w:t>’</w:t>
      </w:r>
      <w:r w:rsidRPr="00B3778B">
        <w:t xml:space="preserve">amendements </w:t>
      </w:r>
      <w:r>
        <w:t xml:space="preserve">devraient être </w:t>
      </w:r>
      <w:r w:rsidRPr="00B3778B">
        <w:t>officiellement transmises, par l</w:t>
      </w:r>
      <w:r w:rsidR="00912E90">
        <w:t>’</w:t>
      </w:r>
      <w:r w:rsidRPr="00B3778B">
        <w:t>une des Parties contractantes à la Convention de 1968, au Secrétaire général de l</w:t>
      </w:r>
      <w:r w:rsidR="00912E90">
        <w:t>’</w:t>
      </w:r>
      <w:r w:rsidRPr="00B3778B">
        <w:t>ONU en sa qualité de dépositaire</w:t>
      </w:r>
      <w:r>
        <w:t xml:space="preserve">. </w:t>
      </w:r>
      <w:r w:rsidRPr="00B3778B">
        <w:t>Le Secrétaire du WP.1 a invité les experts du GRE à examiner cette question au niveau national, pour trouver un pays volontaire.</w:t>
      </w:r>
    </w:p>
    <w:p w:rsidR="00DF0AA3" w:rsidRPr="00687D98" w:rsidRDefault="00DF0AA3" w:rsidP="00057728">
      <w:pPr>
        <w:pStyle w:val="H1G"/>
      </w:pPr>
      <w:r w:rsidRPr="00707A8F">
        <w:tab/>
      </w:r>
      <w:r w:rsidRPr="00687D98">
        <w:t>B.</w:t>
      </w:r>
      <w:r w:rsidRPr="00687D98">
        <w:tab/>
        <w:t>Décennie d</w:t>
      </w:r>
      <w:r w:rsidR="00912E90">
        <w:t>’</w:t>
      </w:r>
      <w:r w:rsidRPr="00687D98">
        <w:t>action pour la sécurité routière 2011-2020</w:t>
      </w:r>
    </w:p>
    <w:p w:rsidR="00DF0AA3" w:rsidRPr="00B3778B" w:rsidRDefault="00DF0AA3" w:rsidP="00057728">
      <w:pPr>
        <w:pStyle w:val="ParNoG"/>
        <w:rPr>
          <w:rFonts w:eastAsia="MS Mincho"/>
        </w:rPr>
      </w:pPr>
      <w:r w:rsidRPr="00B3778B">
        <w:t>Aucune information nouvelle n</w:t>
      </w:r>
      <w:r w:rsidR="00912E90">
        <w:t>’</w:t>
      </w:r>
      <w:r w:rsidRPr="00B3778B">
        <w:t>a été communiquée au titre de ce point de l</w:t>
      </w:r>
      <w:r w:rsidR="00912E90">
        <w:t>’</w:t>
      </w:r>
      <w:r w:rsidRPr="00B3778B">
        <w:t>ordre du</w:t>
      </w:r>
      <w:r w:rsidR="00057728">
        <w:t> jour.</w:t>
      </w:r>
    </w:p>
    <w:p w:rsidR="00DF0AA3" w:rsidRPr="00687D98" w:rsidRDefault="00DF0AA3" w:rsidP="00057728">
      <w:pPr>
        <w:pStyle w:val="H1G"/>
      </w:pPr>
      <w:r w:rsidRPr="00B3778B">
        <w:tab/>
      </w:r>
      <w:r w:rsidRPr="00687D98">
        <w:t>C.</w:t>
      </w:r>
      <w:r w:rsidRPr="00687D98">
        <w:tab/>
        <w:t>Mise au point d</w:t>
      </w:r>
      <w:r w:rsidR="00912E90">
        <w:t>’</w:t>
      </w:r>
      <w:r w:rsidRPr="00687D98">
        <w:t>une homologation de type internationale de l</w:t>
      </w:r>
      <w:r w:rsidR="00912E90">
        <w:t>’</w:t>
      </w:r>
      <w:r w:rsidRPr="00687D98">
        <w:t>ensemble du véhicule (IWVTA)</w:t>
      </w:r>
    </w:p>
    <w:p w:rsidR="00DF0AA3" w:rsidRPr="00606103" w:rsidRDefault="00DF0AA3" w:rsidP="00CD6AF5">
      <w:pPr>
        <w:pStyle w:val="SingleTxtG"/>
        <w:ind w:left="2552" w:hanging="1418"/>
        <w:jc w:val="left"/>
        <w:rPr>
          <w:szCs w:val="24"/>
        </w:rPr>
      </w:pPr>
      <w:r w:rsidRPr="00606103">
        <w:rPr>
          <w:i/>
          <w:szCs w:val="24"/>
        </w:rPr>
        <w:t>Document</w:t>
      </w:r>
      <w:r w:rsidRPr="00057728">
        <w:rPr>
          <w:szCs w:val="24"/>
        </w:rPr>
        <w:t>:</w:t>
      </w:r>
      <w:r w:rsidRPr="00606103">
        <w:rPr>
          <w:szCs w:val="24"/>
        </w:rPr>
        <w:tab/>
        <w:t>ECE/TRANS/WP.29/2015/68</w:t>
      </w:r>
      <w:r w:rsidR="00057728">
        <w:rPr>
          <w:szCs w:val="24"/>
        </w:rPr>
        <w:t>.</w:t>
      </w:r>
    </w:p>
    <w:p w:rsidR="00DF0AA3" w:rsidRPr="002452CD" w:rsidRDefault="00DF0AA3" w:rsidP="00057728">
      <w:pPr>
        <w:pStyle w:val="ParNoG"/>
      </w:pPr>
      <w:r w:rsidRPr="00B3778B">
        <w:t>L</w:t>
      </w:r>
      <w:r w:rsidR="00912E90">
        <w:t>’</w:t>
      </w:r>
      <w:r w:rsidRPr="00B3778B">
        <w:t>expert de la CE, en sa qualité d</w:t>
      </w:r>
      <w:r w:rsidR="00912E90">
        <w:t>’</w:t>
      </w:r>
      <w:r>
        <w:t>a</w:t>
      </w:r>
      <w:r w:rsidRPr="00B3778B">
        <w:t>mbassadeur</w:t>
      </w:r>
      <w:r>
        <w:t xml:space="preserve"> du GRE, et le secrétariat ont informé le Groupe de travail des progrès accomplis </w:t>
      </w:r>
      <w:r w:rsidRPr="00DE4399">
        <w:t>en vue de l</w:t>
      </w:r>
      <w:r w:rsidR="00912E90">
        <w:t>’</w:t>
      </w:r>
      <w:r w:rsidRPr="00DE4399">
        <w:t>élaboration de la Révision 3 de l</w:t>
      </w:r>
      <w:r w:rsidR="00912E90">
        <w:t>’</w:t>
      </w:r>
      <w:r w:rsidRPr="00DE4399">
        <w:t>Accord de 1958</w:t>
      </w:r>
      <w:r>
        <w:t xml:space="preserve"> ainsi que du projet de Règlement </w:t>
      </w:r>
      <w:r w:rsidR="005C71FA" w:rsidRPr="00BE7246">
        <w:t>n</w:t>
      </w:r>
      <w:r w:rsidR="005C71FA" w:rsidRPr="00BE7246">
        <w:rPr>
          <w:vertAlign w:val="superscript"/>
        </w:rPr>
        <w:t>o</w:t>
      </w:r>
      <w:r w:rsidR="005C71FA">
        <w:t> </w:t>
      </w:r>
      <w:r>
        <w:t xml:space="preserve">0 </w:t>
      </w:r>
      <w:r w:rsidRPr="00DE4399">
        <w:t>sur l</w:t>
      </w:r>
      <w:r w:rsidR="00912E90">
        <w:t>’</w:t>
      </w:r>
      <w:r w:rsidRPr="00DE4399">
        <w:t>IWVTA</w:t>
      </w:r>
      <w:r>
        <w:t xml:space="preserve"> et de la base de données DETA. La plus récente version du projet de Règlement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t> </w:t>
      </w:r>
      <w:r>
        <w:t xml:space="preserve">0 figurait dans le document </w:t>
      </w:r>
      <w:r w:rsidRPr="00707A8F">
        <w:t xml:space="preserve">ECE/TRANS/WP.29/2015/68. Le GRE a </w:t>
      </w:r>
      <w:r>
        <w:t xml:space="preserve">aussi </w:t>
      </w:r>
      <w:r w:rsidRPr="00707A8F">
        <w:t>noté que</w:t>
      </w:r>
      <w:r>
        <w:t xml:space="preserve"> l</w:t>
      </w:r>
      <w:r w:rsidRPr="00707A8F">
        <w:t xml:space="preserve">e groupe informel IWVTA </w:t>
      </w:r>
      <w:r>
        <w:t>avait proposé de faire passer les prescriptions</w:t>
      </w:r>
      <w:r w:rsidRPr="00707A8F">
        <w:t xml:space="preserve"> d</w:t>
      </w:r>
      <w:r w:rsidR="00912E90">
        <w:t>’</w:t>
      </w:r>
      <w:r w:rsidRPr="00707A8F">
        <w:t xml:space="preserve">installation pour les feux de circulation diurne </w:t>
      </w:r>
      <w:r>
        <w:t xml:space="preserve">du Règlement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t> </w:t>
      </w:r>
      <w:r>
        <w:t xml:space="preserve">48 au Règlement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t> </w:t>
      </w:r>
      <w:r>
        <w:t xml:space="preserve">87 et que le WP.29 avait, à sa session de novembre 2014, </w:t>
      </w:r>
      <w:r w:rsidRPr="00707A8F">
        <w:t>invité le GRE à rechercher la meilleure solution en étroite collaboration avec les parties prenantes.</w:t>
      </w:r>
      <w:r>
        <w:t xml:space="preserve"> À ce propos, le GRE s</w:t>
      </w:r>
      <w:r w:rsidR="00912E90">
        <w:t>’</w:t>
      </w:r>
      <w:r>
        <w:t>est demandé si un nouveau groupe informel éta</w:t>
      </w:r>
      <w:r w:rsidR="00912E90">
        <w:t xml:space="preserve">it nécessaire pour </w:t>
      </w:r>
      <w:r w:rsidRPr="002452CD">
        <w:t>traiter cette question</w:t>
      </w:r>
      <w:r>
        <w:t xml:space="preserve">. </w:t>
      </w:r>
      <w:r w:rsidRPr="002452CD">
        <w:t>Après avoir rappelé ses considérations (voir par.</w:t>
      </w:r>
      <w:r w:rsidR="00A47341">
        <w:t> </w:t>
      </w:r>
      <w:r w:rsidRPr="002452CD">
        <w:t xml:space="preserve">15 et 16 ci-dessus), le GRE </w:t>
      </w:r>
      <w:r>
        <w:t xml:space="preserve">a décidé de ne pas créer de nouveau </w:t>
      </w:r>
      <w:r w:rsidR="00912E90">
        <w:t>groupe informel pour le moment.</w:t>
      </w:r>
    </w:p>
    <w:p w:rsidR="00DF0AA3" w:rsidRPr="00687D98" w:rsidRDefault="00DF0AA3" w:rsidP="00057728">
      <w:pPr>
        <w:pStyle w:val="H1G"/>
      </w:pPr>
      <w:r w:rsidRPr="002452CD">
        <w:tab/>
      </w:r>
      <w:r w:rsidRPr="00687D98">
        <w:t>D.</w:t>
      </w:r>
      <w:r w:rsidRPr="00687D98">
        <w:tab/>
        <w:t>Phénomènes de lumière parasite et de dégradation des couleurs</w:t>
      </w:r>
    </w:p>
    <w:p w:rsidR="00DF0AA3" w:rsidRPr="002452CD" w:rsidRDefault="00DF0AA3" w:rsidP="00057728">
      <w:pPr>
        <w:pStyle w:val="ParNoG"/>
      </w:pPr>
      <w:r w:rsidRPr="002452CD">
        <w:t>Aucune proposition n</w:t>
      </w:r>
      <w:r w:rsidR="00912E90">
        <w:t>’</w:t>
      </w:r>
      <w:r w:rsidRPr="002452CD">
        <w:t>a été soumise au titre de ce point de l</w:t>
      </w:r>
      <w:r w:rsidR="00912E90">
        <w:t>’</w:t>
      </w:r>
      <w:r w:rsidRPr="002452CD">
        <w:t>ordre du jour.</w:t>
      </w:r>
    </w:p>
    <w:p w:rsidR="00DF0AA3" w:rsidRPr="00742FC2" w:rsidRDefault="00DF0AA3" w:rsidP="00057728">
      <w:pPr>
        <w:pStyle w:val="HChG"/>
      </w:pPr>
      <w:r w:rsidRPr="002452CD">
        <w:lastRenderedPageBreak/>
        <w:tab/>
      </w:r>
      <w:r w:rsidRPr="00742FC2">
        <w:t>X.</w:t>
      </w:r>
      <w:r w:rsidRPr="00742FC2">
        <w:tab/>
        <w:t>Autres questions et soumissions tardives</w:t>
      </w:r>
      <w:r w:rsidR="00057728">
        <w:br/>
      </w:r>
      <w:r w:rsidRPr="00742FC2">
        <w:t xml:space="preserve">(point </w:t>
      </w:r>
      <w:r>
        <w:t>9</w:t>
      </w:r>
      <w:r w:rsidRPr="00742FC2">
        <w:t xml:space="preserve"> de l</w:t>
      </w:r>
      <w:r w:rsidR="00912E90">
        <w:t>’</w:t>
      </w:r>
      <w:r w:rsidRPr="00742FC2">
        <w:t xml:space="preserve">ordre du jour) </w:t>
      </w:r>
    </w:p>
    <w:p w:rsidR="00DF0AA3" w:rsidRPr="00742FC2" w:rsidRDefault="00DF0AA3" w:rsidP="00CD6AF5">
      <w:pPr>
        <w:pStyle w:val="SingleTxtG"/>
        <w:ind w:left="2552" w:hanging="1418"/>
        <w:jc w:val="left"/>
        <w:rPr>
          <w:szCs w:val="24"/>
          <w:lang w:val="fr-FR"/>
        </w:rPr>
      </w:pPr>
      <w:r w:rsidRPr="00742FC2">
        <w:rPr>
          <w:i/>
          <w:szCs w:val="24"/>
          <w:lang w:val="fr-FR"/>
        </w:rPr>
        <w:t>Documents</w:t>
      </w:r>
      <w:r w:rsidRPr="00057728">
        <w:rPr>
          <w:szCs w:val="24"/>
          <w:lang w:val="fr-FR"/>
        </w:rPr>
        <w:t>:</w:t>
      </w:r>
      <w:r w:rsidRPr="00742FC2">
        <w:rPr>
          <w:szCs w:val="24"/>
          <w:lang w:val="fr-FR"/>
        </w:rPr>
        <w:tab/>
        <w:t xml:space="preserve">ECE/TRANS/WP.29/2015/36, ECE/TRANS/WP.29/2015/37, </w:t>
      </w:r>
      <w:r w:rsidRPr="00EA4839">
        <w:rPr>
          <w:lang w:val="en-GB"/>
        </w:rPr>
        <w:br/>
      </w:r>
      <w:r>
        <w:rPr>
          <w:szCs w:val="24"/>
          <w:lang w:val="fr-FR"/>
        </w:rPr>
        <w:t>D</w:t>
      </w:r>
      <w:r w:rsidRPr="00742FC2">
        <w:rPr>
          <w:szCs w:val="24"/>
          <w:lang w:val="fr-FR"/>
        </w:rPr>
        <w:t xml:space="preserve">ocuments </w:t>
      </w:r>
      <w:r>
        <w:rPr>
          <w:szCs w:val="24"/>
          <w:lang w:val="fr-FR"/>
        </w:rPr>
        <w:t xml:space="preserve">informels </w:t>
      </w:r>
      <w:r w:rsidRPr="00742FC2">
        <w:rPr>
          <w:szCs w:val="24"/>
          <w:lang w:val="fr-FR"/>
        </w:rPr>
        <w:t>GRE-73-02, GRE-73-09, GRE-73-10, GRE-7</w:t>
      </w:r>
      <w:r w:rsidR="00912E90">
        <w:rPr>
          <w:szCs w:val="24"/>
          <w:lang w:val="fr-FR"/>
        </w:rPr>
        <w:t>3-11, GRE-73-16, WP.29-165-17.</w:t>
      </w:r>
    </w:p>
    <w:p w:rsidR="00DF0AA3" w:rsidRPr="00F33022" w:rsidRDefault="00DF0AA3" w:rsidP="00057728">
      <w:pPr>
        <w:pStyle w:val="ParNoG"/>
      </w:pPr>
      <w:r w:rsidRPr="002452CD">
        <w:t>L</w:t>
      </w:r>
      <w:r w:rsidR="00912E90">
        <w:t>’</w:t>
      </w:r>
      <w:r w:rsidRPr="002452CD">
        <w:t>expert des Pays-Bas,</w:t>
      </w:r>
      <w:r>
        <w:t xml:space="preserve"> </w:t>
      </w:r>
      <w:r w:rsidRPr="002452CD">
        <w:t xml:space="preserve">qui préside le </w:t>
      </w:r>
      <w:r>
        <w:t>g</w:t>
      </w:r>
      <w:r w:rsidRPr="002452CD">
        <w:t>roupe informel de l</w:t>
      </w:r>
      <w:r w:rsidR="00912E90">
        <w:t>’</w:t>
      </w:r>
      <w:r w:rsidRPr="002452CD">
        <w:t>installation des dispositifs d</w:t>
      </w:r>
      <w:r w:rsidR="00912E90">
        <w:t>’</w:t>
      </w:r>
      <w:r w:rsidRPr="002452CD">
        <w:t>éclairage et de signalisation lumineuse sur les tracteurs agricoles (AVLI)</w:t>
      </w:r>
      <w:r>
        <w:t>, a informé le Groupe de travail des progrès accomplis par l</w:t>
      </w:r>
      <w:r w:rsidR="00912E90">
        <w:t>’</w:t>
      </w:r>
      <w:r w:rsidRPr="001C0543">
        <w:t>AVLI dans le cadre de la phase II de son mandat et</w:t>
      </w:r>
      <w:r>
        <w:t xml:space="preserve"> présenté un projet de proposition de série</w:t>
      </w:r>
      <w:r w:rsidR="005C71FA">
        <w:t> </w:t>
      </w:r>
      <w:r>
        <w:t>01 d</w:t>
      </w:r>
      <w:r w:rsidR="00912E90">
        <w:t>’</w:t>
      </w:r>
      <w:r>
        <w:t xml:space="preserve">amendements au Règlement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t> </w:t>
      </w:r>
      <w:r>
        <w:t xml:space="preserve">86 </w:t>
      </w:r>
      <w:r w:rsidRPr="005F07F8">
        <w:t>(GRE-73-02). Les experts de l</w:t>
      </w:r>
      <w:r w:rsidR="00912E90">
        <w:t>’</w:t>
      </w:r>
      <w:r w:rsidRPr="005F07F8">
        <w:t>Autriche, de la France, de l</w:t>
      </w:r>
      <w:r w:rsidR="00912E90">
        <w:t>’</w:t>
      </w:r>
      <w:r w:rsidRPr="005F07F8">
        <w:t>Italie et du Royaume-Uni ont f</w:t>
      </w:r>
      <w:r>
        <w:t xml:space="preserve">ait </w:t>
      </w:r>
      <w:r w:rsidRPr="005F07F8">
        <w:t xml:space="preserve">des observations </w:t>
      </w:r>
      <w:r>
        <w:t xml:space="preserve">concernant </w:t>
      </w:r>
      <w:r w:rsidRPr="005F07F8">
        <w:t>cette proposition</w:t>
      </w:r>
      <w:r>
        <w:t xml:space="preserve">, notamment à propos des </w:t>
      </w:r>
      <w:r w:rsidRPr="005F07F8">
        <w:t>crochets restants</w:t>
      </w:r>
      <w:r>
        <w:t xml:space="preserve"> au </w:t>
      </w:r>
      <w:r w:rsidRPr="005F07F8">
        <w:t>paragraphe</w:t>
      </w:r>
      <w:r w:rsidR="005C71FA">
        <w:t> </w:t>
      </w:r>
      <w:r w:rsidRPr="005F07F8">
        <w:t>6.5.1</w:t>
      </w:r>
      <w:r>
        <w:t xml:space="preserve"> et au </w:t>
      </w:r>
      <w:r w:rsidRPr="005F07F8">
        <w:t>paragraph</w:t>
      </w:r>
      <w:r>
        <w:t>e</w:t>
      </w:r>
      <w:r w:rsidR="005C71FA">
        <w:t> </w:t>
      </w:r>
      <w:r w:rsidRPr="005F07F8">
        <w:t>3</w:t>
      </w:r>
      <w:r>
        <w:t xml:space="preserve"> de l</w:t>
      </w:r>
      <w:r w:rsidR="00912E90">
        <w:t>’</w:t>
      </w:r>
      <w:r>
        <w:t>annexe</w:t>
      </w:r>
      <w:r w:rsidR="005C71FA">
        <w:t> </w:t>
      </w:r>
      <w:r w:rsidRPr="005F07F8">
        <w:t>6. Le Groupe de travail a invité l</w:t>
      </w:r>
      <w:r w:rsidR="00912E90">
        <w:t>’</w:t>
      </w:r>
      <w:r w:rsidRPr="005F07F8">
        <w:t xml:space="preserve">AVLI à tenir compte de ces observations au moment de finaliser la proposition en vue de la soumettre officiellement à la prochaine session du GRE. </w:t>
      </w:r>
      <w:r>
        <w:t>Il a également noté que M.</w:t>
      </w:r>
      <w:r w:rsidR="005C71FA">
        <w:t> </w:t>
      </w:r>
      <w:r w:rsidRPr="00F33022">
        <w:t>Gerd Kellermann (Allemagne) ne serait plus en mesure de</w:t>
      </w:r>
      <w:r>
        <w:t xml:space="preserve"> coprésider l</w:t>
      </w:r>
      <w:r w:rsidR="00912E90">
        <w:t>’</w:t>
      </w:r>
      <w:r>
        <w:t>AVLI et qu</w:t>
      </w:r>
      <w:r w:rsidR="00912E90">
        <w:t>’</w:t>
      </w:r>
      <w:r>
        <w:t>il serait remplacé par M.</w:t>
      </w:r>
      <w:r w:rsidR="005C71FA">
        <w:t> </w:t>
      </w:r>
      <w:r w:rsidRPr="00F33022">
        <w:t>Timo Kärkkäinen (Finlande). Le G</w:t>
      </w:r>
      <w:r>
        <w:t xml:space="preserve">roupe de travail a </w:t>
      </w:r>
      <w:r w:rsidRPr="00F33022">
        <w:t>remercié M.</w:t>
      </w:r>
      <w:r w:rsidR="005C71FA">
        <w:t> </w:t>
      </w:r>
      <w:r w:rsidRPr="00F33022">
        <w:t xml:space="preserve">Kellermann de ses contributions et souhaité </w:t>
      </w:r>
      <w:r w:rsidR="00912E90">
        <w:t>la bienvenue à</w:t>
      </w:r>
      <w:r w:rsidR="00057728">
        <w:t> </w:t>
      </w:r>
      <w:r w:rsidR="00912E90">
        <w:t>M.</w:t>
      </w:r>
      <w:r w:rsidR="00057728">
        <w:t> Kärkkäinen.</w:t>
      </w:r>
    </w:p>
    <w:p w:rsidR="00DF0AA3" w:rsidRPr="00C47442" w:rsidRDefault="00912E90" w:rsidP="00057728">
      <w:pPr>
        <w:pStyle w:val="ParNoG"/>
      </w:pPr>
      <w:r>
        <w:t xml:space="preserve">Le Groupe de travail a </w:t>
      </w:r>
      <w:r w:rsidR="00DF0AA3" w:rsidRPr="00AC23A4">
        <w:t>not</w:t>
      </w:r>
      <w:r w:rsidR="00DF0AA3">
        <w:t>é</w:t>
      </w:r>
      <w:r w:rsidR="00DF0AA3" w:rsidRPr="00AC23A4">
        <w:t xml:space="preserve"> que le WP.29</w:t>
      </w:r>
      <w:r w:rsidR="00DF0AA3">
        <w:t xml:space="preserve"> avait, lors de sa session de mars 2015</w:t>
      </w:r>
      <w:r w:rsidR="00DF0AA3" w:rsidRPr="00AC23A4">
        <w:t xml:space="preserve">, </w:t>
      </w:r>
      <w:r w:rsidR="00DF0AA3">
        <w:t xml:space="preserve">approuvé les nouvelles définitions des </w:t>
      </w:r>
      <w:r w:rsidR="00DF0AA3" w:rsidRPr="00C47442">
        <w:t xml:space="preserve">remorques agricoles et </w:t>
      </w:r>
      <w:r w:rsidR="00DF0AA3">
        <w:t>d</w:t>
      </w:r>
      <w:r w:rsidR="00DF0AA3" w:rsidRPr="00C47442">
        <w:t>es machines agricoles tractées</w:t>
      </w:r>
      <w:r w:rsidR="00DF0AA3">
        <w:t xml:space="preserve"> que le GRE avait proposé d</w:t>
      </w:r>
      <w:r>
        <w:t xml:space="preserve">’introduire dans la Résolution </w:t>
      </w:r>
      <w:r w:rsidR="00DF0AA3" w:rsidRPr="00C47442">
        <w:t>d</w:t>
      </w:r>
      <w:r>
        <w:t>’</w:t>
      </w:r>
      <w:r w:rsidR="00DF0AA3" w:rsidRPr="00C47442">
        <w:t xml:space="preserve">ensemble (R.E.3) (ECE/TRANS/WP.29/1114, par. 67). </w:t>
      </w:r>
    </w:p>
    <w:p w:rsidR="00DF0AA3" w:rsidRPr="000114D8" w:rsidRDefault="00DF0AA3" w:rsidP="00057728">
      <w:pPr>
        <w:pStyle w:val="ParNoG"/>
      </w:pPr>
      <w:r w:rsidRPr="00C47442">
        <w:t xml:space="preserve">À la demande du GRSG, le Groupe de travail a </w:t>
      </w:r>
      <w:r>
        <w:t>examiné des propositions d</w:t>
      </w:r>
      <w:r w:rsidR="00912E90">
        <w:t>’</w:t>
      </w:r>
      <w:r>
        <w:t xml:space="preserve">amendements aux Règlements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057728">
        <w:rPr>
          <w:vertAlign w:val="superscript"/>
        </w:rPr>
        <w:t>s</w:t>
      </w:r>
      <w:r w:rsidR="00A47341">
        <w:t> </w:t>
      </w:r>
      <w:r w:rsidRPr="00C47442">
        <w:t>97 et 116 qui stipulent que</w:t>
      </w:r>
      <w:r>
        <w:t xml:space="preserve"> d</w:t>
      </w:r>
      <w:r w:rsidRPr="00C47442">
        <w:t xml:space="preserve">es indicateurs optiques </w:t>
      </w:r>
      <w:r>
        <w:t xml:space="preserve">peuvent être utilisés </w:t>
      </w:r>
      <w:r w:rsidRPr="00C47442">
        <w:t>à l</w:t>
      </w:r>
      <w:r w:rsidR="00912E90">
        <w:t>’</w:t>
      </w:r>
      <w:r w:rsidRPr="00C47442">
        <w:t>extérieur de l</w:t>
      </w:r>
      <w:r w:rsidR="00912E90">
        <w:t>’</w:t>
      </w:r>
      <w:r w:rsidRPr="00C47442">
        <w:t>habitacle pour fournir des informations sur la position du système d</w:t>
      </w:r>
      <w:r w:rsidR="00912E90">
        <w:t>’</w:t>
      </w:r>
      <w:r w:rsidRPr="00C47442">
        <w:t xml:space="preserve">alarme </w:t>
      </w:r>
      <w:r>
        <w:t xml:space="preserve">et/ou </w:t>
      </w:r>
      <w:r w:rsidRPr="000114D8">
        <w:t>du système d</w:t>
      </w:r>
      <w:r w:rsidR="00912E90">
        <w:t>’</w:t>
      </w:r>
      <w:r w:rsidRPr="000114D8">
        <w:t xml:space="preserve">immobilisation </w:t>
      </w:r>
      <w:r>
        <w:t xml:space="preserve">du </w:t>
      </w:r>
      <w:r w:rsidRPr="00C47442">
        <w:t xml:space="preserve">véhicule </w:t>
      </w:r>
      <w:r>
        <w:t xml:space="preserve">et que de tels dispositifs doivent satisfaire aux prescriptions du Règlement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t> </w:t>
      </w:r>
      <w:r w:rsidRPr="000114D8">
        <w:t>48 (ECE/TRANS/WP.29/</w:t>
      </w:r>
      <w:r>
        <w:t xml:space="preserve"> </w:t>
      </w:r>
      <w:r w:rsidRPr="000114D8">
        <w:t xml:space="preserve">2015/36, ECE/TRANS/WP.29/2015/37). </w:t>
      </w:r>
      <w:r>
        <w:t xml:space="preserve">Certains </w:t>
      </w:r>
      <w:r w:rsidRPr="000114D8">
        <w:t xml:space="preserve">experts se sont inquiétés de ce que </w:t>
      </w:r>
      <w:r>
        <w:t>l</w:t>
      </w:r>
      <w:r w:rsidRPr="000114D8">
        <w:t xml:space="preserve">es indicateurs optiques </w:t>
      </w:r>
      <w:r>
        <w:t xml:space="preserve">ne soient pas définis dans le Règlement </w:t>
      </w:r>
      <w:r w:rsidR="005C71FA" w:rsidRPr="00BE7246">
        <w:t>n</w:t>
      </w:r>
      <w:r w:rsidR="005C71FA" w:rsidRPr="00BE7246">
        <w:rPr>
          <w:vertAlign w:val="superscript"/>
        </w:rPr>
        <w:t>o</w:t>
      </w:r>
      <w:r w:rsidR="005C71FA">
        <w:t> </w:t>
      </w:r>
      <w:r>
        <w:t xml:space="preserve">48. </w:t>
      </w:r>
      <w:r w:rsidRPr="000114D8">
        <w:t xml:space="preserve">Le GRE a </w:t>
      </w:r>
      <w:r>
        <w:t xml:space="preserve">indiqué </w:t>
      </w:r>
      <w:r w:rsidRPr="000114D8">
        <w:t xml:space="preserve">que ces prescriptions étaient destinées à interdire les </w:t>
      </w:r>
      <w:r>
        <w:t xml:space="preserve">feux qui ne sont pas conformes au Règlement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t> </w:t>
      </w:r>
      <w:r>
        <w:t>48 et qu</w:t>
      </w:r>
      <w:r w:rsidR="00912E90">
        <w:t>’</w:t>
      </w:r>
      <w:r>
        <w:t>il ne voyait pas la nécessité d</w:t>
      </w:r>
      <w:r w:rsidR="00912E90">
        <w:t>’</w:t>
      </w:r>
      <w:r>
        <w:t xml:space="preserve">intervenir auprès du </w:t>
      </w:r>
      <w:r w:rsidR="00057728">
        <w:t>GRSG à ce sujet.</w:t>
      </w:r>
    </w:p>
    <w:p w:rsidR="00DF0AA3" w:rsidRPr="00432327" w:rsidRDefault="00DF0AA3" w:rsidP="00057728">
      <w:pPr>
        <w:pStyle w:val="ParNoG"/>
      </w:pPr>
      <w:r w:rsidRPr="000114D8">
        <w:t>À la demande du GRRF,</w:t>
      </w:r>
      <w:r>
        <w:t xml:space="preserve"> le secrétariat a présenté l</w:t>
      </w:r>
      <w:r w:rsidR="00912E90">
        <w:t>’</w:t>
      </w:r>
      <w:r>
        <w:t>idée d</w:t>
      </w:r>
      <w:r w:rsidR="00912E90">
        <w:t>’</w:t>
      </w:r>
      <w:r>
        <w:t xml:space="preserve">introduire dans les Règlements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rPr>
          <w:vertAlign w:val="superscript"/>
        </w:rPr>
        <w:t>s</w:t>
      </w:r>
      <w:r w:rsidR="00A47341">
        <w:t> </w:t>
      </w:r>
      <w:r>
        <w:t>79 et 13 un feu d</w:t>
      </w:r>
      <w:r w:rsidR="00912E90">
        <w:t>’</w:t>
      </w:r>
      <w:r>
        <w:t>avertissement qui s</w:t>
      </w:r>
      <w:r w:rsidR="00912E90">
        <w:t>’</w:t>
      </w:r>
      <w:r>
        <w:t xml:space="preserve">allumerait lors de tout freinage pour </w:t>
      </w:r>
      <w:r w:rsidRPr="00432327">
        <w:t>signaler que le système de freinage électrique de la remorque fonctionne correctement</w:t>
      </w:r>
      <w:r>
        <w:t xml:space="preserve"> </w:t>
      </w:r>
      <w:r w:rsidRPr="00432327">
        <w:t>(GRE-</w:t>
      </w:r>
      <w:r w:rsidR="00912E90">
        <w:t xml:space="preserve">73-09). Le Groupe de travail a </w:t>
      </w:r>
      <w:r w:rsidRPr="00432327">
        <w:t xml:space="preserve">estimé que de tels feux ne relevaient pas du Règlement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t> </w:t>
      </w:r>
      <w:r w:rsidRPr="00432327">
        <w:t xml:space="preserve">48 </w:t>
      </w:r>
      <w:r>
        <w:t>et qu</w:t>
      </w:r>
      <w:r w:rsidR="00912E90">
        <w:t>’</w:t>
      </w:r>
      <w:r>
        <w:t>en cas de besoin une telle exemption pourrait être introduite de</w:t>
      </w:r>
      <w:r w:rsidR="00057728">
        <w:t> </w:t>
      </w:r>
      <w:r>
        <w:t>manière explicite dans les dé</w:t>
      </w:r>
      <w:r w:rsidR="00057728">
        <w:t>finitions de ce même Règlement.</w:t>
      </w:r>
    </w:p>
    <w:p w:rsidR="00DF0AA3" w:rsidRPr="00EB0EC3" w:rsidRDefault="00DF0AA3" w:rsidP="00057728">
      <w:pPr>
        <w:pStyle w:val="ParNoG"/>
      </w:pPr>
      <w:r w:rsidRPr="00432327">
        <w:t xml:space="preserve">Le Groupe de travail a pris note de la demande </w:t>
      </w:r>
      <w:r>
        <w:t>du WP.29 de compléter une liste d</w:t>
      </w:r>
      <w:r w:rsidR="00912E90">
        <w:t>’</w:t>
      </w:r>
      <w:r>
        <w:t xml:space="preserve">acronymes/abréviations </w:t>
      </w:r>
      <w:r w:rsidRPr="00432327">
        <w:t xml:space="preserve">(WP.29-165-17) </w:t>
      </w:r>
      <w:r>
        <w:t>pour y introduire ceux qui sont utilisés dans les Règlements en matière d</w:t>
      </w:r>
      <w:r w:rsidR="00912E90">
        <w:t>’</w:t>
      </w:r>
      <w:r w:rsidRPr="00432327">
        <w:t>éclairage et de signalisation lumineuse</w:t>
      </w:r>
      <w:r>
        <w:t>.</w:t>
      </w:r>
      <w:r w:rsidRPr="00432327">
        <w:t xml:space="preserve"> </w:t>
      </w:r>
      <w:r w:rsidRPr="00EB0EC3">
        <w:t>L</w:t>
      </w:r>
      <w:r w:rsidR="00912E90">
        <w:t>’</w:t>
      </w:r>
      <w:r w:rsidRPr="00EB0EC3">
        <w:t>expert des Pays-Bas a proposé d</w:t>
      </w:r>
      <w:r w:rsidR="00912E90">
        <w:t>’</w:t>
      </w:r>
      <w:r w:rsidRPr="00EB0EC3">
        <w:t>aider le secrétariat à cet égard. L</w:t>
      </w:r>
      <w:r>
        <w:t>e GRE a également noté que l</w:t>
      </w:r>
      <w:r w:rsidR="00912E90">
        <w:t>’</w:t>
      </w:r>
      <w:r>
        <w:t xml:space="preserve">acronyme </w:t>
      </w:r>
      <w:r w:rsidR="00A47341">
        <w:t>«</w:t>
      </w:r>
      <w:r>
        <w:t>SRSEE</w:t>
      </w:r>
      <w:r w:rsidR="00A47341">
        <w:t>»</w:t>
      </w:r>
      <w:r>
        <w:t xml:space="preserve"> et sa définition dans le Règlement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t> </w:t>
      </w:r>
      <w:r>
        <w:t>10 pourraient d</w:t>
      </w:r>
      <w:r w:rsidR="00912E90">
        <w:t>evoir être corrigés.</w:t>
      </w:r>
    </w:p>
    <w:p w:rsidR="00DF0AA3" w:rsidRPr="00EB0EC3" w:rsidRDefault="00DF0AA3" w:rsidP="00057728">
      <w:pPr>
        <w:pStyle w:val="ParNoG"/>
      </w:pPr>
      <w:r w:rsidRPr="00EB0EC3">
        <w:t>Le secrétariat a proposé de</w:t>
      </w:r>
      <w:r>
        <w:t xml:space="preserve"> corriger une erreur introduite par le complément</w:t>
      </w:r>
      <w:r w:rsidR="00057728">
        <w:t> 8</w:t>
      </w:r>
      <w:r>
        <w:t xml:space="preserve"> à la série</w:t>
      </w:r>
      <w:r w:rsidR="00057728">
        <w:t> </w:t>
      </w:r>
      <w:r>
        <w:t>01 d</w:t>
      </w:r>
      <w:r w:rsidR="00912E90">
        <w:t>’</w:t>
      </w:r>
      <w:r>
        <w:t xml:space="preserve">amendements au Règlement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t> </w:t>
      </w:r>
      <w:r>
        <w:t xml:space="preserve">74 </w:t>
      </w:r>
      <w:r w:rsidRPr="00EB0EC3">
        <w:t xml:space="preserve">(GRE-73-10). Le Groupe de travail a </w:t>
      </w:r>
      <w:r>
        <w:t>adopté la correction proposée telle qu</w:t>
      </w:r>
      <w:r w:rsidR="00912E90">
        <w:t>’</w:t>
      </w:r>
      <w:r>
        <w:t>elle figure à l</w:t>
      </w:r>
      <w:r w:rsidR="00912E90">
        <w:t>’</w:t>
      </w:r>
      <w:r>
        <w:t>annexe</w:t>
      </w:r>
      <w:r w:rsidR="00057728">
        <w:t> </w:t>
      </w:r>
      <w:r>
        <w:t xml:space="preserve">II, demandé au secrétariat de déterminer le type de document dans lequel elle devrait figurer </w:t>
      </w:r>
      <w:r w:rsidRPr="00EB0EC3">
        <w:t xml:space="preserve">(complément ou rectificatif) </w:t>
      </w:r>
      <w:r>
        <w:t>et de</w:t>
      </w:r>
      <w:r w:rsidR="00057728">
        <w:t> </w:t>
      </w:r>
      <w:r>
        <w:t>la</w:t>
      </w:r>
      <w:r w:rsidR="00057728">
        <w:t> </w:t>
      </w:r>
      <w:r>
        <w:t xml:space="preserve">soumettre au </w:t>
      </w:r>
      <w:r w:rsidRPr="00EB0EC3">
        <w:t xml:space="preserve">WP.29 </w:t>
      </w:r>
      <w:r>
        <w:t>et à l</w:t>
      </w:r>
      <w:r w:rsidR="00912E90">
        <w:t>’</w:t>
      </w:r>
      <w:r w:rsidRPr="00EB0EC3">
        <w:t xml:space="preserve">AC.1 </w:t>
      </w:r>
      <w:r>
        <w:t>pour examen et mise aux voix lors de leur session de</w:t>
      </w:r>
      <w:r w:rsidR="00057728">
        <w:t> </w:t>
      </w:r>
      <w:r>
        <w:t>juin 2015.</w:t>
      </w:r>
    </w:p>
    <w:p w:rsidR="00DF0AA3" w:rsidRPr="00BB3B1D" w:rsidRDefault="00DF0AA3" w:rsidP="00057728">
      <w:pPr>
        <w:pStyle w:val="ParNoG"/>
      </w:pPr>
      <w:r w:rsidRPr="00763818">
        <w:lastRenderedPageBreak/>
        <w:t>Au nom de l</w:t>
      </w:r>
      <w:r w:rsidR="00912E90">
        <w:t>’</w:t>
      </w:r>
      <w:r w:rsidRPr="00763818">
        <w:t>équipe spéciale des témoins de fonctionnement</w:t>
      </w:r>
      <w:r>
        <w:t>, l</w:t>
      </w:r>
      <w:r w:rsidR="00912E90">
        <w:t>’</w:t>
      </w:r>
      <w:r>
        <w:t xml:space="preserve">expert des Pays-Bas a proposé des amendements aux Règlements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rPr>
          <w:vertAlign w:val="superscript"/>
        </w:rPr>
        <w:t>s</w:t>
      </w:r>
      <w:r w:rsidR="00A47341">
        <w:t> </w:t>
      </w:r>
      <w:r w:rsidRPr="00763818">
        <w:t xml:space="preserve">7, 87 et 48 </w:t>
      </w:r>
      <w:r>
        <w:t xml:space="preserve">concernant les témoins qui indiquent un défaut de fonctionnement </w:t>
      </w:r>
      <w:r w:rsidRPr="00763818">
        <w:t xml:space="preserve">(GRE-73-11). </w:t>
      </w:r>
      <w:r w:rsidRPr="00BB3B1D">
        <w:t>En vue d</w:t>
      </w:r>
      <w:r w:rsidR="00912E90">
        <w:t>’</w:t>
      </w:r>
      <w:r w:rsidRPr="00BB3B1D">
        <w:t>établir un document officiel pour la prochaine session, il a invité les experts du GRE à envoyer leurs observations p</w:t>
      </w:r>
      <w:r>
        <w:t>a</w:t>
      </w:r>
      <w:r w:rsidRPr="00BB3B1D">
        <w:t>r</w:t>
      </w:r>
      <w:r w:rsidR="00057728">
        <w:t> </w:t>
      </w:r>
      <w:r w:rsidRPr="00BB3B1D">
        <w:t>courrier électronique.</w:t>
      </w:r>
    </w:p>
    <w:p w:rsidR="00DF0AA3" w:rsidRPr="007F06B5" w:rsidRDefault="00DF0AA3" w:rsidP="00057728">
      <w:pPr>
        <w:pStyle w:val="ParNoG"/>
      </w:pPr>
      <w:r w:rsidRPr="00BB3B1D">
        <w:t>L</w:t>
      </w:r>
      <w:r w:rsidR="00912E90">
        <w:t>’</w:t>
      </w:r>
      <w:r w:rsidRPr="00BB3B1D">
        <w:t>expert de l</w:t>
      </w:r>
      <w:r w:rsidR="00912E90">
        <w:t>’</w:t>
      </w:r>
      <w:r w:rsidRPr="00BB3B1D">
        <w:t>IMMA a proposé de modifier les dispositions relatives à</w:t>
      </w:r>
      <w:r w:rsidRPr="007F06B5">
        <w:t xml:space="preserve"> l</w:t>
      </w:r>
      <w:r w:rsidR="00912E90">
        <w:t>’</w:t>
      </w:r>
      <w:r w:rsidRPr="007F06B5">
        <w:t>angle d</w:t>
      </w:r>
      <w:r w:rsidR="00912E90">
        <w:t>’</w:t>
      </w:r>
      <w:r w:rsidRPr="007F06B5">
        <w:t>incidence</w:t>
      </w:r>
      <w:r>
        <w:t xml:space="preserve"> dans l</w:t>
      </w:r>
      <w:r w:rsidR="00912E90">
        <w:t>’</w:t>
      </w:r>
      <w:r>
        <w:t>annexe</w:t>
      </w:r>
      <w:r w:rsidR="00057728">
        <w:t> </w:t>
      </w:r>
      <w:r>
        <w:t xml:space="preserve">5 du Règlement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t> </w:t>
      </w:r>
      <w:r>
        <w:t xml:space="preserve">50 </w:t>
      </w:r>
      <w:r w:rsidRPr="007F06B5">
        <w:t xml:space="preserve">(GRE-73-16). Le Groupe de travail a </w:t>
      </w:r>
      <w:r>
        <w:t xml:space="preserve">estimé que cette question devait être examinée en même temps que de possibles modifications du Règlement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t> </w:t>
      </w:r>
      <w:r w:rsidRPr="007F06B5">
        <w:t xml:space="preserve">4 et il a invité </w:t>
      </w:r>
      <w:r>
        <w:t xml:space="preserve">le </w:t>
      </w:r>
      <w:r w:rsidRPr="007F06B5">
        <w:t xml:space="preserve">CLEPA </w:t>
      </w:r>
      <w:r>
        <w:t>à se pencher sur cette question. L</w:t>
      </w:r>
      <w:r w:rsidR="00912E90">
        <w:t>’</w:t>
      </w:r>
      <w:r w:rsidRPr="007F06B5">
        <w:t>IMMA a été priée de soumettre un document of</w:t>
      </w:r>
      <w:r w:rsidR="00912E90">
        <w:t>ficial à la prochaine session.</w:t>
      </w:r>
    </w:p>
    <w:p w:rsidR="00DF0AA3" w:rsidRPr="00742FC2" w:rsidRDefault="00DF0AA3" w:rsidP="00057728">
      <w:pPr>
        <w:pStyle w:val="HChG"/>
      </w:pPr>
      <w:r w:rsidRPr="007F06B5">
        <w:tab/>
      </w:r>
      <w:r w:rsidRPr="00742FC2">
        <w:t>XI.</w:t>
      </w:r>
      <w:r w:rsidRPr="00742FC2">
        <w:tab/>
        <w:t>Orientation des futurs travaux du GRE</w:t>
      </w:r>
      <w:r w:rsidR="00057728">
        <w:br/>
      </w:r>
      <w:r w:rsidRPr="00742FC2">
        <w:t xml:space="preserve">(point </w:t>
      </w:r>
      <w:r>
        <w:t>10</w:t>
      </w:r>
      <w:r w:rsidRPr="00742FC2">
        <w:t xml:space="preserve"> de l</w:t>
      </w:r>
      <w:r w:rsidR="00912E90">
        <w:t>’</w:t>
      </w:r>
      <w:r w:rsidR="00057728">
        <w:t>ordre du jour)</w:t>
      </w:r>
    </w:p>
    <w:p w:rsidR="00DF0AA3" w:rsidRPr="00876BBA" w:rsidRDefault="00DF0AA3" w:rsidP="00057728">
      <w:pPr>
        <w:pStyle w:val="H1G"/>
      </w:pPr>
      <w:r w:rsidRPr="00742FC2">
        <w:tab/>
      </w:r>
      <w:r w:rsidRPr="00876BBA">
        <w:t>A.</w:t>
      </w:r>
      <w:r w:rsidRPr="00876BBA">
        <w:tab/>
        <w:t>Tâches du GRE</w:t>
      </w:r>
    </w:p>
    <w:p w:rsidR="00DF0AA3" w:rsidRPr="00876BBA" w:rsidRDefault="00057728" w:rsidP="006C3EC5">
      <w:pPr>
        <w:pStyle w:val="SingleTxtG"/>
        <w:ind w:left="2552" w:hanging="1418"/>
        <w:jc w:val="left"/>
        <w:rPr>
          <w:szCs w:val="24"/>
        </w:rPr>
      </w:pPr>
      <w:r>
        <w:rPr>
          <w:i/>
          <w:color w:val="000000"/>
          <w:szCs w:val="24"/>
        </w:rPr>
        <w:t>Document</w:t>
      </w:r>
      <w:r w:rsidRPr="00057728">
        <w:rPr>
          <w:color w:val="000000"/>
          <w:szCs w:val="24"/>
        </w:rPr>
        <w:t>:</w:t>
      </w:r>
      <w:r w:rsidR="00DF0AA3" w:rsidRPr="00876BBA">
        <w:rPr>
          <w:b/>
          <w:color w:val="000000"/>
          <w:szCs w:val="24"/>
        </w:rPr>
        <w:tab/>
      </w:r>
      <w:r w:rsidR="00DF0AA3" w:rsidRPr="00876BBA">
        <w:rPr>
          <w:szCs w:val="24"/>
        </w:rPr>
        <w:t>ECE/TRANS/WP.29/2012/119</w:t>
      </w:r>
      <w:r>
        <w:rPr>
          <w:szCs w:val="24"/>
        </w:rPr>
        <w:t>.</w:t>
      </w:r>
    </w:p>
    <w:p w:rsidR="00DF0AA3" w:rsidRPr="00876BBA" w:rsidRDefault="00DF0AA3" w:rsidP="00057728">
      <w:pPr>
        <w:pStyle w:val="ParNoG"/>
        <w:rPr>
          <w:color w:val="000000"/>
        </w:rPr>
      </w:pPr>
      <w:r w:rsidRPr="007F06B5">
        <w:t>Le Groupe de travail a examiné ce point en même temps que le point</w:t>
      </w:r>
      <w:r w:rsidR="006C3EC5">
        <w:t> </w:t>
      </w:r>
      <w:r>
        <w:t>4 de l</w:t>
      </w:r>
      <w:r w:rsidR="00912E90">
        <w:t>’</w:t>
      </w:r>
      <w:r>
        <w:t>ordre du</w:t>
      </w:r>
      <w:r w:rsidR="00A47341">
        <w:t> </w:t>
      </w:r>
      <w:r>
        <w:t>jour</w:t>
      </w:r>
      <w:r w:rsidRPr="007F06B5">
        <w:t xml:space="preserve"> (par.</w:t>
      </w:r>
      <w:r w:rsidR="006C3EC5">
        <w:t> </w:t>
      </w:r>
      <w:r w:rsidRPr="00876BBA">
        <w:t>7</w:t>
      </w:r>
      <w:r w:rsidR="006C3EC5">
        <w:t xml:space="preserve"> à </w:t>
      </w:r>
      <w:r w:rsidRPr="00876BBA">
        <w:t xml:space="preserve">10 </w:t>
      </w:r>
      <w:r>
        <w:t>du présent rapport</w:t>
      </w:r>
      <w:r w:rsidR="006C3EC5">
        <w:t>).</w:t>
      </w:r>
    </w:p>
    <w:p w:rsidR="00DF0AA3" w:rsidRPr="00687D98" w:rsidRDefault="00DF0AA3" w:rsidP="006C3EC5">
      <w:pPr>
        <w:pStyle w:val="H1G"/>
      </w:pPr>
      <w:r w:rsidRPr="00876BBA">
        <w:tab/>
      </w:r>
      <w:r w:rsidRPr="00687D98">
        <w:t>B.</w:t>
      </w:r>
      <w:r w:rsidRPr="00687D98">
        <w:tab/>
      </w:r>
      <w:r w:rsidRPr="00321A20">
        <w:t>État d</w:t>
      </w:r>
      <w:r w:rsidR="00912E90">
        <w:t>’</w:t>
      </w:r>
      <w:r w:rsidRPr="00321A20">
        <w:t>avancement des travaux des équipes spéciales relevant du</w:t>
      </w:r>
      <w:r w:rsidR="006C3EC5">
        <w:t> </w:t>
      </w:r>
      <w:r w:rsidRPr="00321A20">
        <w:t xml:space="preserve">Groupe de travail </w:t>
      </w:r>
      <w:r w:rsidR="00A47341">
        <w:t>«</w:t>
      </w:r>
      <w:r w:rsidRPr="00321A20">
        <w:t>Bruxelles 1952</w:t>
      </w:r>
      <w:r w:rsidR="00A47341">
        <w:t>»</w:t>
      </w:r>
      <w:r w:rsidRPr="00321A20">
        <w:t xml:space="preserve"> (GTB)</w:t>
      </w:r>
      <w:r w:rsidRPr="00687D98">
        <w:t xml:space="preserve"> </w:t>
      </w:r>
    </w:p>
    <w:p w:rsidR="00DF0AA3" w:rsidRPr="00742FC2" w:rsidRDefault="00DF0AA3" w:rsidP="006C3EC5">
      <w:pPr>
        <w:kinsoku/>
        <w:overflowPunct/>
        <w:autoSpaceDE/>
        <w:autoSpaceDN/>
        <w:adjustRightInd/>
        <w:snapToGrid/>
        <w:spacing w:after="120"/>
        <w:ind w:left="2552" w:hanging="1418"/>
        <w:rPr>
          <w:szCs w:val="24"/>
          <w:lang w:val="en-GB"/>
        </w:rPr>
      </w:pPr>
      <w:r w:rsidRPr="00742FC2">
        <w:rPr>
          <w:i/>
          <w:szCs w:val="24"/>
          <w:lang w:val="en-GB"/>
        </w:rPr>
        <w:t>Document</w:t>
      </w:r>
      <w:r w:rsidRPr="005C71FA">
        <w:rPr>
          <w:szCs w:val="24"/>
          <w:lang w:val="en-GB"/>
        </w:rPr>
        <w:t>:</w:t>
      </w:r>
      <w:r w:rsidRPr="00742FC2">
        <w:rPr>
          <w:szCs w:val="24"/>
          <w:lang w:val="en-GB"/>
        </w:rPr>
        <w:tab/>
      </w:r>
      <w:r>
        <w:rPr>
          <w:szCs w:val="24"/>
          <w:lang w:val="en-GB"/>
        </w:rPr>
        <w:t>D</w:t>
      </w:r>
      <w:r w:rsidRPr="00742FC2">
        <w:rPr>
          <w:szCs w:val="24"/>
          <w:lang w:val="en-GB"/>
        </w:rPr>
        <w:t xml:space="preserve">ocument </w:t>
      </w:r>
      <w:r>
        <w:rPr>
          <w:szCs w:val="24"/>
          <w:lang w:val="en-GB"/>
        </w:rPr>
        <w:t xml:space="preserve">informel </w:t>
      </w:r>
      <w:r w:rsidRPr="00742FC2">
        <w:rPr>
          <w:szCs w:val="24"/>
          <w:lang w:val="en-GB"/>
        </w:rPr>
        <w:t>GRE-73-24</w:t>
      </w:r>
      <w:r w:rsidR="006C3EC5">
        <w:rPr>
          <w:szCs w:val="24"/>
          <w:lang w:val="en-GB"/>
        </w:rPr>
        <w:t>.</w:t>
      </w:r>
    </w:p>
    <w:p w:rsidR="00DF0AA3" w:rsidRPr="00321A20" w:rsidRDefault="00DF0AA3" w:rsidP="006C3EC5">
      <w:pPr>
        <w:pStyle w:val="ParNoG"/>
      </w:pPr>
      <w:r w:rsidRPr="007F06B5">
        <w:t>Le Groupe de travail a pris note d</w:t>
      </w:r>
      <w:r w:rsidR="00912E90">
        <w:t>’</w:t>
      </w:r>
      <w:r>
        <w:t xml:space="preserve">un rapport </w:t>
      </w:r>
      <w:r w:rsidRPr="007E4E42">
        <w:t>sur l</w:t>
      </w:r>
      <w:r w:rsidR="00912E90">
        <w:t>’</w:t>
      </w:r>
      <w:r w:rsidRPr="007E4E42">
        <w:t>état d</w:t>
      </w:r>
      <w:r w:rsidR="00912E90">
        <w:t>’</w:t>
      </w:r>
      <w:r w:rsidRPr="007E4E42">
        <w:t xml:space="preserve">avancement des travaux </w:t>
      </w:r>
      <w:r>
        <w:t xml:space="preserve">du groupe de travail du GTB sur les sources lumineuses </w:t>
      </w:r>
      <w:r w:rsidRPr="007E4E42">
        <w:t>(GRE-73-24), notamment des résultats de</w:t>
      </w:r>
      <w:r>
        <w:t xml:space="preserve"> l</w:t>
      </w:r>
      <w:r w:rsidR="00912E90">
        <w:t>’</w:t>
      </w:r>
      <w:r>
        <w:t xml:space="preserve">étude de faisabilité du GTB consacrée aux </w:t>
      </w:r>
      <w:r w:rsidRPr="007E4E42">
        <w:t xml:space="preserve">DEL </w:t>
      </w:r>
      <w:r>
        <w:t xml:space="preserve">installées après coup. Quelques exemples </w:t>
      </w:r>
      <w:r w:rsidRPr="00321A20">
        <w:t xml:space="preserve">de </w:t>
      </w:r>
      <w:r>
        <w:t xml:space="preserve">dispositifs </w:t>
      </w:r>
      <w:r w:rsidRPr="00321A20">
        <w:t xml:space="preserve">DEL </w:t>
      </w:r>
      <w:r>
        <w:t xml:space="preserve">montés </w:t>
      </w:r>
      <w:r w:rsidRPr="00321A20">
        <w:t>après coup ont été présentés pour démont</w:t>
      </w:r>
      <w:r w:rsidR="00A47341">
        <w:t>rer les critères d</w:t>
      </w:r>
      <w:r w:rsidR="00912E90">
        <w:t>’</w:t>
      </w:r>
      <w:r w:rsidR="00A47341">
        <w:t>équivalence.</w:t>
      </w:r>
    </w:p>
    <w:p w:rsidR="00DF0AA3" w:rsidRPr="00742FC2" w:rsidRDefault="00DF0AA3" w:rsidP="006C3EC5">
      <w:pPr>
        <w:pStyle w:val="HChG"/>
      </w:pPr>
      <w:r w:rsidRPr="00321A20">
        <w:tab/>
      </w:r>
      <w:r w:rsidRPr="00742FC2">
        <w:t>XII.</w:t>
      </w:r>
      <w:r w:rsidRPr="00742FC2">
        <w:tab/>
        <w:t xml:space="preserve">Ordre du </w:t>
      </w:r>
      <w:r w:rsidRPr="006C3EC5">
        <w:t>jour</w:t>
      </w:r>
      <w:r w:rsidRPr="00742FC2">
        <w:t xml:space="preserve"> provisoire de la prochaine session</w:t>
      </w:r>
      <w:r w:rsidR="006C3EC5">
        <w:br/>
      </w:r>
      <w:r w:rsidRPr="00742FC2">
        <w:t>(point 11 de l</w:t>
      </w:r>
      <w:r w:rsidR="00912E90">
        <w:t>’</w:t>
      </w:r>
      <w:r w:rsidR="006C3EC5">
        <w:t>ordre du jour)</w:t>
      </w:r>
    </w:p>
    <w:p w:rsidR="00DF0AA3" w:rsidRPr="00A15C15" w:rsidRDefault="00DF0AA3" w:rsidP="006C3EC5">
      <w:pPr>
        <w:pStyle w:val="ParNoG"/>
      </w:pPr>
      <w:r w:rsidRPr="007E4E42">
        <w:t>Le Groupe de travail a d</w:t>
      </w:r>
      <w:r>
        <w:t>écidé de conserver la même structure pour l</w:t>
      </w:r>
      <w:r w:rsidR="00912E90">
        <w:t>’</w:t>
      </w:r>
      <w:r>
        <w:t>ordre du jour provisoire de la prochaine session, sous réserve de l</w:t>
      </w:r>
      <w:r w:rsidR="00912E90">
        <w:t>’</w:t>
      </w:r>
      <w:r>
        <w:t>inclusion d</w:t>
      </w:r>
      <w:r w:rsidR="00912E90">
        <w:t>’</w:t>
      </w:r>
      <w:r>
        <w:t xml:space="preserve">un nouveau point intitulé </w:t>
      </w:r>
      <w:r w:rsidR="00A47341">
        <w:t>«</w:t>
      </w:r>
      <w:r>
        <w:t>Propositions d</w:t>
      </w:r>
      <w:r w:rsidR="00912E90">
        <w:t>’</w:t>
      </w:r>
      <w:r>
        <w:t>amendements en suspens</w:t>
      </w:r>
      <w:r w:rsidR="00A47341">
        <w:t>»</w:t>
      </w:r>
      <w:r>
        <w:t xml:space="preserve">. </w:t>
      </w:r>
      <w:r w:rsidRPr="00A15C15">
        <w:t>S</w:t>
      </w:r>
      <w:r w:rsidR="00912E90">
        <w:t>’</w:t>
      </w:r>
      <w:r w:rsidRPr="00A15C15">
        <w:t>agissant de l</w:t>
      </w:r>
      <w:r w:rsidR="00912E90">
        <w:t>’</w:t>
      </w:r>
      <w:r w:rsidRPr="00A15C15">
        <w:t>Accord de 1958, l</w:t>
      </w:r>
      <w:r w:rsidR="00912E90">
        <w:t>’</w:t>
      </w:r>
      <w:r w:rsidRPr="00A15C15">
        <w:t>expert de l</w:t>
      </w:r>
      <w:r w:rsidR="00912E90">
        <w:t>’</w:t>
      </w:r>
      <w:r w:rsidRPr="00A15C15">
        <w:t>Italie a demandé qu</w:t>
      </w:r>
      <w:r w:rsidR="00912E90">
        <w:t>’</w:t>
      </w:r>
      <w:r w:rsidRPr="00A15C15">
        <w:t xml:space="preserve">un </w:t>
      </w:r>
      <w:r>
        <w:t xml:space="preserve">alinéa consacré aux Règlements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rPr>
          <w:vertAlign w:val="superscript"/>
        </w:rPr>
        <w:t>s</w:t>
      </w:r>
      <w:r w:rsidR="00A47341">
        <w:t> </w:t>
      </w:r>
      <w:r w:rsidRPr="00A15C15">
        <w:t xml:space="preserve">53 et 74 </w:t>
      </w:r>
      <w:r w:rsidR="00A47341">
        <w:t>soit inclus à l</w:t>
      </w:r>
      <w:r w:rsidR="00912E90">
        <w:t>’</w:t>
      </w:r>
      <w:r w:rsidR="00A47341">
        <w:t>ordre du jour.</w:t>
      </w:r>
    </w:p>
    <w:p w:rsidR="00DF0AA3" w:rsidRPr="00A15C15" w:rsidRDefault="006C3EC5" w:rsidP="006C3EC5">
      <w:pPr>
        <w:pStyle w:val="HChG"/>
      </w:pPr>
      <w:bookmarkStart w:id="11" w:name="_Toc360526929"/>
      <w:bookmarkStart w:id="12" w:name="_Toc369772239"/>
      <w:r>
        <w:br w:type="page"/>
      </w:r>
      <w:r w:rsidR="00DF0AA3" w:rsidRPr="006C3EC5">
        <w:lastRenderedPageBreak/>
        <w:t>Annexe</w:t>
      </w:r>
      <w:r w:rsidR="00DF0AA3" w:rsidRPr="00A15C15">
        <w:t xml:space="preserve"> I</w:t>
      </w:r>
      <w:bookmarkEnd w:id="11"/>
      <w:bookmarkEnd w:id="12"/>
    </w:p>
    <w:p w:rsidR="00DF0AA3" w:rsidRPr="00A15C15" w:rsidRDefault="00DF0AA3" w:rsidP="003946E5">
      <w:pPr>
        <w:pStyle w:val="HChG"/>
      </w:pPr>
      <w:r w:rsidRPr="00A15C15">
        <w:tab/>
      </w:r>
      <w:r w:rsidRPr="00A15C15">
        <w:tab/>
      </w:r>
      <w:bookmarkStart w:id="13" w:name="_Toc369772240"/>
      <w:r w:rsidRPr="00A15C15">
        <w:t>Liste des documents informels examinés pendant la session</w:t>
      </w:r>
      <w:bookmarkEnd w:id="13"/>
    </w:p>
    <w:p w:rsidR="00DF0AA3" w:rsidRPr="003946E5" w:rsidRDefault="00DF0AA3" w:rsidP="003946E5">
      <w:pPr>
        <w:pStyle w:val="SingleTxtG"/>
        <w:spacing w:before="80" w:after="80"/>
        <w:rPr>
          <w:i/>
          <w:sz w:val="16"/>
          <w:szCs w:val="16"/>
          <w:lang w:val="en-GB"/>
        </w:rPr>
      </w:pPr>
      <w:r>
        <w:rPr>
          <w:lang w:val="en-GB"/>
        </w:rPr>
        <w:t xml:space="preserve">Documents informels </w:t>
      </w:r>
      <w:r w:rsidRPr="00A15C15">
        <w:rPr>
          <w:lang w:val="en-GB"/>
        </w:rPr>
        <w:t>GRE-73-…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5975"/>
        <w:gridCol w:w="642"/>
      </w:tblGrid>
      <w:tr w:rsidR="00DF0AA3" w:rsidRPr="00C42C80" w:rsidTr="00C42C80">
        <w:trPr>
          <w:tblHeader/>
        </w:trPr>
        <w:tc>
          <w:tcPr>
            <w:tcW w:w="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F0AA3" w:rsidRPr="00C42C80" w:rsidRDefault="00DF0AA3" w:rsidP="00C42C80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C42C80">
              <w:rPr>
                <w:i/>
                <w:sz w:val="16"/>
                <w:lang w:val="en-GB"/>
              </w:rPr>
              <w:t>N</w:t>
            </w:r>
            <w:r w:rsidRPr="005C71FA">
              <w:rPr>
                <w:i/>
                <w:sz w:val="16"/>
                <w:vertAlign w:val="superscript"/>
                <w:lang w:val="en-GB"/>
              </w:rPr>
              <w:t>o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F0AA3" w:rsidRPr="00C42C80" w:rsidRDefault="00DF0AA3" w:rsidP="00C42C80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C42C80">
              <w:rPr>
                <w:i/>
                <w:sz w:val="16"/>
                <w:lang w:val="en-GB"/>
              </w:rPr>
              <w:t>(Auteur) Titre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F0AA3" w:rsidRPr="00C42C80" w:rsidRDefault="00DF0AA3" w:rsidP="00C42C80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C42C80">
              <w:rPr>
                <w:i/>
                <w:sz w:val="16"/>
                <w:lang w:val="en-GB"/>
              </w:rPr>
              <w:t>Suite donnée</w:t>
            </w:r>
          </w:p>
        </w:tc>
      </w:tr>
      <w:tr w:rsidR="00C42C80" w:rsidRPr="00C42C80" w:rsidTr="00C42C80">
        <w:trPr>
          <w:trHeight w:hRule="exact" w:val="113"/>
          <w:tblHeader/>
        </w:trPr>
        <w:tc>
          <w:tcPr>
            <w:tcW w:w="753" w:type="dxa"/>
            <w:tcBorders>
              <w:top w:val="single" w:sz="12" w:space="0" w:color="auto"/>
            </w:tcBorders>
            <w:shd w:val="clear" w:color="auto" w:fill="auto"/>
          </w:tcPr>
          <w:p w:rsidR="00C42C80" w:rsidRPr="00C42C80" w:rsidRDefault="00C42C80" w:rsidP="00C42C80">
            <w:pPr>
              <w:spacing w:before="40" w:after="120"/>
              <w:ind w:right="113"/>
              <w:rPr>
                <w:lang w:val="en-GB"/>
              </w:rPr>
            </w:pPr>
          </w:p>
        </w:tc>
        <w:tc>
          <w:tcPr>
            <w:tcW w:w="5975" w:type="dxa"/>
            <w:tcBorders>
              <w:top w:val="single" w:sz="12" w:space="0" w:color="auto"/>
            </w:tcBorders>
            <w:shd w:val="clear" w:color="auto" w:fill="auto"/>
          </w:tcPr>
          <w:p w:rsidR="00C42C80" w:rsidRPr="00C42C80" w:rsidRDefault="00C42C80" w:rsidP="00C42C80">
            <w:pPr>
              <w:spacing w:before="40" w:after="120"/>
              <w:ind w:right="113"/>
              <w:rPr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auto"/>
          </w:tcPr>
          <w:p w:rsidR="00C42C80" w:rsidRPr="00C42C80" w:rsidRDefault="00C42C80" w:rsidP="00C42C80">
            <w:pPr>
              <w:spacing w:before="40" w:after="120"/>
              <w:ind w:right="113"/>
              <w:rPr>
                <w:lang w:val="en-GB"/>
              </w:rPr>
            </w:pP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1-Rev.1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(Secrétariat) Updated provisional age</w:t>
            </w:r>
            <w:r w:rsidR="00F6145B" w:rsidRPr="00C42C80">
              <w:rPr>
                <w:szCs w:val="18"/>
                <w:lang w:val="en-GB"/>
              </w:rPr>
              <w:t>nda for the 73rd session of GRE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b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2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(AVLI) Proposal for draft amendments to Regulation No. 86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c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3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(Groupe informel de la simplification des Règlements relatifs à l</w:t>
            </w:r>
            <w:r w:rsidR="00912E90" w:rsidRPr="00C42C80">
              <w:rPr>
                <w:szCs w:val="18"/>
                <w:lang w:val="en-GB"/>
              </w:rPr>
              <w:t>’</w:t>
            </w:r>
            <w:r w:rsidRPr="00C42C80">
              <w:rPr>
                <w:szCs w:val="18"/>
                <w:lang w:val="en-GB"/>
              </w:rPr>
              <w:t xml:space="preserve">éclairage et à la signalisation lumineuse)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Proposal for draft amendments to Regulation No. 48 based on the concept of using a new Part II as a </w:t>
            </w:r>
            <w:r w:rsidR="00F6145B" w:rsidRPr="00C42C80">
              <w:rPr>
                <w:szCs w:val="18"/>
                <w:lang w:val="en-GB"/>
              </w:rPr>
              <w:t>«</w:t>
            </w:r>
            <w:r w:rsidRPr="00C42C80">
              <w:rPr>
                <w:szCs w:val="18"/>
                <w:lang w:val="en-GB"/>
              </w:rPr>
              <w:t>Horizontal Reference Document</w:t>
            </w:r>
            <w:r w:rsidR="00F6145B" w:rsidRPr="00C42C80">
              <w:rPr>
                <w:szCs w:val="18"/>
                <w:lang w:val="en-GB"/>
              </w:rPr>
              <w:t>»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c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4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EB42B6">
            <w:pPr>
              <w:spacing w:before="40" w:after="120"/>
              <w:ind w:right="113"/>
              <w:rPr>
                <w:szCs w:val="18"/>
              </w:rPr>
            </w:pPr>
            <w:r w:rsidRPr="00C42C80">
              <w:rPr>
                <w:szCs w:val="18"/>
              </w:rPr>
              <w:t>(Groupe informel de la simplification des Règlements relatifs à l</w:t>
            </w:r>
            <w:r w:rsidR="00912E90" w:rsidRPr="00C42C80">
              <w:rPr>
                <w:szCs w:val="18"/>
              </w:rPr>
              <w:t>’</w:t>
            </w:r>
            <w:r w:rsidRPr="00C42C80">
              <w:rPr>
                <w:szCs w:val="18"/>
              </w:rPr>
              <w:t xml:space="preserve">éclairage et à la signalisation lumineuse) </w:t>
            </w:r>
            <w:r w:rsidR="00EB42B6">
              <w:rPr>
                <w:szCs w:val="18"/>
              </w:rPr>
              <w:t>−</w:t>
            </w:r>
            <w:r w:rsidRPr="00C42C80">
              <w:rPr>
                <w:szCs w:val="18"/>
              </w:rPr>
              <w:t xml:space="preserve"> Proposal for draft amendments to Regulation No. 7 based on a </w:t>
            </w:r>
            <w:r w:rsidR="00F6145B" w:rsidRPr="00C42C80">
              <w:rPr>
                <w:szCs w:val="18"/>
              </w:rPr>
              <w:t>«</w:t>
            </w:r>
            <w:r w:rsidRPr="00C42C80">
              <w:rPr>
                <w:szCs w:val="18"/>
              </w:rPr>
              <w:t>Horizontal Reference Document</w:t>
            </w:r>
            <w:r w:rsidR="00F6145B" w:rsidRPr="00C42C80">
              <w:rPr>
                <w:szCs w:val="18"/>
              </w:rPr>
              <w:t>»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c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5-Rev.1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</w:rPr>
            </w:pPr>
            <w:r w:rsidRPr="00C42C80">
              <w:rPr>
                <w:szCs w:val="18"/>
              </w:rPr>
              <w:t>(Groupe informel de la simplification des Règlements relatifs à l</w:t>
            </w:r>
            <w:r w:rsidR="00912E90" w:rsidRPr="00C42C80">
              <w:rPr>
                <w:szCs w:val="18"/>
              </w:rPr>
              <w:t>’</w:t>
            </w:r>
            <w:r w:rsidRPr="00C42C80">
              <w:rPr>
                <w:szCs w:val="18"/>
              </w:rPr>
              <w:t xml:space="preserve">éclairage et à la signalisation lumineuse) </w:t>
            </w:r>
            <w:r w:rsidR="00F6145B" w:rsidRPr="00C42C80">
              <w:rPr>
                <w:szCs w:val="18"/>
              </w:rPr>
              <w:t>−</w:t>
            </w:r>
            <w:r w:rsidRPr="00C42C80">
              <w:rPr>
                <w:szCs w:val="18"/>
              </w:rPr>
              <w:t xml:space="preserve"> Analysis and concept for simplification of lighting and</w:t>
            </w:r>
            <w:r w:rsidR="00F6145B" w:rsidRPr="00C42C80">
              <w:rPr>
                <w:szCs w:val="18"/>
              </w:rPr>
              <w:t xml:space="preserve"> light-signalling Regulations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d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6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(GTB et OICA)</w:t>
            </w:r>
            <w:r w:rsidR="00F6145B" w:rsidRPr="00C42C80">
              <w:rPr>
                <w:szCs w:val="18"/>
                <w:lang w:val="en-GB"/>
              </w:rPr>
              <w:t xml:space="preserve"> −</w:t>
            </w:r>
            <w:r w:rsidRPr="00C42C80">
              <w:rPr>
                <w:szCs w:val="18"/>
                <w:lang w:val="en-GB"/>
              </w:rPr>
              <w:t xml:space="preserve"> Proposal to introduce new criteria on the automatic levelling of headlamps based on the GTB glare and visibility studies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b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7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(Président) Running order of the provisional agenda of the 73rd session of GRE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a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8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(Secrétariat)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General information and WP.29 highlights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f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9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(Secrétariat)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Trailer mounted warning lights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f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10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(Secrétariat)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Proposal for Supplement 9 to the 01 series of amendments to Regulation No. 74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a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11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(TF-TT)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Proposal to amend the requirements of UN Regulations Nos. 7, 87 and 48 regarding tell-tale indicating a failure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c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12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(Pologne)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Revised proposal for a Supplement to Regulation No. 48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f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13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(Pologne)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Revised proposal for Supplement 5 to the 01 series of a</w:t>
            </w:r>
            <w:r w:rsidR="00F6145B" w:rsidRPr="00C42C80">
              <w:rPr>
                <w:szCs w:val="18"/>
                <w:lang w:val="en-GB"/>
              </w:rPr>
              <w:t>mendments to Regulation No. 119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f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14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(Allemagne)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Proposal for Supplement 6 to the 06 series of amendments to Regulation No. 48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d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15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(GTB)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Regulation No. 48: Rear direction indicator lamp and stop lamp separation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e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16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(IMMA)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Proposal for a Supplement to Regulation No. 50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c</w:t>
            </w:r>
          </w:p>
        </w:tc>
      </w:tr>
      <w:tr w:rsidR="00DF0AA3" w:rsidRPr="00C42C80" w:rsidTr="00C42C80">
        <w:trPr>
          <w:cantSplit/>
        </w:trPr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lastRenderedPageBreak/>
              <w:t>17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(Allemagne et Japon)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Proposal for the [07] series of amendments to</w:t>
            </w:r>
            <w:r w:rsidR="00C42C80">
              <w:rPr>
                <w:szCs w:val="18"/>
                <w:lang w:val="en-GB"/>
              </w:rPr>
              <w:t> </w:t>
            </w:r>
            <w:r w:rsidRPr="00C42C80">
              <w:rPr>
                <w:szCs w:val="18"/>
                <w:lang w:val="en-GB"/>
              </w:rPr>
              <w:t>Regulation No. 48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d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18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</w:rPr>
            </w:pPr>
            <w:r w:rsidRPr="00C42C80">
              <w:rPr>
                <w:szCs w:val="18"/>
              </w:rPr>
              <w:t xml:space="preserve">(Pologne) </w:t>
            </w:r>
            <w:r w:rsidR="00F6145B" w:rsidRPr="00C42C80">
              <w:rPr>
                <w:szCs w:val="18"/>
              </w:rPr>
              <w:t>−</w:t>
            </w:r>
            <w:r w:rsidRPr="00C42C80">
              <w:rPr>
                <w:szCs w:val="18"/>
              </w:rPr>
              <w:t xml:space="preserve"> Comments on ECE/TRANS/WP.29/GRE/2015/5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d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19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(Inde)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Comments on ECE/TRANS/WP.29/GRE/2015/6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f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20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</w:rPr>
            </w:pPr>
            <w:r w:rsidRPr="00C42C80">
              <w:rPr>
                <w:szCs w:val="18"/>
              </w:rPr>
              <w:t xml:space="preserve">(Fédération de Russie) </w:t>
            </w:r>
            <w:r w:rsidR="00F6145B" w:rsidRPr="00C42C80">
              <w:rPr>
                <w:szCs w:val="18"/>
              </w:rPr>
              <w:t>−</w:t>
            </w:r>
            <w:r w:rsidRPr="00C42C80">
              <w:rPr>
                <w:szCs w:val="18"/>
              </w:rPr>
              <w:t xml:space="preserve"> Comments on ECE/TRANS/WP.29/GRE/2014/41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d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21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(Pologne)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="00E443EB">
              <w:rPr>
                <w:szCs w:val="18"/>
                <w:lang w:val="en-GB"/>
              </w:rPr>
              <w:t xml:space="preserve"> </w:t>
            </w:r>
            <w:r w:rsidRPr="00C42C80">
              <w:rPr>
                <w:szCs w:val="18"/>
                <w:lang w:val="en-GB"/>
              </w:rPr>
              <w:t xml:space="preserve">Proposal for a Supplement to the 01 series of amendments to Regulation No. 112 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e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22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</w:rPr>
            </w:pPr>
            <w:r w:rsidRPr="00C42C80">
              <w:rPr>
                <w:szCs w:val="18"/>
              </w:rPr>
              <w:t>(Groupe informel de la simplification des Règlements relatifs à l</w:t>
            </w:r>
            <w:r w:rsidR="00912E90" w:rsidRPr="00C42C80">
              <w:rPr>
                <w:szCs w:val="18"/>
              </w:rPr>
              <w:t>’</w:t>
            </w:r>
            <w:r w:rsidRPr="00C42C80">
              <w:rPr>
                <w:szCs w:val="18"/>
              </w:rPr>
              <w:t xml:space="preserve">éclairage et à la signalisation lumineuse) </w:t>
            </w:r>
            <w:r w:rsidR="00F6145B" w:rsidRPr="00C42C80">
              <w:rPr>
                <w:szCs w:val="18"/>
              </w:rPr>
              <w:t>− Timeline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f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23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</w:rPr>
            </w:pPr>
            <w:r w:rsidRPr="00C42C80">
              <w:rPr>
                <w:szCs w:val="18"/>
              </w:rPr>
              <w:t>(Groupe informel de la simplification des Règlements relatifs à l</w:t>
            </w:r>
            <w:r w:rsidR="00912E90" w:rsidRPr="00C42C80">
              <w:rPr>
                <w:szCs w:val="18"/>
              </w:rPr>
              <w:t>’</w:t>
            </w:r>
            <w:r w:rsidRPr="00C42C80">
              <w:rPr>
                <w:szCs w:val="18"/>
              </w:rPr>
              <w:t xml:space="preserve">éclairage et à la signalisation lumineuse) </w:t>
            </w:r>
            <w:r w:rsidR="00F6145B" w:rsidRPr="00C42C80">
              <w:rPr>
                <w:szCs w:val="18"/>
              </w:rPr>
              <w:t>−</w:t>
            </w:r>
            <w:r w:rsidRPr="00C42C80">
              <w:rPr>
                <w:szCs w:val="18"/>
              </w:rPr>
              <w:t xml:space="preserve"> Simplification of Light Sources Regulations Nos. 37, 99, 128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f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24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(GTB)</w:t>
            </w:r>
            <w:r w:rsidR="00F6145B" w:rsidRPr="00C42C80">
              <w:rPr>
                <w:szCs w:val="18"/>
                <w:lang w:val="en-GB"/>
              </w:rPr>
              <w:t xml:space="preserve"> −</w:t>
            </w:r>
            <w:r w:rsidRPr="00C42C80">
              <w:rPr>
                <w:szCs w:val="18"/>
                <w:lang w:val="en-GB"/>
              </w:rPr>
              <w:t xml:space="preserve"> Activities of the GTB Working Group on Light Sources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f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25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(France)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Auto-levelling for LED Headlamps in Regulation No. 48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d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26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(France)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Conditions on the luminous flux of light sources in Regulations Nos. 112 and 123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e</w:t>
            </w:r>
          </w:p>
        </w:tc>
      </w:tr>
      <w:tr w:rsidR="00DF0AA3" w:rsidRPr="00C42C80" w:rsidTr="00C42C80">
        <w:tc>
          <w:tcPr>
            <w:tcW w:w="753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27</w:t>
            </w:r>
          </w:p>
        </w:tc>
        <w:tc>
          <w:tcPr>
            <w:tcW w:w="5975" w:type="dxa"/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 xml:space="preserve">(Pologne) </w:t>
            </w:r>
            <w:r w:rsidR="00F6145B" w:rsidRPr="00C42C80">
              <w:rPr>
                <w:szCs w:val="18"/>
                <w:lang w:val="en-GB"/>
              </w:rPr>
              <w:t>−</w:t>
            </w:r>
            <w:r w:rsidRPr="00C42C80">
              <w:rPr>
                <w:szCs w:val="18"/>
                <w:lang w:val="en-GB"/>
              </w:rPr>
              <w:t xml:space="preserve"> Side illuminating lamp</w:t>
            </w:r>
          </w:p>
        </w:tc>
        <w:tc>
          <w:tcPr>
            <w:tcW w:w="642" w:type="dxa"/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f</w:t>
            </w:r>
          </w:p>
        </w:tc>
      </w:tr>
      <w:tr w:rsidR="00DF0AA3" w:rsidRPr="00C42C80" w:rsidTr="00C42C80">
        <w:tc>
          <w:tcPr>
            <w:tcW w:w="753" w:type="dxa"/>
            <w:tcBorders>
              <w:bottom w:val="single" w:sz="12" w:space="0" w:color="auto"/>
            </w:tcBorders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  <w:lang w:val="en-GB"/>
              </w:rPr>
            </w:pPr>
            <w:r w:rsidRPr="00C42C80">
              <w:rPr>
                <w:szCs w:val="18"/>
                <w:lang w:val="en-GB"/>
              </w:rPr>
              <w:t>28</w:t>
            </w:r>
          </w:p>
        </w:tc>
        <w:tc>
          <w:tcPr>
            <w:tcW w:w="5975" w:type="dxa"/>
            <w:tcBorders>
              <w:bottom w:val="single" w:sz="12" w:space="0" w:color="auto"/>
            </w:tcBorders>
            <w:shd w:val="clear" w:color="auto" w:fill="auto"/>
          </w:tcPr>
          <w:p w:rsidR="00DF0AA3" w:rsidRPr="00C42C80" w:rsidRDefault="00DF0AA3" w:rsidP="00C42C80">
            <w:pPr>
              <w:spacing w:before="40" w:after="120"/>
              <w:ind w:right="113"/>
              <w:rPr>
                <w:szCs w:val="18"/>
              </w:rPr>
            </w:pPr>
            <w:r w:rsidRPr="00C42C80">
              <w:rPr>
                <w:szCs w:val="18"/>
              </w:rPr>
              <w:t xml:space="preserve">(Pologne) </w:t>
            </w:r>
            <w:r w:rsidR="00F6145B" w:rsidRPr="00C42C80">
              <w:rPr>
                <w:szCs w:val="18"/>
              </w:rPr>
              <w:t>−</w:t>
            </w:r>
            <w:r w:rsidRPr="00C42C80">
              <w:rPr>
                <w:szCs w:val="18"/>
              </w:rPr>
              <w:t xml:space="preserve"> Comments on ECE/TRANS/WP.29/GRE/2015/5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auto"/>
          </w:tcPr>
          <w:p w:rsidR="00DF0AA3" w:rsidRPr="00557D70" w:rsidRDefault="00DF0AA3" w:rsidP="00C42C80">
            <w:pPr>
              <w:spacing w:before="40" w:after="120"/>
              <w:ind w:right="113"/>
              <w:rPr>
                <w:i/>
                <w:szCs w:val="18"/>
                <w:vertAlign w:val="superscript"/>
                <w:lang w:val="en-GB"/>
              </w:rPr>
            </w:pPr>
            <w:r w:rsidRPr="00557D70">
              <w:rPr>
                <w:i/>
                <w:szCs w:val="18"/>
                <w:vertAlign w:val="superscript"/>
                <w:lang w:val="en-GB"/>
              </w:rPr>
              <w:t>d</w:t>
            </w:r>
          </w:p>
        </w:tc>
      </w:tr>
    </w:tbl>
    <w:p w:rsidR="00DF0AA3" w:rsidRPr="00EA4839" w:rsidRDefault="00557D70" w:rsidP="00557D70">
      <w:pPr>
        <w:pStyle w:val="H4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DF0AA3" w:rsidRPr="003946E5">
        <w:rPr>
          <w:lang w:val="en-GB"/>
        </w:rPr>
        <w:t>Notes:</w:t>
      </w:r>
    </w:p>
    <w:p w:rsidR="00DF0AA3" w:rsidRPr="00CC6E11" w:rsidRDefault="00DF0AA3" w:rsidP="003946E5">
      <w:pPr>
        <w:widowControl w:val="0"/>
        <w:kinsoku/>
        <w:overflowPunct/>
        <w:snapToGrid/>
        <w:spacing w:before="18" w:after="18"/>
        <w:ind w:left="1134" w:firstLine="170"/>
      </w:pPr>
      <w:r w:rsidRPr="00557D70">
        <w:rPr>
          <w:i/>
          <w:vertAlign w:val="superscript"/>
        </w:rPr>
        <w:t>a</w:t>
      </w:r>
      <w:r w:rsidR="00557D70">
        <w:t xml:space="preserve">  </w:t>
      </w:r>
      <w:r w:rsidRPr="00557D70">
        <w:rPr>
          <w:sz w:val="18"/>
          <w:szCs w:val="18"/>
        </w:rPr>
        <w:t>Document approuvé ou adopté sans modifications</w:t>
      </w:r>
      <w:r w:rsidR="00557D70">
        <w:t>.</w:t>
      </w:r>
    </w:p>
    <w:p w:rsidR="00DF0AA3" w:rsidRPr="00557D70" w:rsidRDefault="00DF0AA3" w:rsidP="003946E5">
      <w:pPr>
        <w:widowControl w:val="0"/>
        <w:kinsoku/>
        <w:overflowPunct/>
        <w:snapToGrid/>
        <w:spacing w:before="18" w:after="18"/>
        <w:ind w:left="1134" w:firstLine="170"/>
        <w:rPr>
          <w:sz w:val="18"/>
          <w:szCs w:val="18"/>
        </w:rPr>
      </w:pPr>
      <w:r w:rsidRPr="00557D70">
        <w:rPr>
          <w:i/>
          <w:vertAlign w:val="superscript"/>
        </w:rPr>
        <w:t>b</w:t>
      </w:r>
      <w:r w:rsidR="00557D70">
        <w:t xml:space="preserve">  </w:t>
      </w:r>
      <w:r w:rsidRPr="00557D70">
        <w:rPr>
          <w:sz w:val="18"/>
          <w:szCs w:val="18"/>
        </w:rPr>
        <w:t>Document approuvé ou adopté après modifications</w:t>
      </w:r>
      <w:r w:rsidR="00557D70">
        <w:rPr>
          <w:sz w:val="18"/>
          <w:szCs w:val="18"/>
        </w:rPr>
        <w:t>.</w:t>
      </w:r>
    </w:p>
    <w:p w:rsidR="00DF0AA3" w:rsidRPr="00557D70" w:rsidRDefault="00DF0AA3" w:rsidP="003946E5">
      <w:pPr>
        <w:widowControl w:val="0"/>
        <w:kinsoku/>
        <w:overflowPunct/>
        <w:snapToGrid/>
        <w:spacing w:before="18" w:after="18"/>
        <w:ind w:left="1134" w:firstLine="170"/>
        <w:rPr>
          <w:sz w:val="18"/>
          <w:szCs w:val="18"/>
        </w:rPr>
      </w:pPr>
      <w:r w:rsidRPr="00557D70">
        <w:rPr>
          <w:i/>
          <w:vertAlign w:val="superscript"/>
        </w:rPr>
        <w:t>c</w:t>
      </w:r>
      <w:r w:rsidR="00557D70">
        <w:t xml:space="preserve">  </w:t>
      </w:r>
      <w:r w:rsidRPr="00557D70">
        <w:rPr>
          <w:sz w:val="18"/>
          <w:szCs w:val="18"/>
        </w:rPr>
        <w:t>Document dont l</w:t>
      </w:r>
      <w:r w:rsidR="00912E90" w:rsidRPr="00557D70">
        <w:rPr>
          <w:sz w:val="18"/>
          <w:szCs w:val="18"/>
        </w:rPr>
        <w:t>’</w:t>
      </w:r>
      <w:r w:rsidRPr="00557D70">
        <w:rPr>
          <w:sz w:val="18"/>
          <w:szCs w:val="18"/>
        </w:rPr>
        <w:t>examen sera repris sous une cote officielle</w:t>
      </w:r>
      <w:r w:rsidR="00557D70">
        <w:rPr>
          <w:sz w:val="18"/>
          <w:szCs w:val="18"/>
        </w:rPr>
        <w:t>.</w:t>
      </w:r>
    </w:p>
    <w:p w:rsidR="00DF0AA3" w:rsidRPr="00557D70" w:rsidRDefault="00DF0AA3" w:rsidP="003946E5">
      <w:pPr>
        <w:widowControl w:val="0"/>
        <w:kinsoku/>
        <w:overflowPunct/>
        <w:snapToGrid/>
        <w:spacing w:before="18" w:after="18"/>
        <w:ind w:left="1134" w:firstLine="170"/>
        <w:rPr>
          <w:sz w:val="18"/>
          <w:szCs w:val="18"/>
        </w:rPr>
      </w:pPr>
      <w:r w:rsidRPr="00557D70">
        <w:rPr>
          <w:i/>
          <w:vertAlign w:val="superscript"/>
        </w:rPr>
        <w:t>d</w:t>
      </w:r>
      <w:r w:rsidR="00557D70">
        <w:t xml:space="preserve">  </w:t>
      </w:r>
      <w:r w:rsidRPr="00557D70">
        <w:rPr>
          <w:sz w:val="18"/>
          <w:szCs w:val="18"/>
        </w:rPr>
        <w:t>Document conservé à titre de référence/document dont l</w:t>
      </w:r>
      <w:r w:rsidR="00912E90" w:rsidRPr="00557D70">
        <w:rPr>
          <w:sz w:val="18"/>
          <w:szCs w:val="18"/>
        </w:rPr>
        <w:t>’</w:t>
      </w:r>
      <w:r w:rsidR="00557D70">
        <w:rPr>
          <w:sz w:val="18"/>
          <w:szCs w:val="18"/>
        </w:rPr>
        <w:t>examen doit se poursuivre.</w:t>
      </w:r>
    </w:p>
    <w:p w:rsidR="00DF0AA3" w:rsidRPr="00557D70" w:rsidRDefault="00DF0AA3" w:rsidP="003946E5">
      <w:pPr>
        <w:widowControl w:val="0"/>
        <w:kinsoku/>
        <w:overflowPunct/>
        <w:snapToGrid/>
        <w:spacing w:before="18" w:after="18"/>
        <w:ind w:left="1134" w:firstLine="170"/>
        <w:rPr>
          <w:sz w:val="18"/>
          <w:szCs w:val="18"/>
        </w:rPr>
      </w:pPr>
      <w:r w:rsidRPr="00557D70">
        <w:rPr>
          <w:i/>
          <w:vertAlign w:val="superscript"/>
        </w:rPr>
        <w:t>e</w:t>
      </w:r>
      <w:r w:rsidR="00557D70">
        <w:rPr>
          <w:i/>
          <w:vertAlign w:val="superscript"/>
        </w:rPr>
        <w:t xml:space="preserve"> </w:t>
      </w:r>
      <w:r w:rsidR="00557D70">
        <w:t xml:space="preserve"> </w:t>
      </w:r>
      <w:r w:rsidRPr="00557D70">
        <w:rPr>
          <w:sz w:val="18"/>
          <w:szCs w:val="18"/>
        </w:rPr>
        <w:t xml:space="preserve">Proposition révisée pour </w:t>
      </w:r>
      <w:r w:rsidR="00557D70">
        <w:rPr>
          <w:sz w:val="18"/>
          <w:szCs w:val="18"/>
        </w:rPr>
        <w:t>la prochaine session.</w:t>
      </w:r>
    </w:p>
    <w:p w:rsidR="00DF0AA3" w:rsidRPr="00557D70" w:rsidRDefault="00DF0AA3" w:rsidP="003946E5">
      <w:pPr>
        <w:widowControl w:val="0"/>
        <w:kinsoku/>
        <w:overflowPunct/>
        <w:snapToGrid/>
        <w:spacing w:before="18" w:after="18"/>
        <w:ind w:left="1134" w:firstLine="170"/>
        <w:rPr>
          <w:sz w:val="18"/>
          <w:szCs w:val="18"/>
        </w:rPr>
      </w:pPr>
      <w:r w:rsidRPr="00557D70">
        <w:rPr>
          <w:i/>
          <w:vertAlign w:val="superscript"/>
        </w:rPr>
        <w:t>f</w:t>
      </w:r>
      <w:r w:rsidR="00557D70">
        <w:t xml:space="preserve">  </w:t>
      </w:r>
      <w:r w:rsidR="00557D70" w:rsidRPr="00557D70">
        <w:rPr>
          <w:sz w:val="18"/>
          <w:szCs w:val="18"/>
        </w:rPr>
        <w:t>D</w:t>
      </w:r>
      <w:r w:rsidRPr="00557D70">
        <w:rPr>
          <w:sz w:val="18"/>
          <w:szCs w:val="18"/>
        </w:rPr>
        <w:t>ocument dont l</w:t>
      </w:r>
      <w:r w:rsidR="00912E90" w:rsidRPr="00557D70">
        <w:rPr>
          <w:sz w:val="18"/>
          <w:szCs w:val="18"/>
        </w:rPr>
        <w:t>’</w:t>
      </w:r>
      <w:r w:rsidRPr="00557D70">
        <w:rPr>
          <w:sz w:val="18"/>
          <w:szCs w:val="18"/>
        </w:rPr>
        <w:t>examen est achevé ou qui doit être remplacé</w:t>
      </w:r>
      <w:r w:rsidR="00557D70">
        <w:rPr>
          <w:sz w:val="18"/>
          <w:szCs w:val="18"/>
        </w:rPr>
        <w:t>.</w:t>
      </w:r>
    </w:p>
    <w:p w:rsidR="00DF0AA3" w:rsidRPr="00557D70" w:rsidRDefault="00DF0AA3" w:rsidP="003946E5">
      <w:pPr>
        <w:widowControl w:val="0"/>
        <w:kinsoku/>
        <w:overflowPunct/>
        <w:snapToGrid/>
        <w:spacing w:before="18" w:after="18"/>
        <w:ind w:left="1134" w:firstLine="170"/>
        <w:rPr>
          <w:sz w:val="18"/>
          <w:szCs w:val="18"/>
        </w:rPr>
      </w:pPr>
      <w:r w:rsidRPr="00557D70">
        <w:rPr>
          <w:i/>
          <w:vertAlign w:val="superscript"/>
        </w:rPr>
        <w:t>g</w:t>
      </w:r>
      <w:r w:rsidR="00557D70">
        <w:t xml:space="preserve">  </w:t>
      </w:r>
      <w:r w:rsidRPr="00557D70">
        <w:rPr>
          <w:sz w:val="18"/>
          <w:szCs w:val="18"/>
        </w:rPr>
        <w:t>Document retiré.</w:t>
      </w:r>
    </w:p>
    <w:p w:rsidR="00DF0AA3" w:rsidRPr="00CC6E11" w:rsidRDefault="00DF0AA3" w:rsidP="003946E5">
      <w:pPr>
        <w:pStyle w:val="HChG"/>
        <w:tabs>
          <w:tab w:val="clear" w:pos="851"/>
        </w:tabs>
      </w:pPr>
      <w:r>
        <w:br w:type="page"/>
      </w:r>
      <w:bookmarkStart w:id="14" w:name="_Toc360526931"/>
      <w:bookmarkStart w:id="15" w:name="_Toc369772241"/>
      <w:r w:rsidRPr="00CC6E11">
        <w:lastRenderedPageBreak/>
        <w:t>Annexe</w:t>
      </w:r>
      <w:r w:rsidR="003946E5">
        <w:t> </w:t>
      </w:r>
      <w:r w:rsidRPr="00CC6E11">
        <w:t>II</w:t>
      </w:r>
      <w:bookmarkEnd w:id="14"/>
      <w:bookmarkEnd w:id="15"/>
    </w:p>
    <w:p w:rsidR="00DF0AA3" w:rsidRPr="00CC6E11" w:rsidRDefault="003946E5" w:rsidP="003946E5">
      <w:pPr>
        <w:pStyle w:val="HChG"/>
      </w:pPr>
      <w:r>
        <w:tab/>
      </w:r>
      <w:r>
        <w:tab/>
      </w:r>
      <w:r w:rsidR="00DF0AA3" w:rsidRPr="00CC6E11">
        <w:t xml:space="preserve">Amendements au Règlement </w:t>
      </w:r>
      <w:r w:rsidR="00A47341" w:rsidRPr="00BE7246">
        <w:t>n</w:t>
      </w:r>
      <w:r w:rsidR="00A47341" w:rsidRPr="00BE7246">
        <w:rPr>
          <w:vertAlign w:val="superscript"/>
        </w:rPr>
        <w:t>o</w:t>
      </w:r>
      <w:r w:rsidR="00A47341">
        <w:t> </w:t>
      </w:r>
      <w:r w:rsidR="00DF0AA3" w:rsidRPr="00CC6E11">
        <w:t>74 adoptés</w:t>
      </w:r>
    </w:p>
    <w:p w:rsidR="00DF0AA3" w:rsidRPr="00CC6E11" w:rsidRDefault="00DF0AA3" w:rsidP="003946E5">
      <w:pPr>
        <w:pStyle w:val="SingleTxtG"/>
      </w:pPr>
      <w:r w:rsidRPr="00CC6E11">
        <w:rPr>
          <w:i/>
        </w:rPr>
        <w:t>Paragraphe 5.13</w:t>
      </w:r>
      <w:r w:rsidRPr="00CC6E11">
        <w:t>, modifier comme suit (la note de bas de page</w:t>
      </w:r>
      <w:r w:rsidR="003946E5">
        <w:t> </w:t>
      </w:r>
      <w:r w:rsidRPr="00CC6E11">
        <w:t>3 demeure inchangée):</w:t>
      </w:r>
    </w:p>
    <w:p w:rsidR="00DF0AA3" w:rsidRPr="00C05FA7" w:rsidRDefault="003946E5" w:rsidP="008A3512">
      <w:pPr>
        <w:pStyle w:val="SingleTxtG"/>
        <w:ind w:left="2268" w:hanging="1134"/>
      </w:pPr>
      <w:r>
        <w:t>«</w:t>
      </w:r>
      <w:r w:rsidR="008A3512">
        <w:t>5.13</w:t>
      </w:r>
      <w:r w:rsidR="00DF0AA3" w:rsidRPr="00C05FA7">
        <w:tab/>
        <w:t>Couleur des feux</w:t>
      </w:r>
      <w:r w:rsidR="00DF0AA3" w:rsidRPr="00C05FA7">
        <w:rPr>
          <w:vertAlign w:val="superscript"/>
        </w:rPr>
        <w:t>3</w:t>
      </w:r>
    </w:p>
    <w:p w:rsidR="00DF0AA3" w:rsidRPr="00C05FA7" w:rsidRDefault="00DF0AA3" w:rsidP="008A3512">
      <w:pPr>
        <w:kinsoku/>
        <w:overflowPunct/>
        <w:autoSpaceDE/>
        <w:autoSpaceDN/>
        <w:adjustRightInd/>
        <w:snapToGrid/>
        <w:spacing w:after="120" w:line="240" w:lineRule="auto"/>
        <w:ind w:left="2268" w:right="1134"/>
        <w:jc w:val="both"/>
        <w:rPr>
          <w:szCs w:val="24"/>
        </w:rPr>
      </w:pPr>
      <w:r w:rsidRPr="00C05FA7">
        <w:rPr>
          <w:szCs w:val="24"/>
        </w:rPr>
        <w:t>L</w:t>
      </w:r>
      <w:r>
        <w:rPr>
          <w:szCs w:val="24"/>
        </w:rPr>
        <w:t>es</w:t>
      </w:r>
      <w:r w:rsidRPr="00C05FA7">
        <w:rPr>
          <w:szCs w:val="24"/>
        </w:rPr>
        <w:t xml:space="preserve"> couleur</w:t>
      </w:r>
      <w:r>
        <w:rPr>
          <w:szCs w:val="24"/>
        </w:rPr>
        <w:t>s</w:t>
      </w:r>
      <w:r w:rsidRPr="00C05FA7">
        <w:rPr>
          <w:szCs w:val="24"/>
        </w:rPr>
        <w:t xml:space="preserve"> des feux visés au présent Règlement doi</w:t>
      </w:r>
      <w:r>
        <w:rPr>
          <w:szCs w:val="24"/>
        </w:rPr>
        <w:t>ven</w:t>
      </w:r>
      <w:r w:rsidRPr="00C05FA7">
        <w:rPr>
          <w:szCs w:val="24"/>
        </w:rPr>
        <w:t>t être l</w:t>
      </w:r>
      <w:r>
        <w:rPr>
          <w:szCs w:val="24"/>
        </w:rPr>
        <w:t>es</w:t>
      </w:r>
      <w:r w:rsidRPr="00C05FA7">
        <w:rPr>
          <w:szCs w:val="24"/>
        </w:rPr>
        <w:t xml:space="preserve"> suivante</w:t>
      </w:r>
      <w:r>
        <w:rPr>
          <w:szCs w:val="24"/>
        </w:rPr>
        <w:t>s</w:t>
      </w:r>
      <w:r w:rsidRPr="00C05FA7">
        <w:rPr>
          <w:szCs w:val="24"/>
        </w:rPr>
        <w:t>:</w:t>
      </w:r>
    </w:p>
    <w:p w:rsidR="00DF0AA3" w:rsidRPr="00C05FA7" w:rsidRDefault="00DF0AA3" w:rsidP="005C71FA">
      <w:pPr>
        <w:tabs>
          <w:tab w:val="left" w:pos="2268"/>
          <w:tab w:val="left" w:pos="5954"/>
        </w:tabs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szCs w:val="24"/>
        </w:rPr>
      </w:pPr>
      <w:r w:rsidRPr="00C05FA7">
        <w:rPr>
          <w:szCs w:val="24"/>
        </w:rPr>
        <w:t>Feu</w:t>
      </w:r>
      <w:r>
        <w:rPr>
          <w:szCs w:val="24"/>
        </w:rPr>
        <w:t xml:space="preserve">x de </w:t>
      </w:r>
      <w:r w:rsidR="008A3512">
        <w:rPr>
          <w:szCs w:val="24"/>
        </w:rPr>
        <w:t>route:</w:t>
      </w:r>
      <w:r w:rsidR="008A3512">
        <w:rPr>
          <w:szCs w:val="24"/>
        </w:rPr>
        <w:tab/>
      </w:r>
      <w:r w:rsidRPr="00C05FA7">
        <w:rPr>
          <w:szCs w:val="24"/>
        </w:rPr>
        <w:t>blanc</w:t>
      </w:r>
    </w:p>
    <w:p w:rsidR="00DF0AA3" w:rsidRPr="00C05FA7" w:rsidRDefault="00DF0AA3" w:rsidP="005C71FA">
      <w:pPr>
        <w:tabs>
          <w:tab w:val="left" w:pos="2268"/>
          <w:tab w:val="left" w:pos="5954"/>
        </w:tabs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szCs w:val="24"/>
        </w:rPr>
      </w:pPr>
      <w:r w:rsidRPr="00C05FA7">
        <w:rPr>
          <w:szCs w:val="24"/>
        </w:rPr>
        <w:t>Feu</w:t>
      </w:r>
      <w:r>
        <w:rPr>
          <w:szCs w:val="24"/>
        </w:rPr>
        <w:t>x</w:t>
      </w:r>
      <w:r w:rsidRPr="00C05FA7">
        <w:rPr>
          <w:szCs w:val="24"/>
        </w:rPr>
        <w:t xml:space="preserve"> de croisement: </w:t>
      </w:r>
      <w:r w:rsidRPr="00C05FA7">
        <w:rPr>
          <w:szCs w:val="24"/>
        </w:rPr>
        <w:tab/>
        <w:t>blanc</w:t>
      </w:r>
    </w:p>
    <w:p w:rsidR="00DF0AA3" w:rsidRPr="00C05FA7" w:rsidRDefault="00DF0AA3" w:rsidP="005C71FA">
      <w:pPr>
        <w:tabs>
          <w:tab w:val="left" w:pos="2268"/>
          <w:tab w:val="left" w:pos="5954"/>
        </w:tabs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b/>
          <w:szCs w:val="24"/>
        </w:rPr>
      </w:pPr>
      <w:r w:rsidRPr="005C71FA">
        <w:rPr>
          <w:b/>
          <w:szCs w:val="24"/>
        </w:rPr>
        <w:t>Feux de position avant:</w:t>
      </w:r>
      <w:r w:rsidRPr="00C05FA7">
        <w:rPr>
          <w:b/>
          <w:szCs w:val="24"/>
        </w:rPr>
        <w:tab/>
        <w:t>blanc</w:t>
      </w:r>
    </w:p>
    <w:p w:rsidR="00DF0AA3" w:rsidRPr="00C05FA7" w:rsidRDefault="00DF0AA3" w:rsidP="005C71FA">
      <w:pPr>
        <w:tabs>
          <w:tab w:val="left" w:pos="2268"/>
          <w:tab w:val="left" w:pos="5954"/>
        </w:tabs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szCs w:val="24"/>
        </w:rPr>
      </w:pPr>
      <w:r>
        <w:rPr>
          <w:szCs w:val="24"/>
        </w:rPr>
        <w:t>C</w:t>
      </w:r>
      <w:r w:rsidRPr="00C05FA7">
        <w:rPr>
          <w:szCs w:val="24"/>
        </w:rPr>
        <w:t>atadioptre</w:t>
      </w:r>
      <w:r>
        <w:rPr>
          <w:szCs w:val="24"/>
        </w:rPr>
        <w:t>s</w:t>
      </w:r>
      <w:r w:rsidRPr="00C05FA7">
        <w:rPr>
          <w:szCs w:val="24"/>
        </w:rPr>
        <w:t xml:space="preserve"> avant, non triangulaire</w:t>
      </w:r>
      <w:r>
        <w:rPr>
          <w:szCs w:val="24"/>
        </w:rPr>
        <w:t>s</w:t>
      </w:r>
      <w:r w:rsidRPr="00C05FA7">
        <w:rPr>
          <w:szCs w:val="24"/>
        </w:rPr>
        <w:t xml:space="preserve">: </w:t>
      </w:r>
      <w:r w:rsidRPr="00C05FA7">
        <w:rPr>
          <w:szCs w:val="24"/>
        </w:rPr>
        <w:tab/>
        <w:t xml:space="preserve">blanc </w:t>
      </w:r>
    </w:p>
    <w:p w:rsidR="00DF0AA3" w:rsidRPr="005E24F1" w:rsidRDefault="00DF0AA3" w:rsidP="005C71FA">
      <w:pPr>
        <w:tabs>
          <w:tab w:val="left" w:pos="2268"/>
          <w:tab w:val="left" w:pos="5954"/>
        </w:tabs>
        <w:kinsoku/>
        <w:overflowPunct/>
        <w:autoSpaceDE/>
        <w:autoSpaceDN/>
        <w:adjustRightInd/>
        <w:snapToGrid/>
        <w:spacing w:after="120"/>
        <w:ind w:left="2835" w:right="1134" w:hanging="567"/>
        <w:rPr>
          <w:szCs w:val="24"/>
        </w:rPr>
      </w:pPr>
      <w:r w:rsidRPr="00C05FA7">
        <w:rPr>
          <w:szCs w:val="24"/>
        </w:rPr>
        <w:t>Catadioptre</w:t>
      </w:r>
      <w:r>
        <w:rPr>
          <w:szCs w:val="24"/>
        </w:rPr>
        <w:t>s</w:t>
      </w:r>
      <w:r w:rsidRPr="00C05FA7">
        <w:rPr>
          <w:szCs w:val="24"/>
        </w:rPr>
        <w:t xml:space="preserve"> latéra</w:t>
      </w:r>
      <w:r>
        <w:rPr>
          <w:szCs w:val="24"/>
        </w:rPr>
        <w:t>ux</w:t>
      </w:r>
      <w:r w:rsidRPr="00C05FA7">
        <w:rPr>
          <w:szCs w:val="24"/>
        </w:rPr>
        <w:t>, non triangulaire</w:t>
      </w:r>
      <w:r>
        <w:rPr>
          <w:szCs w:val="24"/>
        </w:rPr>
        <w:t>s</w:t>
      </w:r>
      <w:r w:rsidRPr="00C05FA7">
        <w:rPr>
          <w:szCs w:val="24"/>
        </w:rPr>
        <w:t>:</w:t>
      </w:r>
      <w:r w:rsidRPr="00C05FA7">
        <w:rPr>
          <w:szCs w:val="24"/>
        </w:rPr>
        <w:tab/>
      </w:r>
      <w:r>
        <w:rPr>
          <w:szCs w:val="24"/>
        </w:rPr>
        <w:t>jaune-auto à l</w:t>
      </w:r>
      <w:r w:rsidR="00912E90">
        <w:rPr>
          <w:szCs w:val="24"/>
        </w:rPr>
        <w:t>’</w:t>
      </w:r>
      <w:r>
        <w:rPr>
          <w:szCs w:val="24"/>
        </w:rPr>
        <w:t>avant</w:t>
      </w:r>
      <w:r w:rsidR="008A3512">
        <w:rPr>
          <w:szCs w:val="24"/>
        </w:rPr>
        <w:br/>
      </w:r>
      <w:r w:rsidRPr="00C05FA7">
        <w:rPr>
          <w:szCs w:val="24"/>
        </w:rPr>
        <w:tab/>
      </w:r>
      <w:r>
        <w:rPr>
          <w:szCs w:val="24"/>
        </w:rPr>
        <w:t xml:space="preserve">jaune-auto ou </w:t>
      </w:r>
      <w:r w:rsidRPr="005E24F1">
        <w:rPr>
          <w:szCs w:val="24"/>
        </w:rPr>
        <w:t>rouge à</w:t>
      </w:r>
      <w:r>
        <w:rPr>
          <w:szCs w:val="24"/>
        </w:rPr>
        <w:t xml:space="preserve"> </w:t>
      </w:r>
      <w:r w:rsidRPr="005E24F1">
        <w:rPr>
          <w:szCs w:val="24"/>
        </w:rPr>
        <w:t>l</w:t>
      </w:r>
      <w:r w:rsidR="00912E90">
        <w:rPr>
          <w:szCs w:val="24"/>
        </w:rPr>
        <w:t>’</w:t>
      </w:r>
      <w:r>
        <w:rPr>
          <w:szCs w:val="24"/>
        </w:rPr>
        <w:t>arrière</w:t>
      </w:r>
    </w:p>
    <w:p w:rsidR="00DF0AA3" w:rsidRPr="005E24F1" w:rsidRDefault="00DF0AA3" w:rsidP="005C71FA">
      <w:pPr>
        <w:tabs>
          <w:tab w:val="left" w:pos="2268"/>
          <w:tab w:val="left" w:pos="5954"/>
        </w:tabs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szCs w:val="24"/>
        </w:rPr>
      </w:pPr>
      <w:r w:rsidRPr="005E24F1">
        <w:rPr>
          <w:szCs w:val="24"/>
        </w:rPr>
        <w:t>Catadioptre</w:t>
      </w:r>
      <w:r>
        <w:rPr>
          <w:szCs w:val="24"/>
        </w:rPr>
        <w:t>s</w:t>
      </w:r>
      <w:r w:rsidRPr="005E24F1">
        <w:rPr>
          <w:szCs w:val="24"/>
        </w:rPr>
        <w:t xml:space="preserve"> de pédale:</w:t>
      </w:r>
      <w:r w:rsidRPr="005E24F1">
        <w:rPr>
          <w:szCs w:val="24"/>
        </w:rPr>
        <w:tab/>
      </w:r>
      <w:r>
        <w:rPr>
          <w:szCs w:val="24"/>
        </w:rPr>
        <w:t>jaune-auto</w:t>
      </w:r>
    </w:p>
    <w:p w:rsidR="00DF0AA3" w:rsidRPr="005E24F1" w:rsidRDefault="00DF0AA3" w:rsidP="005C71FA">
      <w:pPr>
        <w:tabs>
          <w:tab w:val="left" w:pos="2268"/>
          <w:tab w:val="left" w:pos="5954"/>
        </w:tabs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szCs w:val="24"/>
        </w:rPr>
      </w:pPr>
      <w:r w:rsidRPr="005E24F1">
        <w:rPr>
          <w:szCs w:val="24"/>
        </w:rPr>
        <w:t>Catadioptres arrière, non triangulaires:</w:t>
      </w:r>
      <w:r w:rsidRPr="005E24F1">
        <w:rPr>
          <w:szCs w:val="24"/>
        </w:rPr>
        <w:tab/>
        <w:t>rouge</w:t>
      </w:r>
    </w:p>
    <w:p w:rsidR="00DF0AA3" w:rsidRPr="005E24F1" w:rsidRDefault="00DF0AA3" w:rsidP="005C71FA">
      <w:pPr>
        <w:tabs>
          <w:tab w:val="left" w:pos="2268"/>
          <w:tab w:val="left" w:pos="5954"/>
        </w:tabs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szCs w:val="24"/>
        </w:rPr>
      </w:pPr>
      <w:r w:rsidRPr="005E24F1">
        <w:rPr>
          <w:szCs w:val="24"/>
        </w:rPr>
        <w:t>Feu</w:t>
      </w:r>
      <w:r>
        <w:rPr>
          <w:szCs w:val="24"/>
        </w:rPr>
        <w:t>x</w:t>
      </w:r>
      <w:r w:rsidRPr="005E24F1">
        <w:rPr>
          <w:szCs w:val="24"/>
        </w:rPr>
        <w:t xml:space="preserve"> indicateur</w:t>
      </w:r>
      <w:r>
        <w:rPr>
          <w:szCs w:val="24"/>
        </w:rPr>
        <w:t>s</w:t>
      </w:r>
      <w:r w:rsidRPr="005E24F1">
        <w:rPr>
          <w:szCs w:val="24"/>
        </w:rPr>
        <w:t xml:space="preserve"> de direction:</w:t>
      </w:r>
      <w:r w:rsidRPr="005E24F1">
        <w:rPr>
          <w:szCs w:val="24"/>
        </w:rPr>
        <w:tab/>
      </w:r>
      <w:r>
        <w:rPr>
          <w:szCs w:val="24"/>
        </w:rPr>
        <w:t>jaune-auto</w:t>
      </w:r>
    </w:p>
    <w:p w:rsidR="00DF0AA3" w:rsidRPr="005E24F1" w:rsidRDefault="00DF0AA3" w:rsidP="005C71FA">
      <w:pPr>
        <w:tabs>
          <w:tab w:val="left" w:pos="2268"/>
          <w:tab w:val="left" w:pos="5954"/>
        </w:tabs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szCs w:val="24"/>
        </w:rPr>
      </w:pPr>
      <w:r w:rsidRPr="005E24F1">
        <w:rPr>
          <w:szCs w:val="24"/>
        </w:rPr>
        <w:t>Feu</w:t>
      </w:r>
      <w:r>
        <w:rPr>
          <w:szCs w:val="24"/>
        </w:rPr>
        <w:t>x</w:t>
      </w:r>
      <w:r w:rsidRPr="005E24F1">
        <w:rPr>
          <w:szCs w:val="24"/>
        </w:rPr>
        <w:t xml:space="preserve"> stop: </w:t>
      </w:r>
      <w:r w:rsidRPr="005E24F1">
        <w:rPr>
          <w:szCs w:val="24"/>
        </w:rPr>
        <w:tab/>
      </w:r>
      <w:r w:rsidR="008A3512">
        <w:rPr>
          <w:szCs w:val="24"/>
        </w:rPr>
        <w:t>rouge</w:t>
      </w:r>
    </w:p>
    <w:p w:rsidR="00DF0AA3" w:rsidRPr="005E24F1" w:rsidRDefault="00DF0AA3" w:rsidP="005C71FA">
      <w:pPr>
        <w:tabs>
          <w:tab w:val="left" w:pos="2268"/>
          <w:tab w:val="left" w:pos="5954"/>
        </w:tabs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szCs w:val="24"/>
        </w:rPr>
      </w:pPr>
      <w:r w:rsidRPr="005E24F1">
        <w:rPr>
          <w:szCs w:val="24"/>
        </w:rPr>
        <w:t>Feu</w:t>
      </w:r>
      <w:r>
        <w:rPr>
          <w:szCs w:val="24"/>
        </w:rPr>
        <w:t>x</w:t>
      </w:r>
      <w:r w:rsidRPr="005E24F1">
        <w:rPr>
          <w:szCs w:val="24"/>
        </w:rPr>
        <w:t xml:space="preserve"> de position arrière:</w:t>
      </w:r>
      <w:r w:rsidRPr="005E24F1">
        <w:rPr>
          <w:szCs w:val="24"/>
        </w:rPr>
        <w:tab/>
      </w:r>
      <w:r w:rsidR="008A3512">
        <w:rPr>
          <w:szCs w:val="24"/>
        </w:rPr>
        <w:t>rouge</w:t>
      </w:r>
    </w:p>
    <w:p w:rsidR="00DF0AA3" w:rsidRPr="005E24F1" w:rsidRDefault="00DF0AA3" w:rsidP="005C71FA">
      <w:pPr>
        <w:tabs>
          <w:tab w:val="left" w:pos="2268"/>
          <w:tab w:val="left" w:pos="5954"/>
        </w:tabs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szCs w:val="24"/>
        </w:rPr>
      </w:pPr>
      <w:r w:rsidRPr="005E24F1">
        <w:rPr>
          <w:szCs w:val="24"/>
        </w:rPr>
        <w:t>Feu</w:t>
      </w:r>
      <w:r>
        <w:rPr>
          <w:szCs w:val="24"/>
        </w:rPr>
        <w:t>x</w:t>
      </w:r>
      <w:r w:rsidRPr="005E24F1">
        <w:rPr>
          <w:szCs w:val="24"/>
        </w:rPr>
        <w:t xml:space="preserve"> de plaque d</w:t>
      </w:r>
      <w:r w:rsidR="00912E90">
        <w:rPr>
          <w:szCs w:val="24"/>
        </w:rPr>
        <w:t>’</w:t>
      </w:r>
      <w:r w:rsidRPr="005E24F1">
        <w:rPr>
          <w:szCs w:val="24"/>
        </w:rPr>
        <w:t>immatriculation arrière:</w:t>
      </w:r>
      <w:r w:rsidR="005C71FA">
        <w:rPr>
          <w:szCs w:val="24"/>
        </w:rPr>
        <w:tab/>
      </w:r>
      <w:r w:rsidRPr="005E24F1">
        <w:rPr>
          <w:szCs w:val="24"/>
        </w:rPr>
        <w:t>blanc</w:t>
      </w:r>
    </w:p>
    <w:p w:rsidR="00DF0AA3" w:rsidRDefault="00DF0AA3" w:rsidP="005C71FA">
      <w:pPr>
        <w:tabs>
          <w:tab w:val="left" w:pos="2268"/>
          <w:tab w:val="left" w:pos="5954"/>
        </w:tabs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szCs w:val="24"/>
        </w:rPr>
      </w:pPr>
      <w:r>
        <w:rPr>
          <w:szCs w:val="24"/>
        </w:rPr>
        <w:t>F</w:t>
      </w:r>
      <w:r w:rsidRPr="005E24F1">
        <w:rPr>
          <w:szCs w:val="24"/>
        </w:rPr>
        <w:t>eu</w:t>
      </w:r>
      <w:r>
        <w:rPr>
          <w:szCs w:val="24"/>
        </w:rPr>
        <w:t>x</w:t>
      </w:r>
      <w:r w:rsidRPr="005E24F1">
        <w:rPr>
          <w:szCs w:val="24"/>
        </w:rPr>
        <w:t xml:space="preserve"> de détresse</w:t>
      </w:r>
      <w:r w:rsidRPr="00F55CAF">
        <w:rPr>
          <w:szCs w:val="24"/>
        </w:rPr>
        <w:t>:</w:t>
      </w:r>
      <w:r w:rsidRPr="00F55CAF">
        <w:rPr>
          <w:szCs w:val="24"/>
        </w:rPr>
        <w:tab/>
      </w:r>
      <w:r>
        <w:rPr>
          <w:szCs w:val="24"/>
        </w:rPr>
        <w:t>jaune-auto</w:t>
      </w:r>
      <w:r w:rsidR="008A3512">
        <w:rPr>
          <w:szCs w:val="24"/>
        </w:rPr>
        <w:t>»</w:t>
      </w:r>
      <w:r w:rsidRPr="00F55CAF">
        <w:rPr>
          <w:szCs w:val="24"/>
        </w:rPr>
        <w:t>.</w:t>
      </w:r>
    </w:p>
    <w:p w:rsidR="00DF0AA3" w:rsidRPr="00F55CAF" w:rsidRDefault="00DF0AA3" w:rsidP="008A3512">
      <w:pPr>
        <w:pStyle w:val="HChG"/>
      </w:pPr>
      <w:r>
        <w:rPr>
          <w:szCs w:val="24"/>
        </w:rPr>
        <w:br w:type="page"/>
      </w:r>
      <w:r w:rsidRPr="00F55CAF">
        <w:lastRenderedPageBreak/>
        <w:t>Annex</w:t>
      </w:r>
      <w:r>
        <w:t>e</w:t>
      </w:r>
      <w:r w:rsidRPr="00F55CAF">
        <w:t xml:space="preserve"> III</w:t>
      </w:r>
    </w:p>
    <w:p w:rsidR="00DF0AA3" w:rsidRPr="00F55CAF" w:rsidRDefault="00DF0AA3" w:rsidP="008A3512">
      <w:pPr>
        <w:pStyle w:val="HChG"/>
      </w:pPr>
      <w:r w:rsidRPr="00F55CAF">
        <w:tab/>
      </w:r>
      <w:r w:rsidRPr="00F55CAF">
        <w:tab/>
      </w:r>
      <w:r>
        <w:t>G</w:t>
      </w:r>
      <w:r w:rsidR="008A3512">
        <w:t>roupes informels du GRE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2725"/>
        <w:gridCol w:w="2822"/>
      </w:tblGrid>
      <w:tr w:rsidR="00DF0AA3" w:rsidRPr="008A3512" w:rsidTr="008A3512">
        <w:trPr>
          <w:tblHeader/>
        </w:trPr>
        <w:tc>
          <w:tcPr>
            <w:tcW w:w="20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DF0AA3" w:rsidRPr="008A3512" w:rsidRDefault="00DF0AA3" w:rsidP="008A351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A3512">
              <w:rPr>
                <w:i/>
                <w:sz w:val="16"/>
              </w:rPr>
              <w:t>Groupe informel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DF0AA3" w:rsidRPr="008A3512" w:rsidRDefault="00DF0AA3" w:rsidP="008A351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A3512">
              <w:rPr>
                <w:i/>
                <w:sz w:val="16"/>
              </w:rPr>
              <w:t>Président(s)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DF0AA3" w:rsidRPr="008A3512" w:rsidRDefault="00DF0AA3" w:rsidP="008A351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A3512">
              <w:rPr>
                <w:i/>
                <w:sz w:val="16"/>
              </w:rPr>
              <w:t>Secrétaire</w:t>
            </w:r>
          </w:p>
        </w:tc>
      </w:tr>
      <w:tr w:rsidR="008A3512" w:rsidRPr="008A3512" w:rsidTr="008A3512">
        <w:trPr>
          <w:trHeight w:hRule="exact" w:val="113"/>
        </w:trPr>
        <w:tc>
          <w:tcPr>
            <w:tcW w:w="2098" w:type="dxa"/>
            <w:tcBorders>
              <w:top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8A3512" w:rsidRPr="008A3512" w:rsidRDefault="008A3512" w:rsidP="008A3512">
            <w:pPr>
              <w:spacing w:before="40" w:after="120"/>
              <w:ind w:right="113"/>
            </w:pPr>
          </w:p>
        </w:tc>
        <w:tc>
          <w:tcPr>
            <w:tcW w:w="3147" w:type="dxa"/>
            <w:tcBorders>
              <w:top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8A3512" w:rsidRPr="008A3512" w:rsidRDefault="008A3512" w:rsidP="008A3512">
            <w:pPr>
              <w:spacing w:before="40" w:after="120"/>
              <w:ind w:right="113"/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8A3512" w:rsidRPr="008A3512" w:rsidRDefault="008A3512" w:rsidP="008A3512">
            <w:pPr>
              <w:spacing w:before="40" w:after="120"/>
              <w:ind w:right="113"/>
            </w:pPr>
          </w:p>
        </w:tc>
      </w:tr>
      <w:tr w:rsidR="00DF0AA3" w:rsidRPr="008A3512" w:rsidTr="008A3512">
        <w:tc>
          <w:tcPr>
            <w:tcW w:w="2098" w:type="dxa"/>
            <w:shd w:val="clear" w:color="auto" w:fill="auto"/>
            <w:tcMar>
              <w:left w:w="113" w:type="dxa"/>
            </w:tcMar>
          </w:tcPr>
          <w:p w:rsidR="00DF0AA3" w:rsidRPr="008A3512" w:rsidRDefault="00DF0AA3" w:rsidP="00F6145B">
            <w:r w:rsidRPr="008A3512">
              <w:t>Installation des</w:t>
            </w:r>
            <w:r w:rsidR="00F6145B">
              <w:t> </w:t>
            </w:r>
            <w:r w:rsidRPr="008A3512">
              <w:t>dispositifs d</w:t>
            </w:r>
            <w:r w:rsidR="00912E90" w:rsidRPr="008A3512">
              <w:t>’</w:t>
            </w:r>
            <w:r w:rsidRPr="008A3512">
              <w:t>éclairage et de</w:t>
            </w:r>
            <w:r w:rsidR="00F6145B">
              <w:t> </w:t>
            </w:r>
            <w:r w:rsidRPr="008A3512">
              <w:t>signalisation lumineuse sur les</w:t>
            </w:r>
            <w:r w:rsidR="00F6145B">
              <w:t> </w:t>
            </w:r>
            <w:r w:rsidRPr="008A3512">
              <w:t>tracteurs agricoles (AVLI)</w:t>
            </w:r>
          </w:p>
        </w:tc>
        <w:tc>
          <w:tcPr>
            <w:tcW w:w="3147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:rsidR="00DF0AA3" w:rsidRPr="008A3512" w:rsidRDefault="00DF0AA3" w:rsidP="008A3512">
            <w:r w:rsidRPr="008A3512">
              <w:t>M. Derwin Rovers (Pays-Bas)</w:t>
            </w:r>
          </w:p>
          <w:p w:rsidR="00DF0AA3" w:rsidRPr="008A3512" w:rsidRDefault="00DF0AA3" w:rsidP="008A3512">
            <w:r w:rsidRPr="008A3512">
              <w:t>Tél.: +31 793458230</w:t>
            </w:r>
            <w:r w:rsidRPr="008A3512">
              <w:br/>
              <w:t>Télécopie: +31 793458041</w:t>
            </w:r>
          </w:p>
          <w:p w:rsidR="00DF0AA3" w:rsidRPr="008A3512" w:rsidRDefault="00F6145B" w:rsidP="008A3512">
            <w:r>
              <w:t>Courriel: drovers@rdw.nl</w:t>
            </w:r>
          </w:p>
          <w:p w:rsidR="00DF0AA3" w:rsidRPr="005C71FA" w:rsidRDefault="00DF0AA3" w:rsidP="008A3512">
            <w:pPr>
              <w:rPr>
                <w:i/>
              </w:rPr>
            </w:pPr>
            <w:r w:rsidRPr="005C71FA">
              <w:rPr>
                <w:i/>
              </w:rPr>
              <w:t>et</w:t>
            </w:r>
          </w:p>
          <w:p w:rsidR="00DF0AA3" w:rsidRPr="008A3512" w:rsidRDefault="00912E90" w:rsidP="008A3512">
            <w:r w:rsidRPr="008A3512">
              <w:t xml:space="preserve">M. Timo Kärkkäinen </w:t>
            </w:r>
            <w:r w:rsidR="00DF0AA3" w:rsidRPr="008A3512">
              <w:t>(Finlande)</w:t>
            </w:r>
          </w:p>
          <w:p w:rsidR="00DF0AA3" w:rsidRPr="008A3512" w:rsidRDefault="00DF0AA3" w:rsidP="008A3512">
            <w:r w:rsidRPr="008A3512">
              <w:t>Tél.: +358 50 595 26 17</w:t>
            </w:r>
          </w:p>
          <w:p w:rsidR="00DF0AA3" w:rsidRPr="008A3512" w:rsidRDefault="00DF0AA3" w:rsidP="008A3512">
            <w:pPr>
              <w:rPr>
                <w:lang w:val="fr-FR"/>
              </w:rPr>
            </w:pPr>
            <w:r w:rsidRPr="008A3512">
              <w:rPr>
                <w:lang w:val="fr-FR"/>
              </w:rPr>
              <w:t>Télécopie: +358 29 534 5095</w:t>
            </w:r>
          </w:p>
          <w:p w:rsidR="00DF0AA3" w:rsidRPr="008A3512" w:rsidRDefault="00DF0AA3" w:rsidP="008A3512">
            <w:pPr>
              <w:rPr>
                <w:lang w:val="fr-FR"/>
              </w:rPr>
            </w:pPr>
            <w:r w:rsidRPr="008A3512">
              <w:rPr>
                <w:lang w:val="fr-FR"/>
              </w:rPr>
              <w:t xml:space="preserve">Courriel: </w:t>
            </w:r>
            <w:hyperlink r:id="rId9" w:history="1">
              <w:r w:rsidRPr="008A3512">
                <w:rPr>
                  <w:lang w:val="fr-FR"/>
                </w:rPr>
                <w:t>timo.karkkainen@trafi.fi</w:t>
              </w:r>
            </w:hyperlink>
          </w:p>
        </w:tc>
        <w:tc>
          <w:tcPr>
            <w:tcW w:w="3260" w:type="dxa"/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DF0AA3" w:rsidRPr="008A3512" w:rsidRDefault="00DF0AA3" w:rsidP="008A3512">
            <w:r w:rsidRPr="008A3512">
              <w:t xml:space="preserve">M. Andreas Schauer (CEMA) </w:t>
            </w:r>
            <w:r w:rsidRPr="008A3512">
              <w:br/>
              <w:t>Tél.: +49 69 66 01 1308</w:t>
            </w:r>
            <w:r w:rsidRPr="008A3512">
              <w:br/>
              <w:t>Télécopie: +49 69 66 03 1464</w:t>
            </w:r>
            <w:r w:rsidRPr="008A3512">
              <w:br/>
              <w:t xml:space="preserve">Courriel: </w:t>
            </w:r>
            <w:hyperlink r:id="rId10" w:history="1">
              <w:r w:rsidRPr="008A3512">
                <w:t>andreas.schauer@vdma.org</w:t>
              </w:r>
            </w:hyperlink>
          </w:p>
        </w:tc>
      </w:tr>
      <w:tr w:rsidR="00DF0AA3" w:rsidRPr="008A3512" w:rsidTr="008A3512">
        <w:tc>
          <w:tcPr>
            <w:tcW w:w="2098" w:type="dxa"/>
            <w:shd w:val="clear" w:color="auto" w:fill="auto"/>
            <w:tcMar>
              <w:left w:w="113" w:type="dxa"/>
            </w:tcMar>
          </w:tcPr>
          <w:p w:rsidR="00DF0AA3" w:rsidRPr="008A3512" w:rsidRDefault="00DF0AA3" w:rsidP="00F6145B">
            <w:r w:rsidRPr="008A3512">
              <w:t>Simplification des</w:t>
            </w:r>
            <w:r w:rsidR="00F6145B">
              <w:t> </w:t>
            </w:r>
            <w:r w:rsidRPr="008A3512">
              <w:t>Règlements sur</w:t>
            </w:r>
            <w:r w:rsidR="00F6145B">
              <w:t> </w:t>
            </w:r>
            <w:r w:rsidRPr="008A3512">
              <w:t>l</w:t>
            </w:r>
            <w:r w:rsidR="00912E90" w:rsidRPr="008A3512">
              <w:t>’</w:t>
            </w:r>
            <w:r w:rsidRPr="008A3512">
              <w:t>éclairage et la</w:t>
            </w:r>
            <w:r w:rsidR="00F6145B">
              <w:t> </w:t>
            </w:r>
            <w:r w:rsidRPr="008A3512">
              <w:t>signalisation lumineuse (SLR)</w:t>
            </w:r>
          </w:p>
        </w:tc>
        <w:tc>
          <w:tcPr>
            <w:tcW w:w="3147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:rsidR="00DF0AA3" w:rsidRPr="008A3512" w:rsidRDefault="00DF0AA3" w:rsidP="008A3512">
            <w:r w:rsidRPr="008A3512">
              <w:t>M. Michel Loccufier (Belgique)</w:t>
            </w:r>
          </w:p>
          <w:p w:rsidR="00DF0AA3" w:rsidRPr="008A3512" w:rsidRDefault="00DF0AA3" w:rsidP="008A3512">
            <w:r w:rsidRPr="008A3512">
              <w:t>Tél.: +32 474 989 023</w:t>
            </w:r>
          </w:p>
          <w:p w:rsidR="00DF0AA3" w:rsidRPr="008A3512" w:rsidRDefault="00DF0AA3" w:rsidP="008A3512">
            <w:r w:rsidRPr="008A3512">
              <w:t>Courriel: michel.loccufier@mobilit.fgov.be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DF0AA3" w:rsidRPr="008A3512" w:rsidRDefault="00DF0AA3" w:rsidP="008A3512">
            <w:r w:rsidRPr="008A3512">
              <w:t>M. Davide Puglisi (GTB)</w:t>
            </w:r>
          </w:p>
          <w:p w:rsidR="00DF0AA3" w:rsidRPr="008A3512" w:rsidRDefault="00DF0AA3" w:rsidP="008A3512">
            <w:r w:rsidRPr="008A3512">
              <w:t>Tél.: +39 011 562 11 49</w:t>
            </w:r>
          </w:p>
          <w:p w:rsidR="00DF0AA3" w:rsidRPr="008A3512" w:rsidRDefault="00DF0AA3" w:rsidP="008A3512">
            <w:r w:rsidRPr="008A3512">
              <w:t>Télécopie: +39 011 53 21 43</w:t>
            </w:r>
          </w:p>
          <w:p w:rsidR="00DF0AA3" w:rsidRPr="008A3512" w:rsidRDefault="00DF0AA3" w:rsidP="008A3512">
            <w:r w:rsidRPr="008A3512">
              <w:t>Courriel: secretary@gtb-lighting.org</w:t>
            </w:r>
          </w:p>
        </w:tc>
      </w:tr>
      <w:tr w:rsidR="00DF0AA3" w:rsidRPr="008A3512" w:rsidTr="008A3512">
        <w:tc>
          <w:tcPr>
            <w:tcW w:w="2098" w:type="dxa"/>
            <w:tcBorders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DF0AA3" w:rsidRPr="008A3512" w:rsidRDefault="00DF0AA3" w:rsidP="00F6145B">
            <w:r w:rsidRPr="008A3512">
              <w:t>Visibilité, éblouissement et réglage (VGL)</w:t>
            </w:r>
            <w:r w:rsidR="008A3512">
              <w:rPr>
                <w:rStyle w:val="FootnoteReference"/>
              </w:rPr>
              <w:footnoteReference w:id="2"/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:rsidR="00DF0AA3" w:rsidRPr="008A3512" w:rsidRDefault="00DF0AA3" w:rsidP="008A3512">
            <w:r w:rsidRPr="008A3512">
              <w:t>M. Karl Manz (Allemagne)</w:t>
            </w:r>
          </w:p>
          <w:p w:rsidR="00DF0AA3" w:rsidRPr="008A3512" w:rsidRDefault="00DF0AA3" w:rsidP="008A3512">
            <w:r w:rsidRPr="008A3512">
              <w:t xml:space="preserve">Tél.: +49 721 6084 6278 </w:t>
            </w:r>
          </w:p>
          <w:p w:rsidR="00DF0AA3" w:rsidRPr="008A3512" w:rsidRDefault="00DF0AA3" w:rsidP="008A3512">
            <w:pPr>
              <w:rPr>
                <w:lang w:val="fr-FR"/>
              </w:rPr>
            </w:pPr>
            <w:r w:rsidRPr="008A3512">
              <w:rPr>
                <w:lang w:val="fr-FR"/>
              </w:rPr>
              <w:t>Télécopie: +49 721 66 19 01</w:t>
            </w:r>
          </w:p>
          <w:p w:rsidR="00DF0AA3" w:rsidRPr="008A3512" w:rsidRDefault="00DF0AA3" w:rsidP="008A3512">
            <w:pPr>
              <w:rPr>
                <w:lang w:val="fr-FR"/>
              </w:rPr>
            </w:pPr>
            <w:r w:rsidRPr="008A3512">
              <w:rPr>
                <w:lang w:val="fr-FR"/>
              </w:rPr>
              <w:t xml:space="preserve">Courriel: </w:t>
            </w:r>
            <w:hyperlink r:id="rId11" w:history="1">
              <w:r w:rsidRPr="008A3512">
                <w:rPr>
                  <w:lang w:val="fr-FR"/>
                </w:rPr>
                <w:t>karl.manz@kit.edu</w:t>
              </w:r>
            </w:hyperlink>
            <w:r w:rsidRPr="008A3512">
              <w:rPr>
                <w:lang w:val="fr-FR"/>
              </w:rPr>
              <w:t xml:space="preserve">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DF0AA3" w:rsidRPr="008A3512" w:rsidRDefault="00DF0AA3" w:rsidP="008A3512">
            <w:r w:rsidRPr="008A3512">
              <w:t>M. Tomasz Targosinski (Pologne)</w:t>
            </w:r>
          </w:p>
          <w:p w:rsidR="00DF0AA3" w:rsidRPr="008A3512" w:rsidRDefault="00DF0AA3" w:rsidP="008A3512">
            <w:r w:rsidRPr="008A3512">
              <w:t>Tél.: +48 22 4385 157</w:t>
            </w:r>
          </w:p>
          <w:p w:rsidR="00DF0AA3" w:rsidRPr="008A3512" w:rsidRDefault="00DF0AA3" w:rsidP="008A3512">
            <w:pPr>
              <w:rPr>
                <w:lang w:val="fr-FR"/>
              </w:rPr>
            </w:pPr>
            <w:r w:rsidRPr="008A3512">
              <w:rPr>
                <w:lang w:val="fr-FR"/>
              </w:rPr>
              <w:t>Télécopie: + 48 22 4385 401</w:t>
            </w:r>
          </w:p>
          <w:p w:rsidR="00DF0AA3" w:rsidRPr="008A3512" w:rsidRDefault="00DF0AA3" w:rsidP="008A3512">
            <w:pPr>
              <w:rPr>
                <w:lang w:val="fr-FR"/>
              </w:rPr>
            </w:pPr>
            <w:r w:rsidRPr="008A3512">
              <w:rPr>
                <w:lang w:val="fr-FR"/>
              </w:rPr>
              <w:t>Courriel: tomasz.targosinski@its.waw.pl</w:t>
            </w:r>
          </w:p>
        </w:tc>
      </w:tr>
    </w:tbl>
    <w:p w:rsidR="00F9573C" w:rsidRPr="00DF0AA3" w:rsidRDefault="00DF0AA3" w:rsidP="00DF0A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DF0AA3" w:rsidSect="00DF0AA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90" w:rsidRDefault="00912E90" w:rsidP="00F95C08">
      <w:pPr>
        <w:spacing w:line="240" w:lineRule="auto"/>
      </w:pPr>
    </w:p>
  </w:endnote>
  <w:endnote w:type="continuationSeparator" w:id="0">
    <w:p w:rsidR="00912E90" w:rsidRPr="00AC3823" w:rsidRDefault="00912E90" w:rsidP="00AC3823">
      <w:pPr>
        <w:pStyle w:val="Footer"/>
      </w:pPr>
    </w:p>
  </w:endnote>
  <w:endnote w:type="continuationNotice" w:id="1">
    <w:p w:rsidR="00912E90" w:rsidRDefault="00912E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90" w:rsidRPr="00DF0AA3" w:rsidRDefault="00912E90" w:rsidP="00DF0AA3">
    <w:pPr>
      <w:pStyle w:val="Footer"/>
      <w:tabs>
        <w:tab w:val="right" w:pos="9638"/>
      </w:tabs>
    </w:pPr>
    <w:r w:rsidRPr="00DF0AA3">
      <w:rPr>
        <w:b/>
        <w:sz w:val="18"/>
      </w:rPr>
      <w:fldChar w:fldCharType="begin"/>
    </w:r>
    <w:r w:rsidRPr="00DF0AA3">
      <w:rPr>
        <w:b/>
        <w:sz w:val="18"/>
      </w:rPr>
      <w:instrText xml:space="preserve"> PAGE  \* MERGEFORMAT </w:instrText>
    </w:r>
    <w:r w:rsidRPr="00DF0AA3">
      <w:rPr>
        <w:b/>
        <w:sz w:val="18"/>
      </w:rPr>
      <w:fldChar w:fldCharType="separate"/>
    </w:r>
    <w:r w:rsidR="00AA4E2B">
      <w:rPr>
        <w:b/>
        <w:noProof/>
        <w:sz w:val="18"/>
      </w:rPr>
      <w:t>2</w:t>
    </w:r>
    <w:r w:rsidRPr="00DF0AA3">
      <w:rPr>
        <w:b/>
        <w:sz w:val="18"/>
      </w:rPr>
      <w:fldChar w:fldCharType="end"/>
    </w:r>
    <w:r>
      <w:rPr>
        <w:b/>
        <w:sz w:val="18"/>
      </w:rPr>
      <w:tab/>
    </w:r>
    <w:r>
      <w:t>GE.15-09900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90" w:rsidRPr="00DF0AA3" w:rsidRDefault="00912E90" w:rsidP="00DF0AA3">
    <w:pPr>
      <w:pStyle w:val="Footer"/>
      <w:tabs>
        <w:tab w:val="right" w:pos="9638"/>
      </w:tabs>
      <w:rPr>
        <w:b/>
        <w:sz w:val="18"/>
      </w:rPr>
    </w:pPr>
    <w:r>
      <w:t>GE.15-09900</w:t>
    </w:r>
    <w:r>
      <w:tab/>
    </w:r>
    <w:r w:rsidRPr="00DF0AA3">
      <w:rPr>
        <w:b/>
        <w:sz w:val="18"/>
      </w:rPr>
      <w:fldChar w:fldCharType="begin"/>
    </w:r>
    <w:r w:rsidRPr="00DF0AA3">
      <w:rPr>
        <w:b/>
        <w:sz w:val="18"/>
      </w:rPr>
      <w:instrText xml:space="preserve"> PAGE  \* MERGEFORMAT </w:instrText>
    </w:r>
    <w:r w:rsidRPr="00DF0AA3">
      <w:rPr>
        <w:b/>
        <w:sz w:val="18"/>
      </w:rPr>
      <w:fldChar w:fldCharType="separate"/>
    </w:r>
    <w:r w:rsidR="00AA4E2B">
      <w:rPr>
        <w:b/>
        <w:noProof/>
        <w:sz w:val="18"/>
      </w:rPr>
      <w:t>17</w:t>
    </w:r>
    <w:r w:rsidRPr="00DF0A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90" w:rsidRPr="00DF0AA3" w:rsidRDefault="00912E90" w:rsidP="00DF0AA3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FF58CF1" wp14:editId="7A2CCFA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15-09900  (F)    030615    030615</w:t>
    </w:r>
    <w:r>
      <w:rPr>
        <w:sz w:val="20"/>
      </w:rPr>
      <w:br/>
    </w:r>
    <w:r w:rsidRPr="00DF0AA3">
      <w:rPr>
        <w:rFonts w:ascii="C39T30Lfz" w:hAnsi="C39T30Lfz"/>
        <w:sz w:val="56"/>
      </w:rPr>
      <w:t></w:t>
    </w:r>
    <w:r w:rsidRPr="00DF0AA3">
      <w:rPr>
        <w:rFonts w:ascii="C39T30Lfz" w:hAnsi="C39T30Lfz"/>
        <w:sz w:val="56"/>
      </w:rPr>
      <w:t></w:t>
    </w:r>
    <w:r w:rsidRPr="00DF0AA3">
      <w:rPr>
        <w:rFonts w:ascii="C39T30Lfz" w:hAnsi="C39T30Lfz"/>
        <w:sz w:val="56"/>
      </w:rPr>
      <w:t></w:t>
    </w:r>
    <w:r w:rsidRPr="00DF0AA3">
      <w:rPr>
        <w:rFonts w:ascii="C39T30Lfz" w:hAnsi="C39T30Lfz"/>
        <w:sz w:val="56"/>
      </w:rPr>
      <w:t></w:t>
    </w:r>
    <w:r w:rsidRPr="00DF0AA3">
      <w:rPr>
        <w:rFonts w:ascii="C39T30Lfz" w:hAnsi="C39T30Lfz"/>
        <w:sz w:val="56"/>
      </w:rPr>
      <w:t></w:t>
    </w:r>
    <w:r w:rsidRPr="00DF0AA3">
      <w:rPr>
        <w:rFonts w:ascii="C39T30Lfz" w:hAnsi="C39T30Lfz"/>
        <w:sz w:val="56"/>
      </w:rPr>
      <w:t></w:t>
    </w:r>
    <w:r w:rsidRPr="00DF0AA3">
      <w:rPr>
        <w:rFonts w:ascii="C39T30Lfz" w:hAnsi="C39T30Lfz"/>
        <w:sz w:val="56"/>
      </w:rPr>
      <w:t></w:t>
    </w:r>
    <w:r w:rsidRPr="00DF0AA3">
      <w:rPr>
        <w:rFonts w:ascii="C39T30Lfz" w:hAnsi="C39T30Lfz"/>
        <w:sz w:val="56"/>
      </w:rPr>
      <w:t></w:t>
    </w:r>
    <w:r w:rsidRPr="00DF0AA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7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7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90" w:rsidRPr="00AC3823" w:rsidRDefault="00912E9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2E90" w:rsidRPr="00AC3823" w:rsidRDefault="00912E9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12E90" w:rsidRPr="00AC3823" w:rsidRDefault="00912E90">
      <w:pPr>
        <w:spacing w:line="240" w:lineRule="auto"/>
        <w:rPr>
          <w:sz w:val="2"/>
          <w:szCs w:val="2"/>
        </w:rPr>
      </w:pPr>
    </w:p>
  </w:footnote>
  <w:footnote w:id="2">
    <w:p w:rsidR="008A3512" w:rsidRDefault="008A351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054AD0">
        <w:t>Sous réserve de l’accord du WP.29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90" w:rsidRPr="00DF0AA3" w:rsidRDefault="00912E90">
    <w:pPr>
      <w:pStyle w:val="Header"/>
    </w:pPr>
    <w:r>
      <w:t>ECE/TRANS/WP.29/GRE/73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90" w:rsidRPr="00DF0AA3" w:rsidRDefault="00912E90" w:rsidP="00DF0AA3">
    <w:pPr>
      <w:pStyle w:val="Header"/>
      <w:jc w:val="right"/>
    </w:pPr>
    <w:r>
      <w:t>ECE/TRANS/WP.29/GRE/73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9530C"/>
    <w:multiLevelType w:val="hybridMultilevel"/>
    <w:tmpl w:val="98240E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D2461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2D78C9"/>
    <w:multiLevelType w:val="hybridMultilevel"/>
    <w:tmpl w:val="26806C5C"/>
    <w:lvl w:ilvl="0" w:tplc="326E006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>
    <w:nsid w:val="3C1C4010"/>
    <w:multiLevelType w:val="hybridMultilevel"/>
    <w:tmpl w:val="4CF26848"/>
    <w:lvl w:ilvl="0" w:tplc="74684D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CDE5D8A"/>
    <w:multiLevelType w:val="hybridMultilevel"/>
    <w:tmpl w:val="691CDC86"/>
    <w:lvl w:ilvl="0" w:tplc="B322D5C4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4D376BE3"/>
    <w:multiLevelType w:val="hybridMultilevel"/>
    <w:tmpl w:val="AB764BDE"/>
    <w:lvl w:ilvl="0" w:tplc="672C5CC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205D6A"/>
    <w:multiLevelType w:val="hybridMultilevel"/>
    <w:tmpl w:val="F47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66571"/>
    <w:multiLevelType w:val="hybridMultilevel"/>
    <w:tmpl w:val="6B2E394E"/>
    <w:lvl w:ilvl="0" w:tplc="3B9C1E58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DD1964"/>
    <w:multiLevelType w:val="hybridMultilevel"/>
    <w:tmpl w:val="DC8EB236"/>
    <w:lvl w:ilvl="0" w:tplc="AD062D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>
    <w:nsid w:val="6F9745F0"/>
    <w:multiLevelType w:val="hybridMultilevel"/>
    <w:tmpl w:val="77E61C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1465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2588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C40881"/>
    <w:multiLevelType w:val="hybridMultilevel"/>
    <w:tmpl w:val="AC90B73E"/>
    <w:lvl w:ilvl="0" w:tplc="35D6D3F0">
      <w:start w:val="1"/>
      <w:numFmt w:val="lowerLetter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6"/>
  </w:num>
  <w:num w:numId="16">
    <w:abstractNumId w:val="14"/>
  </w:num>
  <w:num w:numId="17">
    <w:abstractNumId w:val="32"/>
  </w:num>
  <w:num w:numId="18">
    <w:abstractNumId w:val="13"/>
  </w:num>
  <w:num w:numId="19">
    <w:abstractNumId w:val="31"/>
  </w:num>
  <w:num w:numId="20">
    <w:abstractNumId w:val="29"/>
  </w:num>
  <w:num w:numId="21">
    <w:abstractNumId w:val="25"/>
  </w:num>
  <w:num w:numId="22">
    <w:abstractNumId w:val="30"/>
  </w:num>
  <w:num w:numId="23">
    <w:abstractNumId w:val="11"/>
  </w:num>
  <w:num w:numId="24">
    <w:abstractNumId w:val="15"/>
  </w:num>
  <w:num w:numId="25">
    <w:abstractNumId w:val="10"/>
  </w:num>
  <w:num w:numId="26">
    <w:abstractNumId w:val="33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26"/>
  </w:num>
  <w:num w:numId="32">
    <w:abstractNumId w:val="28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56"/>
    <w:rsid w:val="00017F94"/>
    <w:rsid w:val="00023842"/>
    <w:rsid w:val="000334F9"/>
    <w:rsid w:val="00057728"/>
    <w:rsid w:val="0007796D"/>
    <w:rsid w:val="000B7790"/>
    <w:rsid w:val="00111F2F"/>
    <w:rsid w:val="0014365E"/>
    <w:rsid w:val="00143C66"/>
    <w:rsid w:val="00176178"/>
    <w:rsid w:val="001F525A"/>
    <w:rsid w:val="00223272"/>
    <w:rsid w:val="002436A9"/>
    <w:rsid w:val="0024779E"/>
    <w:rsid w:val="00257168"/>
    <w:rsid w:val="002744B8"/>
    <w:rsid w:val="002832AC"/>
    <w:rsid w:val="002A6661"/>
    <w:rsid w:val="002D7C93"/>
    <w:rsid w:val="00305801"/>
    <w:rsid w:val="003916DE"/>
    <w:rsid w:val="003946E5"/>
    <w:rsid w:val="00441C3B"/>
    <w:rsid w:val="00446FE5"/>
    <w:rsid w:val="00452396"/>
    <w:rsid w:val="004608C6"/>
    <w:rsid w:val="004837D8"/>
    <w:rsid w:val="00491839"/>
    <w:rsid w:val="004E468C"/>
    <w:rsid w:val="005505B7"/>
    <w:rsid w:val="00557D70"/>
    <w:rsid w:val="00573BE5"/>
    <w:rsid w:val="00586ED3"/>
    <w:rsid w:val="00596AA9"/>
    <w:rsid w:val="005C71FA"/>
    <w:rsid w:val="005D73CD"/>
    <w:rsid w:val="006242BE"/>
    <w:rsid w:val="006A4356"/>
    <w:rsid w:val="006C3EC5"/>
    <w:rsid w:val="00700B74"/>
    <w:rsid w:val="0070708C"/>
    <w:rsid w:val="0071601D"/>
    <w:rsid w:val="00795F1F"/>
    <w:rsid w:val="007A62E6"/>
    <w:rsid w:val="007F20FA"/>
    <w:rsid w:val="0080684C"/>
    <w:rsid w:val="008334E6"/>
    <w:rsid w:val="00871C75"/>
    <w:rsid w:val="008776DC"/>
    <w:rsid w:val="008A3512"/>
    <w:rsid w:val="00912E90"/>
    <w:rsid w:val="009409CB"/>
    <w:rsid w:val="009705C8"/>
    <w:rsid w:val="009C1CF4"/>
    <w:rsid w:val="009F6B74"/>
    <w:rsid w:val="00A30353"/>
    <w:rsid w:val="00A43EB0"/>
    <w:rsid w:val="00A47341"/>
    <w:rsid w:val="00AA4E2B"/>
    <w:rsid w:val="00AC3823"/>
    <w:rsid w:val="00AE323C"/>
    <w:rsid w:val="00AF0CB5"/>
    <w:rsid w:val="00B00181"/>
    <w:rsid w:val="00B00B0D"/>
    <w:rsid w:val="00B765F7"/>
    <w:rsid w:val="00BA0CA9"/>
    <w:rsid w:val="00BE7246"/>
    <w:rsid w:val="00C02897"/>
    <w:rsid w:val="00C42C80"/>
    <w:rsid w:val="00CD6AF5"/>
    <w:rsid w:val="00D3439C"/>
    <w:rsid w:val="00DB1831"/>
    <w:rsid w:val="00DB798F"/>
    <w:rsid w:val="00DD3BFD"/>
    <w:rsid w:val="00DF0AA3"/>
    <w:rsid w:val="00DF6678"/>
    <w:rsid w:val="00E443EB"/>
    <w:rsid w:val="00E85C74"/>
    <w:rsid w:val="00EA6547"/>
    <w:rsid w:val="00EB42B6"/>
    <w:rsid w:val="00EF2E22"/>
    <w:rsid w:val="00F35BAF"/>
    <w:rsid w:val="00F6145B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F0AA3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F0AA3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DF0AA3"/>
    <w:rPr>
      <w:rFonts w:ascii="Times New Roman" w:hAnsi="Times New Roman" w:cs="Times New Roman"/>
      <w:b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DF0AA3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F0AA3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F0AA3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DF0AA3"/>
    <w:rPr>
      <w:rFonts w:ascii="Times New Roman" w:hAnsi="Times New Roman" w:cs="Times New Roman"/>
      <w:b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DF0AA3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l.manz@kit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reas.schauer@vdm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o.karkkainen@trafi.fi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6332</Words>
  <Characters>36098</Characters>
  <Application>Microsoft Office Word</Application>
  <DocSecurity>4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ECE/TRANS/WP.29/GRE/73</vt:lpstr>
      <vt:lpstr>ECE/TRANS/WP.29/GRE/73</vt:lpstr>
    </vt:vector>
  </TitlesOfParts>
  <Company>DCM</Company>
  <LinksUpToDate>false</LinksUpToDate>
  <CharactersWithSpaces>42346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ECE/TRANS/WP.29/GRE/73</dc:title>
  <dc:subject>Final</dc:subject>
  <dc:creator>Crelier</dc:creator>
  <cp:lastModifiedBy>Benedicte Boudol</cp:lastModifiedBy>
  <cp:revision>2</cp:revision>
  <cp:lastPrinted>2015-06-03T15:39:00Z</cp:lastPrinted>
  <dcterms:created xsi:type="dcterms:W3CDTF">2015-06-09T08:43:00Z</dcterms:created>
  <dcterms:modified xsi:type="dcterms:W3CDTF">2015-06-09T08:43:00Z</dcterms:modified>
</cp:coreProperties>
</file>