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35" w:rsidRPr="003754A8" w:rsidRDefault="00CD6F35" w:rsidP="00CD6F35">
      <w:pPr>
        <w:spacing w:line="240" w:lineRule="auto"/>
        <w:rPr>
          <w:sz w:val="2"/>
          <w:lang w:val="fr-CH"/>
        </w:rPr>
        <w:sectPr w:rsidR="00CD6F35" w:rsidRPr="003754A8" w:rsidSect="00CD6F3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CD6F35" w:rsidRDefault="00CD6F35" w:rsidP="001D6EE5">
      <w:pPr>
        <w:pStyle w:val="H1"/>
        <w:rPr>
          <w:sz w:val="28"/>
          <w:lang w:val="fr-CH"/>
        </w:rPr>
      </w:pPr>
      <w:r w:rsidRPr="003754A8">
        <w:rPr>
          <w:sz w:val="28"/>
          <w:lang w:val="fr-CH"/>
        </w:rPr>
        <w:lastRenderedPageBreak/>
        <w:t>Commission économique pour l’Europe</w:t>
      </w:r>
    </w:p>
    <w:p w:rsidR="001D6EE5" w:rsidRPr="001D6EE5" w:rsidRDefault="001D6EE5" w:rsidP="001D6EE5">
      <w:pPr>
        <w:spacing w:line="120" w:lineRule="exact"/>
        <w:rPr>
          <w:sz w:val="10"/>
          <w:lang w:val="fr-CH"/>
        </w:rPr>
      </w:pPr>
    </w:p>
    <w:p w:rsidR="00CD6F35" w:rsidRDefault="00CD6F35" w:rsidP="001D6EE5">
      <w:pPr>
        <w:pStyle w:val="H1"/>
        <w:spacing w:line="300" w:lineRule="exact"/>
        <w:rPr>
          <w:b w:val="0"/>
          <w:sz w:val="28"/>
          <w:lang w:val="fr-CH"/>
        </w:rPr>
      </w:pPr>
      <w:r w:rsidRPr="003754A8">
        <w:rPr>
          <w:b w:val="0"/>
          <w:sz w:val="28"/>
          <w:lang w:val="fr-CH"/>
        </w:rPr>
        <w:t>Comité des transports intérieurs</w:t>
      </w:r>
    </w:p>
    <w:p w:rsidR="001D6EE5" w:rsidRPr="001D6EE5" w:rsidRDefault="001D6EE5" w:rsidP="001D6EE5">
      <w:pPr>
        <w:pStyle w:val="SingleTxt"/>
        <w:spacing w:after="0" w:line="120" w:lineRule="exact"/>
        <w:ind w:left="0"/>
        <w:rPr>
          <w:sz w:val="10"/>
          <w:lang w:val="fr-CH"/>
        </w:rPr>
      </w:pPr>
    </w:p>
    <w:p w:rsidR="003754A8" w:rsidRPr="003754A8" w:rsidRDefault="003754A8" w:rsidP="003754A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754A8">
        <w:rPr>
          <w:lang w:val="fr-CH"/>
        </w:rPr>
        <w:t xml:space="preserve">Forum mondial de l’harmonisation </w:t>
      </w:r>
      <w:r w:rsidRPr="003754A8">
        <w:rPr>
          <w:lang w:val="fr-CH"/>
        </w:rPr>
        <w:br/>
        <w:t>des Règlements concernant les véhicules</w:t>
      </w:r>
    </w:p>
    <w:p w:rsidR="003754A8" w:rsidRPr="003754A8" w:rsidRDefault="003754A8" w:rsidP="003754A8">
      <w:pPr>
        <w:spacing w:line="120" w:lineRule="exact"/>
        <w:rPr>
          <w:sz w:val="10"/>
          <w:lang w:val="fr-CH"/>
        </w:rPr>
      </w:pPr>
    </w:p>
    <w:p w:rsidR="003754A8" w:rsidRPr="003754A8" w:rsidRDefault="003754A8" w:rsidP="003754A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754A8">
        <w:rPr>
          <w:lang w:val="fr-CH"/>
        </w:rPr>
        <w:t xml:space="preserve">Groupe de travail de l’éclairage </w:t>
      </w:r>
      <w:r w:rsidR="00F57FDC">
        <w:rPr>
          <w:lang w:val="fr-CH"/>
        </w:rPr>
        <w:br/>
      </w:r>
      <w:r w:rsidRPr="003754A8">
        <w:rPr>
          <w:lang w:val="fr-CH"/>
        </w:rPr>
        <w:t>et de la signalisation lumineuse</w:t>
      </w:r>
    </w:p>
    <w:p w:rsidR="003754A8" w:rsidRPr="003754A8" w:rsidRDefault="003754A8" w:rsidP="003754A8">
      <w:pPr>
        <w:spacing w:line="120" w:lineRule="exact"/>
        <w:rPr>
          <w:sz w:val="10"/>
          <w:lang w:val="fr-CH"/>
        </w:rPr>
      </w:pPr>
    </w:p>
    <w:p w:rsidR="003754A8" w:rsidRPr="003754A8" w:rsidRDefault="003754A8" w:rsidP="003754A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754A8">
        <w:rPr>
          <w:lang w:val="fr-CH"/>
        </w:rPr>
        <w:t>Soixante-quatorzième session</w:t>
      </w:r>
    </w:p>
    <w:p w:rsidR="003754A8" w:rsidRPr="003754A8" w:rsidRDefault="003754A8" w:rsidP="003754A8">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754A8">
        <w:rPr>
          <w:lang w:val="fr-CH"/>
        </w:rPr>
        <w:t>Genève, 20-23 octobre 2015</w:t>
      </w:r>
    </w:p>
    <w:p w:rsidR="003754A8" w:rsidRPr="003754A8" w:rsidRDefault="003754A8" w:rsidP="003754A8">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754A8">
        <w:rPr>
          <w:lang w:val="fr-CH"/>
        </w:rPr>
        <w:t>Point 6 a) de l’ordre du jour provisoire</w:t>
      </w:r>
    </w:p>
    <w:p w:rsidR="003754A8" w:rsidRPr="003754A8" w:rsidRDefault="003754A8" w:rsidP="003754A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754A8">
        <w:rPr>
          <w:lang w:val="fr-CH"/>
        </w:rPr>
        <w:t>Règlement n</w:t>
      </w:r>
      <w:r w:rsidRPr="003754A8">
        <w:rPr>
          <w:vertAlign w:val="superscript"/>
          <w:lang w:val="fr-CH"/>
        </w:rPr>
        <w:t>o</w:t>
      </w:r>
      <w:r w:rsidRPr="003754A8">
        <w:rPr>
          <w:lang w:val="fr-CH"/>
        </w:rPr>
        <w:t> 48 (</w:t>
      </w:r>
      <w:r w:rsidRPr="003754A8">
        <w:rPr>
          <w:rFonts w:ascii="CG Times" w:hAnsi="CG Times"/>
          <w:szCs w:val="20"/>
          <w:lang w:val="fr-CH"/>
        </w:rPr>
        <w:t xml:space="preserve">Installation des dispositifs d’éclairage </w:t>
      </w:r>
      <w:r w:rsidRPr="003754A8">
        <w:rPr>
          <w:rFonts w:ascii="CG Times" w:hAnsi="CG Times"/>
          <w:szCs w:val="20"/>
          <w:lang w:val="fr-CH"/>
        </w:rPr>
        <w:br/>
        <w:t>et de signalisation lumineuse)</w:t>
      </w:r>
      <w:r w:rsidRPr="003754A8">
        <w:rPr>
          <w:lang w:val="fr-CH"/>
        </w:rPr>
        <w:t xml:space="preserve"> </w:t>
      </w:r>
      <w:r w:rsidR="00F57FDC">
        <w:rPr>
          <w:lang w:val="fr-CH"/>
        </w:rPr>
        <w:t xml:space="preserve">– </w:t>
      </w:r>
      <w:r w:rsidRPr="003754A8">
        <w:rPr>
          <w:lang w:val="fr-CH"/>
        </w:rPr>
        <w:t xml:space="preserve">Propositions d’amendements </w:t>
      </w:r>
      <w:r w:rsidRPr="003754A8">
        <w:rPr>
          <w:lang w:val="fr-CH"/>
        </w:rPr>
        <w:br/>
        <w:t>aux séries 05 et 06 d’amendements</w:t>
      </w:r>
    </w:p>
    <w:p w:rsidR="003754A8" w:rsidRPr="003754A8" w:rsidRDefault="003754A8" w:rsidP="003754A8">
      <w:pPr>
        <w:pStyle w:val="SingleTxt"/>
        <w:spacing w:after="0" w:line="120" w:lineRule="exact"/>
        <w:rPr>
          <w:sz w:val="10"/>
          <w:lang w:val="fr-CH"/>
        </w:rPr>
      </w:pPr>
    </w:p>
    <w:p w:rsidR="003754A8" w:rsidRPr="003754A8" w:rsidRDefault="003754A8" w:rsidP="003754A8">
      <w:pPr>
        <w:pStyle w:val="SingleTxt"/>
        <w:spacing w:after="0" w:line="120" w:lineRule="exact"/>
        <w:rPr>
          <w:sz w:val="10"/>
          <w:lang w:val="fr-CH"/>
        </w:rPr>
      </w:pPr>
    </w:p>
    <w:p w:rsidR="003754A8" w:rsidRPr="003754A8" w:rsidRDefault="003754A8" w:rsidP="003754A8">
      <w:pPr>
        <w:pStyle w:val="SingleTxt"/>
        <w:spacing w:after="0" w:line="120" w:lineRule="exact"/>
        <w:rPr>
          <w:sz w:val="10"/>
          <w:lang w:val="fr-CH"/>
        </w:rPr>
      </w:pPr>
    </w:p>
    <w:p w:rsidR="003754A8" w:rsidRPr="003754A8" w:rsidRDefault="003754A8" w:rsidP="003754A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754A8">
        <w:rPr>
          <w:lang w:val="fr-CH"/>
        </w:rPr>
        <w:tab/>
      </w:r>
      <w:r w:rsidRPr="003754A8">
        <w:rPr>
          <w:lang w:val="fr-CH"/>
        </w:rPr>
        <w:tab/>
        <w:t>Proposition de complément 5 au Règlement n</w:t>
      </w:r>
      <w:r w:rsidRPr="003754A8">
        <w:rPr>
          <w:vertAlign w:val="superscript"/>
          <w:lang w:val="fr-CH"/>
        </w:rPr>
        <w:t>o</w:t>
      </w:r>
      <w:r w:rsidRPr="001D6EE5">
        <w:rPr>
          <w:lang w:val="fr-CH"/>
        </w:rPr>
        <w:t> </w:t>
      </w:r>
      <w:r w:rsidRPr="003754A8">
        <w:rPr>
          <w:lang w:val="fr-CH"/>
        </w:rPr>
        <w:t xml:space="preserve">48 </w:t>
      </w:r>
      <w:r w:rsidRPr="003754A8">
        <w:rPr>
          <w:lang w:val="fr-CH"/>
        </w:rPr>
        <w:br/>
        <w:t xml:space="preserve">(Installation des dispositifs d’éclairage </w:t>
      </w:r>
      <w:r w:rsidRPr="003754A8">
        <w:rPr>
          <w:lang w:val="fr-CH"/>
        </w:rPr>
        <w:br/>
        <w:t xml:space="preserve">et de signalisation lumineuse) </w:t>
      </w:r>
    </w:p>
    <w:p w:rsidR="003754A8" w:rsidRPr="003754A8" w:rsidRDefault="003754A8" w:rsidP="003754A8">
      <w:pPr>
        <w:pStyle w:val="SingleTxt"/>
        <w:spacing w:after="0" w:line="120" w:lineRule="exact"/>
        <w:rPr>
          <w:sz w:val="10"/>
          <w:lang w:val="fr-CH"/>
        </w:rPr>
      </w:pPr>
    </w:p>
    <w:p w:rsidR="003754A8" w:rsidRPr="003754A8" w:rsidRDefault="003754A8" w:rsidP="003754A8">
      <w:pPr>
        <w:pStyle w:val="SingleTxt"/>
        <w:spacing w:after="0" w:line="120" w:lineRule="exact"/>
        <w:rPr>
          <w:sz w:val="10"/>
          <w:lang w:val="fr-CH"/>
        </w:rPr>
      </w:pPr>
    </w:p>
    <w:p w:rsidR="003754A8" w:rsidRPr="003754A8" w:rsidRDefault="003754A8" w:rsidP="003754A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sidRPr="003754A8">
        <w:rPr>
          <w:lang w:val="fr-CH"/>
        </w:rPr>
        <w:tab/>
      </w:r>
      <w:r w:rsidRPr="003754A8">
        <w:rPr>
          <w:lang w:val="fr-CH"/>
        </w:rPr>
        <w:tab/>
        <w:t>Communication de l’expert de l’Allemagne</w:t>
      </w:r>
      <w:r w:rsidRPr="003754A8">
        <w:rPr>
          <w:rStyle w:val="FootnoteReference"/>
          <w:b w:val="0"/>
          <w:sz w:val="20"/>
          <w:szCs w:val="20"/>
          <w:vertAlign w:val="baseline"/>
          <w:lang w:val="fr-CH"/>
        </w:rPr>
        <w:footnoteReference w:customMarkFollows="1" w:id="1"/>
        <w:t>*</w:t>
      </w:r>
    </w:p>
    <w:p w:rsidR="003754A8" w:rsidRPr="003754A8" w:rsidRDefault="003754A8" w:rsidP="003754A8">
      <w:pPr>
        <w:pStyle w:val="SingleTxt"/>
        <w:spacing w:after="0" w:line="120" w:lineRule="exact"/>
        <w:rPr>
          <w:sz w:val="10"/>
          <w:lang w:val="fr-CH"/>
        </w:rPr>
      </w:pPr>
    </w:p>
    <w:p w:rsidR="003754A8" w:rsidRPr="003754A8" w:rsidRDefault="003754A8" w:rsidP="003754A8">
      <w:pPr>
        <w:pStyle w:val="SingleTxt"/>
        <w:spacing w:after="0" w:line="120" w:lineRule="exact"/>
        <w:rPr>
          <w:sz w:val="10"/>
          <w:lang w:val="fr-CH"/>
        </w:rPr>
      </w:pPr>
    </w:p>
    <w:p w:rsidR="003754A8" w:rsidRPr="003754A8" w:rsidRDefault="003754A8" w:rsidP="003754A8">
      <w:pPr>
        <w:pStyle w:val="SingleTxt"/>
        <w:rPr>
          <w:lang w:val="fr-CH"/>
        </w:rPr>
      </w:pPr>
      <w:r w:rsidRPr="003754A8">
        <w:rPr>
          <w:lang w:val="fr-CH"/>
        </w:rPr>
        <w:tab/>
        <w:t xml:space="preserve">Les modifications qu’il est proposé d’apporter au texte actuel du Règlement apparaissent en caractères gras pour les ajouts et en caractères biffés pour les suppressions. </w:t>
      </w:r>
      <w:bookmarkStart w:id="2" w:name="OLE_LINK1"/>
      <w:bookmarkEnd w:id="2"/>
    </w:p>
    <w:p w:rsidR="003754A8" w:rsidRPr="003754A8" w:rsidRDefault="003754A8" w:rsidP="003754A8">
      <w:pPr>
        <w:spacing w:line="240" w:lineRule="auto"/>
        <w:rPr>
          <w:lang w:val="fr-CH"/>
        </w:rPr>
      </w:pPr>
      <w:r w:rsidRPr="003754A8">
        <w:rPr>
          <w:lang w:val="fr-CH"/>
        </w:rPr>
        <w:br w:type="page"/>
      </w:r>
    </w:p>
    <w:p w:rsidR="003754A8" w:rsidRPr="003754A8" w:rsidRDefault="003754A8" w:rsidP="003754A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754A8">
        <w:rPr>
          <w:sz w:val="24"/>
          <w:lang w:val="fr-CH"/>
        </w:rPr>
        <w:lastRenderedPageBreak/>
        <w:tab/>
      </w:r>
      <w:r w:rsidRPr="003754A8">
        <w:rPr>
          <w:lang w:val="fr-CH"/>
        </w:rPr>
        <w:t>I.</w:t>
      </w:r>
      <w:r w:rsidRPr="003754A8">
        <w:rPr>
          <w:lang w:val="fr-CH"/>
        </w:rPr>
        <w:tab/>
        <w:t>Proposition</w:t>
      </w:r>
    </w:p>
    <w:p w:rsidR="003754A8" w:rsidRPr="003754A8" w:rsidRDefault="003754A8" w:rsidP="003754A8">
      <w:pPr>
        <w:pStyle w:val="SingleTxt"/>
        <w:spacing w:after="0" w:line="120" w:lineRule="exact"/>
        <w:rPr>
          <w:sz w:val="10"/>
          <w:lang w:val="fr-CH"/>
        </w:rPr>
      </w:pPr>
    </w:p>
    <w:p w:rsidR="003754A8" w:rsidRPr="003754A8" w:rsidRDefault="003754A8" w:rsidP="003754A8">
      <w:pPr>
        <w:pStyle w:val="SingleTxt"/>
        <w:spacing w:after="0" w:line="120" w:lineRule="exact"/>
        <w:rPr>
          <w:sz w:val="10"/>
          <w:lang w:val="fr-CH"/>
        </w:rPr>
      </w:pPr>
    </w:p>
    <w:p w:rsidR="003754A8" w:rsidRPr="003754A8" w:rsidRDefault="003754A8" w:rsidP="003754A8">
      <w:pPr>
        <w:pStyle w:val="SingleTxt"/>
        <w:rPr>
          <w:lang w:val="fr-CH"/>
        </w:rPr>
      </w:pPr>
      <w:r w:rsidRPr="003754A8">
        <w:rPr>
          <w:i/>
          <w:lang w:val="fr-CH"/>
        </w:rPr>
        <w:t>Paragraphe 6.13.4.2</w:t>
      </w:r>
      <w:r w:rsidRPr="003754A8">
        <w:rPr>
          <w:lang w:val="fr-CH"/>
        </w:rPr>
        <w:t>, modifier comme suit :</w:t>
      </w:r>
    </w:p>
    <w:p w:rsidR="003754A8" w:rsidRPr="003754A8" w:rsidRDefault="003754A8" w:rsidP="003754A8">
      <w:pPr>
        <w:pStyle w:val="SingleTxt"/>
        <w:rPr>
          <w:lang w:val="fr-CH"/>
        </w:rPr>
      </w:pPr>
      <w:r w:rsidRPr="003754A8">
        <w:rPr>
          <w:lang w:val="fr-CH"/>
        </w:rPr>
        <w:t>« 6.13.4.2</w:t>
      </w:r>
      <w:r w:rsidRPr="003754A8">
        <w:rPr>
          <w:lang w:val="fr-CH"/>
        </w:rPr>
        <w:tab/>
      </w:r>
      <w:r w:rsidRPr="003754A8">
        <w:rPr>
          <w:lang w:val="fr-CH"/>
        </w:rPr>
        <w:tab/>
        <w:t xml:space="preserve">En hauteur : </w:t>
      </w:r>
    </w:p>
    <w:p w:rsidR="003754A8" w:rsidRPr="003754A8" w:rsidRDefault="003754A8" w:rsidP="003754A8">
      <w:pPr>
        <w:pStyle w:val="SingleTxt"/>
        <w:ind w:left="2693" w:hanging="1426"/>
        <w:rPr>
          <w:lang w:val="fr-CH"/>
        </w:rPr>
      </w:pPr>
      <w:r w:rsidRPr="003754A8">
        <w:rPr>
          <w:lang w:val="fr-CH"/>
        </w:rPr>
        <w:tab/>
      </w:r>
      <w:r w:rsidRPr="003754A8">
        <w:rPr>
          <w:lang w:val="fr-CH"/>
        </w:rPr>
        <w:tab/>
      </w:r>
      <w:r w:rsidRPr="003754A8">
        <w:rPr>
          <w:lang w:val="fr-CH"/>
        </w:rPr>
        <w:tab/>
        <w:t>Avant : V</w:t>
      </w:r>
      <w:bookmarkStart w:id="3" w:name="insstart"/>
      <w:bookmarkEnd w:id="3"/>
      <w:r w:rsidRPr="003754A8">
        <w:rPr>
          <w:lang w:val="fr-CH"/>
        </w:rPr>
        <w:t>éhicules à moteur; le plan horizontal tangent au bord supérieur de la surface apparente dans la direction de l’axe de référence du dispositif ne doit pas être inférieur au plan horizontal tangent au bord supérieur de la zone transparente du pare-brise.</w:t>
      </w:r>
    </w:p>
    <w:p w:rsidR="003754A8" w:rsidRPr="003754A8" w:rsidRDefault="003754A8" w:rsidP="003754A8">
      <w:pPr>
        <w:pStyle w:val="SingleTxt"/>
        <w:ind w:left="2693" w:hanging="1426"/>
        <w:rPr>
          <w:lang w:val="fr-CH"/>
        </w:rPr>
      </w:pPr>
      <w:r w:rsidRPr="003754A8">
        <w:rPr>
          <w:lang w:val="fr-CH"/>
        </w:rPr>
        <w:tab/>
      </w:r>
      <w:r w:rsidRPr="003754A8">
        <w:rPr>
          <w:lang w:val="fr-CH"/>
        </w:rPr>
        <w:tab/>
      </w:r>
      <w:r w:rsidRPr="003754A8">
        <w:rPr>
          <w:lang w:val="fr-CH"/>
        </w:rPr>
        <w:tab/>
        <w:t>Remorques et semi-remorques</w:t>
      </w:r>
      <w:r w:rsidR="00F57FDC">
        <w:rPr>
          <w:lang w:val="fr-CH"/>
        </w:rPr>
        <w:t> </w:t>
      </w:r>
      <w:r w:rsidRPr="003754A8">
        <w:rPr>
          <w:lang w:val="fr-CH"/>
        </w:rPr>
        <w:t xml:space="preserve">: À la hauteur maximale compatible avec les exigences relatives à la largeur, la construction et les exigences fonctionnelles du véhicule, ainsi qu’à la symétrie des feux. </w:t>
      </w:r>
    </w:p>
    <w:p w:rsidR="003754A8" w:rsidRPr="003754A8" w:rsidRDefault="003754A8" w:rsidP="003754A8">
      <w:pPr>
        <w:pStyle w:val="SingleTxt"/>
        <w:ind w:left="2693" w:hanging="1426"/>
        <w:rPr>
          <w:b/>
          <w:szCs w:val="20"/>
          <w:lang w:val="fr-CH"/>
        </w:rPr>
      </w:pPr>
      <w:r w:rsidRPr="003754A8">
        <w:rPr>
          <w:b/>
          <w:sz w:val="24"/>
          <w:szCs w:val="24"/>
          <w:lang w:val="fr-CH"/>
        </w:rPr>
        <w:tab/>
      </w:r>
      <w:r w:rsidRPr="003754A8">
        <w:rPr>
          <w:b/>
          <w:sz w:val="24"/>
          <w:szCs w:val="24"/>
          <w:lang w:val="fr-CH"/>
        </w:rPr>
        <w:tab/>
      </w:r>
      <w:r w:rsidRPr="003754A8">
        <w:rPr>
          <w:b/>
          <w:sz w:val="24"/>
          <w:szCs w:val="24"/>
          <w:lang w:val="fr-CH"/>
        </w:rPr>
        <w:tab/>
      </w:r>
      <w:r w:rsidR="00F57FDC" w:rsidRPr="003754A8">
        <w:rPr>
          <w:lang w:val="fr-CH"/>
        </w:rPr>
        <w:t>“</w:t>
      </w:r>
      <w:r w:rsidRPr="003754A8">
        <w:rPr>
          <w:b/>
          <w:szCs w:val="20"/>
          <w:lang w:val="fr-CH"/>
        </w:rPr>
        <w:t>Cependant, si deux feux d’encombrement supplémentaires visibles de l’avant</w:t>
      </w:r>
      <w:r w:rsidRPr="003754A8">
        <w:rPr>
          <w:szCs w:val="20"/>
          <w:lang w:val="fr-CH"/>
        </w:rPr>
        <w:t xml:space="preserve"> </w:t>
      </w:r>
      <w:r w:rsidRPr="003754A8">
        <w:rPr>
          <w:b/>
          <w:szCs w:val="20"/>
          <w:lang w:val="fr-CH"/>
        </w:rPr>
        <w:t>sont utilisés pour signaler l’arrière du véhicule, ils doivent être installés de manière que la visibilité du conducteur puisse être assurée par</w:t>
      </w:r>
      <w:r w:rsidRPr="003754A8">
        <w:rPr>
          <w:szCs w:val="20"/>
          <w:lang w:val="fr-CH"/>
        </w:rPr>
        <w:t xml:space="preserve"> </w:t>
      </w:r>
      <w:r w:rsidRPr="003754A8">
        <w:rPr>
          <w:b/>
          <w:szCs w:val="20"/>
          <w:lang w:val="fr-CH"/>
        </w:rPr>
        <w:t>le système de vision indirecte.</w:t>
      </w:r>
      <w:r w:rsidR="00F57FDC" w:rsidRPr="003754A8">
        <w:rPr>
          <w:lang w:val="fr-CH"/>
        </w:rPr>
        <w:t>”</w:t>
      </w:r>
    </w:p>
    <w:p w:rsidR="003754A8" w:rsidRPr="003754A8" w:rsidRDefault="003754A8" w:rsidP="003754A8">
      <w:pPr>
        <w:pStyle w:val="SingleTxt"/>
        <w:ind w:left="2693" w:hanging="1426"/>
        <w:rPr>
          <w:szCs w:val="20"/>
          <w:lang w:val="fr-CH"/>
        </w:rPr>
      </w:pPr>
      <w:r w:rsidRPr="003754A8">
        <w:rPr>
          <w:szCs w:val="20"/>
          <w:lang w:val="fr-CH"/>
        </w:rPr>
        <w:tab/>
      </w:r>
      <w:r w:rsidRPr="003754A8">
        <w:rPr>
          <w:szCs w:val="20"/>
          <w:lang w:val="fr-CH"/>
        </w:rPr>
        <w:tab/>
      </w:r>
      <w:r w:rsidRPr="003754A8">
        <w:rPr>
          <w:szCs w:val="20"/>
          <w:lang w:val="fr-CH"/>
        </w:rPr>
        <w:tab/>
        <w:t>Arrière</w:t>
      </w:r>
      <w:r w:rsidR="00F57FDC">
        <w:rPr>
          <w:szCs w:val="20"/>
          <w:lang w:val="fr-CH"/>
        </w:rPr>
        <w:t> </w:t>
      </w:r>
      <w:r w:rsidRPr="003754A8">
        <w:rPr>
          <w:szCs w:val="20"/>
          <w:lang w:val="fr-CH"/>
        </w:rPr>
        <w:t>: À la hauteur maximale compatible avec les prescriptions relatives à la largeur, à la conception et au fonctionnement du véhicule, ainsi qu’à la symétrie des feux.</w:t>
      </w:r>
    </w:p>
    <w:p w:rsidR="003754A8" w:rsidRPr="003754A8" w:rsidRDefault="003754A8" w:rsidP="003754A8">
      <w:pPr>
        <w:pStyle w:val="SingleTxt"/>
        <w:ind w:left="2693" w:hanging="1426"/>
        <w:rPr>
          <w:szCs w:val="20"/>
          <w:lang w:val="fr-CH"/>
        </w:rPr>
      </w:pPr>
      <w:r w:rsidRPr="003754A8">
        <w:rPr>
          <w:szCs w:val="20"/>
          <w:lang w:val="fr-CH"/>
        </w:rPr>
        <w:tab/>
      </w:r>
      <w:r w:rsidRPr="003754A8">
        <w:rPr>
          <w:szCs w:val="20"/>
          <w:lang w:val="fr-CH"/>
        </w:rPr>
        <w:tab/>
      </w:r>
      <w:r w:rsidRPr="003754A8">
        <w:rPr>
          <w:szCs w:val="20"/>
          <w:lang w:val="fr-CH"/>
        </w:rPr>
        <w:tab/>
        <w:t>Les feux tant facultatifs qu’obligatoires (selon le cas) à monter aussi écartés en hauteur que possible et de manière compatible avec les prescriptions relatives à la conception et au fonctionnement du véhicule ainsi qu’à la symétrie des feux.</w:t>
      </w:r>
      <w:r w:rsidR="00F57FDC">
        <w:rPr>
          <w:szCs w:val="20"/>
          <w:lang w:val="fr-CH"/>
        </w:rPr>
        <w:t> ».</w:t>
      </w:r>
    </w:p>
    <w:p w:rsidR="003754A8" w:rsidRPr="003754A8" w:rsidRDefault="003754A8" w:rsidP="003754A8">
      <w:pPr>
        <w:pStyle w:val="SingleTxt"/>
        <w:spacing w:after="0" w:line="120" w:lineRule="exact"/>
        <w:rPr>
          <w:snapToGrid w:val="0"/>
          <w:sz w:val="10"/>
          <w:lang w:val="fr-CH"/>
        </w:rPr>
      </w:pPr>
    </w:p>
    <w:p w:rsidR="003754A8" w:rsidRPr="003754A8" w:rsidRDefault="003754A8" w:rsidP="003754A8">
      <w:pPr>
        <w:pStyle w:val="SingleTxt"/>
        <w:spacing w:after="0" w:line="120" w:lineRule="exact"/>
        <w:rPr>
          <w:snapToGrid w:val="0"/>
          <w:sz w:val="10"/>
          <w:lang w:val="fr-CH"/>
        </w:rPr>
      </w:pPr>
    </w:p>
    <w:p w:rsidR="003754A8" w:rsidRPr="003754A8" w:rsidRDefault="003754A8" w:rsidP="003754A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754A8">
        <w:rPr>
          <w:lang w:val="fr-CH"/>
        </w:rPr>
        <w:tab/>
        <w:t>II.</w:t>
      </w:r>
      <w:r w:rsidRPr="003754A8">
        <w:rPr>
          <w:lang w:val="fr-CH"/>
        </w:rPr>
        <w:tab/>
        <w:t>Justification</w:t>
      </w:r>
    </w:p>
    <w:p w:rsidR="003754A8" w:rsidRPr="003754A8" w:rsidRDefault="003754A8" w:rsidP="003754A8">
      <w:pPr>
        <w:pStyle w:val="SingleTxt"/>
        <w:spacing w:after="0" w:line="120" w:lineRule="exact"/>
        <w:rPr>
          <w:sz w:val="10"/>
          <w:lang w:val="fr-CH"/>
        </w:rPr>
      </w:pPr>
    </w:p>
    <w:p w:rsidR="003754A8" w:rsidRPr="003754A8" w:rsidRDefault="003754A8" w:rsidP="003754A8">
      <w:pPr>
        <w:pStyle w:val="SingleTxt"/>
        <w:spacing w:after="0" w:line="120" w:lineRule="exact"/>
        <w:rPr>
          <w:sz w:val="10"/>
          <w:lang w:val="fr-CH"/>
        </w:rPr>
      </w:pPr>
    </w:p>
    <w:p w:rsidR="003754A8" w:rsidRPr="003754A8" w:rsidRDefault="003754A8" w:rsidP="003754A8">
      <w:pPr>
        <w:pStyle w:val="SingleTxt"/>
        <w:rPr>
          <w:lang w:val="fr-CH"/>
        </w:rPr>
      </w:pPr>
      <w:r w:rsidRPr="003754A8">
        <w:rPr>
          <w:lang w:val="fr-CH"/>
        </w:rPr>
        <w:tab/>
        <w:t>Les systèmes de vision indirecte (Règlement n</w:t>
      </w:r>
      <w:r w:rsidRPr="003754A8">
        <w:rPr>
          <w:vertAlign w:val="superscript"/>
          <w:lang w:val="fr-CH"/>
        </w:rPr>
        <w:t>o</w:t>
      </w:r>
      <w:r w:rsidRPr="003754A8">
        <w:rPr>
          <w:lang w:val="fr-CH"/>
        </w:rPr>
        <w:t> 46) ne servent à rien la nuit, si la visibilité est insuffisante sur le côté des longs véhicules utilitaires, ainsi que sur des véhicules tels que remorques et semi</w:t>
      </w:r>
      <w:r w:rsidR="00F57FDC">
        <w:rPr>
          <w:lang w:val="fr-CH"/>
        </w:rPr>
        <w:t>-</w:t>
      </w:r>
      <w:r w:rsidRPr="003754A8">
        <w:rPr>
          <w:lang w:val="fr-CH"/>
        </w:rPr>
        <w:t>remorques. Il en résulte des dangers, aux carrefours et aux échangeurs routiers par exemple, pour les autres usagers de la route (cyclistes, piétons). Dans de nombreux pays, les longs véhicules utilitaires utilisent depuis longtemps des feux d’encombrement supplémentaires (</w:t>
      </w:r>
      <w:r w:rsidR="0001580F">
        <w:rPr>
          <w:lang w:val="fr-CH"/>
        </w:rPr>
        <w:t>« </w:t>
      </w:r>
      <w:r w:rsidRPr="003754A8">
        <w:rPr>
          <w:lang w:val="fr-CH"/>
        </w:rPr>
        <w:t>keep-track lights</w:t>
      </w:r>
      <w:r w:rsidR="0001580F">
        <w:rPr>
          <w:lang w:val="fr-CH"/>
        </w:rPr>
        <w:t> »</w:t>
      </w:r>
      <w:r w:rsidRPr="003754A8">
        <w:rPr>
          <w:lang w:val="fr-CH"/>
        </w:rPr>
        <w:t xml:space="preserve"> par exemple) autorisés par les règlements nationaux pour signaler l’arrière du véhicule. Ceci devrait être autorisé, à des fins d’efficacité, pour procéder à une homologation internationale conformément au Règlement n</w:t>
      </w:r>
      <w:r w:rsidRPr="003754A8">
        <w:rPr>
          <w:vertAlign w:val="superscript"/>
          <w:lang w:val="fr-CH"/>
        </w:rPr>
        <w:t>o</w:t>
      </w:r>
      <w:r w:rsidRPr="003754A8">
        <w:rPr>
          <w:lang w:val="fr-CH"/>
        </w:rPr>
        <w:t xml:space="preserve"> 48. </w:t>
      </w:r>
    </w:p>
    <w:p w:rsidR="00CD6F35" w:rsidRPr="003754A8" w:rsidRDefault="003754A8" w:rsidP="003754A8">
      <w:pPr>
        <w:pStyle w:val="SingleTxt"/>
      </w:pPr>
      <w:r>
        <w:rPr>
          <w:noProof/>
          <w:w w:val="100"/>
          <w:lang w:val="en-GB" w:eastAsia="en-GB"/>
        </w:rPr>
        <mc:AlternateContent>
          <mc:Choice Requires="wps">
            <w:drawing>
              <wp:anchor distT="0" distB="0" distL="114300" distR="114300" simplePos="0" relativeHeight="251659264" behindDoc="0" locked="0" layoutInCell="1" allowOverlap="1" wp14:anchorId="5F8E6438" wp14:editId="74A7AB95">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D6F35" w:rsidRPr="003754A8" w:rsidSect="00CD6F35">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12T08:15:00Z" w:initials="Start">
    <w:p w:rsidR="00CD6F35" w:rsidRDefault="00CD6F3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NO&gt;&gt;N1517391F&lt;&lt;ODS JOB NO&gt;&gt;</w:t>
      </w:r>
    </w:p>
    <w:p w:rsidR="00CD6F35" w:rsidRDefault="00CD6F35">
      <w:pPr>
        <w:pStyle w:val="CommentText"/>
      </w:pPr>
      <w:r>
        <w:t>&lt;&lt;ODS DOC SYMBOL1&gt;&gt;ECE/TRANS/WP.29/GRE/2015/34&lt;&lt;ODS DOC SYMBOL1&gt;&gt;</w:t>
      </w:r>
    </w:p>
    <w:p w:rsidR="00CD6F35" w:rsidRDefault="00CD6F3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CFA" w:rsidRDefault="00753CFA" w:rsidP="00F3330B">
      <w:pPr>
        <w:spacing w:line="240" w:lineRule="auto"/>
      </w:pPr>
      <w:r>
        <w:separator/>
      </w:r>
    </w:p>
  </w:endnote>
  <w:endnote w:type="continuationSeparator" w:id="0">
    <w:p w:rsidR="00753CFA" w:rsidRDefault="00753CF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D6F35" w:rsidTr="00CD6F35">
      <w:trPr>
        <w:jc w:val="center"/>
      </w:trPr>
      <w:tc>
        <w:tcPr>
          <w:tcW w:w="5126" w:type="dxa"/>
          <w:shd w:val="clear" w:color="auto" w:fill="auto"/>
        </w:tcPr>
        <w:p w:rsidR="00CD6F35" w:rsidRPr="00CD6F35" w:rsidRDefault="00CD6F35" w:rsidP="00CD6F3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32DE0">
            <w:rPr>
              <w:b w:val="0"/>
              <w:w w:val="103"/>
              <w:sz w:val="14"/>
            </w:rPr>
            <w:t>GE.15-13227</w:t>
          </w:r>
          <w:r>
            <w:rPr>
              <w:b w:val="0"/>
              <w:w w:val="103"/>
              <w:sz w:val="14"/>
            </w:rPr>
            <w:fldChar w:fldCharType="end"/>
          </w:r>
        </w:p>
      </w:tc>
      <w:tc>
        <w:tcPr>
          <w:tcW w:w="5127" w:type="dxa"/>
          <w:shd w:val="clear" w:color="auto" w:fill="auto"/>
        </w:tcPr>
        <w:p w:rsidR="00CD6F35" w:rsidRPr="00CD6F35" w:rsidRDefault="00CD6F35" w:rsidP="00CD6F35">
          <w:pPr>
            <w:pStyle w:val="Footer"/>
            <w:rPr>
              <w:w w:val="103"/>
            </w:rPr>
          </w:pPr>
          <w:r>
            <w:rPr>
              <w:w w:val="103"/>
            </w:rPr>
            <w:fldChar w:fldCharType="begin"/>
          </w:r>
          <w:r>
            <w:rPr>
              <w:w w:val="103"/>
            </w:rPr>
            <w:instrText xml:space="preserve"> PAGE  \* Arabic  \* MERGEFORMAT </w:instrText>
          </w:r>
          <w:r>
            <w:rPr>
              <w:w w:val="103"/>
            </w:rPr>
            <w:fldChar w:fldCharType="separate"/>
          </w:r>
          <w:r w:rsidR="00EF4A2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F4A2D">
            <w:rPr>
              <w:noProof/>
              <w:w w:val="103"/>
            </w:rPr>
            <w:t>2</w:t>
          </w:r>
          <w:r>
            <w:rPr>
              <w:w w:val="103"/>
            </w:rPr>
            <w:fldChar w:fldCharType="end"/>
          </w:r>
        </w:p>
      </w:tc>
    </w:tr>
  </w:tbl>
  <w:p w:rsidR="00CD6F35" w:rsidRPr="00CD6F35" w:rsidRDefault="00CD6F35" w:rsidP="00CD6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D6F35" w:rsidTr="00CD6F35">
      <w:trPr>
        <w:jc w:val="center"/>
      </w:trPr>
      <w:tc>
        <w:tcPr>
          <w:tcW w:w="5126" w:type="dxa"/>
          <w:shd w:val="clear" w:color="auto" w:fill="auto"/>
        </w:tcPr>
        <w:p w:rsidR="00CD6F35" w:rsidRPr="00CD6F35" w:rsidRDefault="00CD6F35" w:rsidP="00CD6F3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32DE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32DE0">
            <w:rPr>
              <w:noProof/>
              <w:w w:val="103"/>
            </w:rPr>
            <w:t>2</w:t>
          </w:r>
          <w:r>
            <w:rPr>
              <w:w w:val="103"/>
            </w:rPr>
            <w:fldChar w:fldCharType="end"/>
          </w:r>
        </w:p>
      </w:tc>
      <w:tc>
        <w:tcPr>
          <w:tcW w:w="5127" w:type="dxa"/>
          <w:shd w:val="clear" w:color="auto" w:fill="auto"/>
        </w:tcPr>
        <w:p w:rsidR="00CD6F35" w:rsidRPr="00CD6F35" w:rsidRDefault="00CD6F35" w:rsidP="00CD6F3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32DE0">
            <w:rPr>
              <w:b w:val="0"/>
              <w:w w:val="103"/>
              <w:sz w:val="14"/>
            </w:rPr>
            <w:t>GE.15-13227</w:t>
          </w:r>
          <w:r>
            <w:rPr>
              <w:b w:val="0"/>
              <w:w w:val="103"/>
              <w:sz w:val="14"/>
            </w:rPr>
            <w:fldChar w:fldCharType="end"/>
          </w:r>
        </w:p>
      </w:tc>
    </w:tr>
  </w:tbl>
  <w:p w:rsidR="00CD6F35" w:rsidRPr="00CD6F35" w:rsidRDefault="00CD6F35" w:rsidP="00CD6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35" w:rsidRDefault="00CD6F35">
    <w:pPr>
      <w:pStyle w:val="Footer"/>
    </w:pPr>
    <w:r>
      <w:rPr>
        <w:noProof/>
        <w:lang w:val="en-GB" w:eastAsia="en-GB"/>
      </w:rPr>
      <w:drawing>
        <wp:anchor distT="0" distB="0" distL="114300" distR="114300" simplePos="0" relativeHeight="251658240" behindDoc="0" locked="0" layoutInCell="1" allowOverlap="1" wp14:anchorId="48518D9D" wp14:editId="7BB2991F">
          <wp:simplePos x="0" y="0"/>
          <wp:positionH relativeFrom="column">
            <wp:posOffset>5650865</wp:posOffset>
          </wp:positionH>
          <wp:positionV relativeFrom="paragraph">
            <wp:posOffset>-228600</wp:posOffset>
          </wp:positionV>
          <wp:extent cx="694690" cy="694690"/>
          <wp:effectExtent l="0" t="0" r="0" b="0"/>
          <wp:wrapNone/>
          <wp:docPr id="6" name="Picture 6" descr="http://undocs.org/m2/QRCode2.ashx?DS=ECE/TRANS/WP.29/GRE/2015/3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5/3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D6F35" w:rsidTr="00CD6F35">
      <w:tc>
        <w:tcPr>
          <w:tcW w:w="3859" w:type="dxa"/>
        </w:tcPr>
        <w:p w:rsidR="00CD6F35" w:rsidRDefault="00CD6F35" w:rsidP="00CD6F3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32DE0">
            <w:rPr>
              <w:b w:val="0"/>
              <w:sz w:val="20"/>
            </w:rPr>
            <w:t>GE.15-13227 (F)</w:t>
          </w:r>
          <w:r>
            <w:rPr>
              <w:b w:val="0"/>
              <w:sz w:val="20"/>
            </w:rPr>
            <w:fldChar w:fldCharType="end"/>
          </w:r>
          <w:r>
            <w:rPr>
              <w:b w:val="0"/>
              <w:sz w:val="20"/>
            </w:rPr>
            <w:t xml:space="preserve">    </w:t>
          </w:r>
          <w:r w:rsidR="000D6697">
            <w:rPr>
              <w:b w:val="0"/>
              <w:sz w:val="20"/>
            </w:rPr>
            <w:t>09</w:t>
          </w:r>
          <w:r>
            <w:rPr>
              <w:b w:val="0"/>
              <w:sz w:val="20"/>
            </w:rPr>
            <w:t>1015    121015</w:t>
          </w:r>
        </w:p>
        <w:p w:rsidR="00CD6F35" w:rsidRPr="00CD6F35" w:rsidRDefault="00CD6F35" w:rsidP="00CD6F3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32DE0">
            <w:rPr>
              <w:rFonts w:ascii="Barcode 3 of 9 by request" w:hAnsi="Barcode 3 of 9 by request"/>
              <w:b w:val="0"/>
              <w:spacing w:val="0"/>
              <w:w w:val="100"/>
              <w:sz w:val="24"/>
            </w:rPr>
            <w:t>*1513227*</w:t>
          </w:r>
          <w:r>
            <w:rPr>
              <w:rFonts w:ascii="Barcode 3 of 9 by request" w:hAnsi="Barcode 3 of 9 by request"/>
              <w:b w:val="0"/>
              <w:spacing w:val="0"/>
              <w:w w:val="100"/>
              <w:sz w:val="24"/>
            </w:rPr>
            <w:fldChar w:fldCharType="end"/>
          </w:r>
        </w:p>
      </w:tc>
      <w:tc>
        <w:tcPr>
          <w:tcW w:w="5127" w:type="dxa"/>
        </w:tcPr>
        <w:p w:rsidR="00CD6F35" w:rsidRDefault="00CD6F35" w:rsidP="00CD6F35">
          <w:pPr>
            <w:pStyle w:val="Footer"/>
            <w:spacing w:line="240" w:lineRule="atLeast"/>
            <w:jc w:val="right"/>
            <w:rPr>
              <w:b w:val="0"/>
              <w:sz w:val="20"/>
            </w:rPr>
          </w:pPr>
          <w:r>
            <w:rPr>
              <w:b w:val="0"/>
              <w:noProof/>
              <w:sz w:val="20"/>
              <w:lang w:val="en-GB" w:eastAsia="en-GB"/>
            </w:rPr>
            <w:drawing>
              <wp:inline distT="0" distB="0" distL="0" distR="0" wp14:anchorId="0DA93958" wp14:editId="30099AD8">
                <wp:extent cx="1109474" cy="23164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D6F35" w:rsidRPr="00CD6F35" w:rsidRDefault="00CD6F35" w:rsidP="00CD6F3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CFA" w:rsidRPr="003754A8" w:rsidRDefault="003754A8" w:rsidP="003754A8">
      <w:pPr>
        <w:pStyle w:val="Footer"/>
        <w:spacing w:after="80"/>
        <w:ind w:left="792"/>
        <w:rPr>
          <w:sz w:val="16"/>
        </w:rPr>
      </w:pPr>
      <w:r w:rsidRPr="003754A8">
        <w:rPr>
          <w:sz w:val="16"/>
        </w:rPr>
        <w:t>__________________</w:t>
      </w:r>
    </w:p>
  </w:footnote>
  <w:footnote w:type="continuationSeparator" w:id="0">
    <w:p w:rsidR="00753CFA" w:rsidRPr="003754A8" w:rsidRDefault="003754A8" w:rsidP="003754A8">
      <w:pPr>
        <w:pStyle w:val="Footer"/>
        <w:spacing w:after="80"/>
        <w:ind w:left="792"/>
        <w:rPr>
          <w:sz w:val="16"/>
        </w:rPr>
      </w:pPr>
      <w:r w:rsidRPr="003754A8">
        <w:rPr>
          <w:sz w:val="16"/>
        </w:rPr>
        <w:t>__________________</w:t>
      </w:r>
    </w:p>
  </w:footnote>
  <w:footnote w:id="1">
    <w:p w:rsidR="003754A8" w:rsidRPr="003754A8" w:rsidRDefault="003754A8" w:rsidP="003754A8">
      <w:pPr>
        <w:pStyle w:val="FootnoteText"/>
        <w:tabs>
          <w:tab w:val="right" w:pos="1195"/>
          <w:tab w:val="left" w:pos="1267"/>
          <w:tab w:val="left" w:pos="1742"/>
          <w:tab w:val="left" w:pos="2218"/>
          <w:tab w:val="left" w:pos="2693"/>
        </w:tabs>
        <w:ind w:left="1267" w:right="1260" w:hanging="432"/>
        <w:rPr>
          <w:lang w:val="fr-CH"/>
        </w:rPr>
      </w:pPr>
      <w:r>
        <w:tab/>
      </w:r>
      <w:r w:rsidRPr="003754A8">
        <w:rPr>
          <w:rStyle w:val="FootnoteReference"/>
          <w:vertAlign w:val="baseline"/>
        </w:rPr>
        <w:t>*</w:t>
      </w:r>
      <w:r>
        <w:tab/>
      </w:r>
      <w:r>
        <w:rPr>
          <w:lang w:val="fr-FR"/>
        </w:rPr>
        <w:t>Conformément au programme de travail du Comité des transports intérieurs pour la période 2012-2016 (ECE/TRANS/224, par. 94 et ECE/TRANS/2012/12, activité 02.4), le Forum mondial élabore, harmonise et actualise les Règlements, afin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D6F35" w:rsidTr="00CD6F35">
      <w:trPr>
        <w:trHeight w:hRule="exact" w:val="864"/>
        <w:jc w:val="center"/>
      </w:trPr>
      <w:tc>
        <w:tcPr>
          <w:tcW w:w="4882" w:type="dxa"/>
          <w:shd w:val="clear" w:color="auto" w:fill="auto"/>
          <w:vAlign w:val="bottom"/>
        </w:tcPr>
        <w:p w:rsidR="00CD6F35" w:rsidRPr="00CD6F35" w:rsidRDefault="00CD6F35" w:rsidP="00CD6F3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32DE0">
            <w:rPr>
              <w:b/>
              <w:color w:val="000000"/>
            </w:rPr>
            <w:t>ECE/TRANS/WP.29/GRE/2015/34</w:t>
          </w:r>
          <w:r>
            <w:rPr>
              <w:b/>
              <w:color w:val="000000"/>
            </w:rPr>
            <w:fldChar w:fldCharType="end"/>
          </w:r>
        </w:p>
      </w:tc>
      <w:tc>
        <w:tcPr>
          <w:tcW w:w="5127" w:type="dxa"/>
          <w:shd w:val="clear" w:color="auto" w:fill="auto"/>
          <w:vAlign w:val="bottom"/>
        </w:tcPr>
        <w:p w:rsidR="00CD6F35" w:rsidRDefault="00CD6F35" w:rsidP="00CD6F35">
          <w:pPr>
            <w:pStyle w:val="Header"/>
          </w:pPr>
        </w:p>
      </w:tc>
    </w:tr>
  </w:tbl>
  <w:p w:rsidR="00CD6F35" w:rsidRPr="00CD6F35" w:rsidRDefault="00CD6F35" w:rsidP="00CD6F3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D6F35" w:rsidTr="00CD6F35">
      <w:trPr>
        <w:trHeight w:hRule="exact" w:val="864"/>
        <w:jc w:val="center"/>
      </w:trPr>
      <w:tc>
        <w:tcPr>
          <w:tcW w:w="4882" w:type="dxa"/>
          <w:shd w:val="clear" w:color="auto" w:fill="auto"/>
          <w:vAlign w:val="bottom"/>
        </w:tcPr>
        <w:p w:rsidR="00CD6F35" w:rsidRDefault="00CD6F35" w:rsidP="00CD6F35">
          <w:pPr>
            <w:pStyle w:val="Header"/>
          </w:pPr>
        </w:p>
      </w:tc>
      <w:tc>
        <w:tcPr>
          <w:tcW w:w="5127" w:type="dxa"/>
          <w:shd w:val="clear" w:color="auto" w:fill="auto"/>
          <w:vAlign w:val="bottom"/>
        </w:tcPr>
        <w:p w:rsidR="00CD6F35" w:rsidRPr="00CD6F35" w:rsidRDefault="00CD6F35" w:rsidP="00CD6F3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32DE0">
            <w:rPr>
              <w:b/>
              <w:color w:val="000000"/>
            </w:rPr>
            <w:t>ECE/TRANS/WP.29/GRE/2015/34</w:t>
          </w:r>
          <w:r>
            <w:rPr>
              <w:b/>
              <w:color w:val="000000"/>
            </w:rPr>
            <w:fldChar w:fldCharType="end"/>
          </w:r>
        </w:p>
      </w:tc>
    </w:tr>
  </w:tbl>
  <w:p w:rsidR="00CD6F35" w:rsidRPr="00CD6F35" w:rsidRDefault="00CD6F35" w:rsidP="00CD6F3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D6F35" w:rsidTr="00CD6F35">
      <w:trPr>
        <w:trHeight w:hRule="exact" w:val="864"/>
      </w:trPr>
      <w:tc>
        <w:tcPr>
          <w:tcW w:w="1267" w:type="dxa"/>
          <w:tcBorders>
            <w:bottom w:val="single" w:sz="4" w:space="0" w:color="auto"/>
          </w:tcBorders>
          <w:shd w:val="clear" w:color="auto" w:fill="auto"/>
          <w:vAlign w:val="bottom"/>
        </w:tcPr>
        <w:p w:rsidR="00CD6F35" w:rsidRDefault="00CD6F35" w:rsidP="00CD6F35">
          <w:pPr>
            <w:pStyle w:val="Header"/>
            <w:spacing w:after="120"/>
          </w:pPr>
        </w:p>
      </w:tc>
      <w:tc>
        <w:tcPr>
          <w:tcW w:w="2059" w:type="dxa"/>
          <w:tcBorders>
            <w:bottom w:val="single" w:sz="4" w:space="0" w:color="auto"/>
          </w:tcBorders>
          <w:shd w:val="clear" w:color="auto" w:fill="auto"/>
          <w:vAlign w:val="bottom"/>
        </w:tcPr>
        <w:p w:rsidR="00CD6F35" w:rsidRPr="00CD6F35" w:rsidRDefault="00CD6F35" w:rsidP="00CD6F3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D6F35" w:rsidRDefault="00CD6F35" w:rsidP="00CD6F35">
          <w:pPr>
            <w:pStyle w:val="Header"/>
            <w:spacing w:after="120"/>
          </w:pPr>
        </w:p>
      </w:tc>
      <w:tc>
        <w:tcPr>
          <w:tcW w:w="6653" w:type="dxa"/>
          <w:gridSpan w:val="4"/>
          <w:tcBorders>
            <w:bottom w:val="single" w:sz="4" w:space="0" w:color="auto"/>
          </w:tcBorders>
          <w:shd w:val="clear" w:color="auto" w:fill="auto"/>
          <w:vAlign w:val="bottom"/>
        </w:tcPr>
        <w:p w:rsidR="00CD6F35" w:rsidRPr="00CD6F35" w:rsidRDefault="00CD6F35" w:rsidP="00CD6F35">
          <w:pPr>
            <w:spacing w:after="80" w:line="240" w:lineRule="auto"/>
            <w:jc w:val="right"/>
            <w:rPr>
              <w:position w:val="-4"/>
            </w:rPr>
          </w:pPr>
          <w:r>
            <w:rPr>
              <w:position w:val="-4"/>
              <w:sz w:val="40"/>
            </w:rPr>
            <w:t>ECE</w:t>
          </w:r>
          <w:r>
            <w:rPr>
              <w:position w:val="-4"/>
            </w:rPr>
            <w:t>/TRANS/WP.29/GRE/2015/34</w:t>
          </w:r>
        </w:p>
      </w:tc>
    </w:tr>
    <w:tr w:rsidR="00CD6F35" w:rsidRPr="00CD6F35" w:rsidTr="00CD6F35">
      <w:trPr>
        <w:gridAfter w:val="1"/>
        <w:wAfter w:w="18" w:type="dxa"/>
        <w:trHeight w:hRule="exact" w:val="2880"/>
      </w:trPr>
      <w:tc>
        <w:tcPr>
          <w:tcW w:w="1267" w:type="dxa"/>
          <w:tcBorders>
            <w:top w:val="single" w:sz="4" w:space="0" w:color="auto"/>
            <w:bottom w:val="single" w:sz="12" w:space="0" w:color="auto"/>
          </w:tcBorders>
          <w:shd w:val="clear" w:color="auto" w:fill="auto"/>
        </w:tcPr>
        <w:p w:rsidR="00CD6F35" w:rsidRPr="00CD6F35" w:rsidRDefault="00CD6F35" w:rsidP="00CD6F35">
          <w:pPr>
            <w:pStyle w:val="Header"/>
            <w:spacing w:before="120" w:line="240" w:lineRule="auto"/>
            <w:ind w:left="-72"/>
            <w:jc w:val="center"/>
          </w:pPr>
          <w:r>
            <w:t xml:space="preserve">  </w:t>
          </w:r>
          <w:r>
            <w:rPr>
              <w:noProof/>
              <w:lang w:val="en-GB" w:eastAsia="en-GB"/>
            </w:rPr>
            <w:drawing>
              <wp:inline distT="0" distB="0" distL="0" distR="0" wp14:anchorId="2858B54E" wp14:editId="6E3026E8">
                <wp:extent cx="713232" cy="59436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D6F35" w:rsidRPr="00CD6F35" w:rsidRDefault="00CD6F35" w:rsidP="00CD6F35">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CD6F35" w:rsidRPr="00CD6F35" w:rsidRDefault="00CD6F35" w:rsidP="00CD6F35">
          <w:pPr>
            <w:pStyle w:val="Header"/>
            <w:spacing w:before="109"/>
          </w:pPr>
        </w:p>
      </w:tc>
      <w:tc>
        <w:tcPr>
          <w:tcW w:w="3280" w:type="dxa"/>
          <w:tcBorders>
            <w:top w:val="single" w:sz="4" w:space="0" w:color="auto"/>
            <w:bottom w:val="single" w:sz="12" w:space="0" w:color="auto"/>
          </w:tcBorders>
          <w:shd w:val="clear" w:color="auto" w:fill="auto"/>
        </w:tcPr>
        <w:p w:rsidR="00CD6F35" w:rsidRDefault="00CD6F35" w:rsidP="00CD6F35">
          <w:pPr>
            <w:pStyle w:val="Distribution"/>
            <w:rPr>
              <w:color w:val="000000"/>
            </w:rPr>
          </w:pPr>
          <w:r>
            <w:rPr>
              <w:color w:val="000000"/>
            </w:rPr>
            <w:t>Distr. générale</w:t>
          </w:r>
        </w:p>
        <w:p w:rsidR="00CD6F35" w:rsidRDefault="00F57FDC" w:rsidP="00CD6F35">
          <w:pPr>
            <w:pStyle w:val="Publication"/>
            <w:rPr>
              <w:color w:val="000000"/>
            </w:rPr>
          </w:pPr>
          <w:r>
            <w:rPr>
              <w:color w:val="000000"/>
            </w:rPr>
            <w:t>5 août</w:t>
          </w:r>
          <w:r w:rsidR="00CD6F35">
            <w:rPr>
              <w:color w:val="000000"/>
            </w:rPr>
            <w:t xml:space="preserve"> 2015</w:t>
          </w:r>
        </w:p>
        <w:p w:rsidR="00CD6F35" w:rsidRDefault="00CD6F35" w:rsidP="00CD6F35">
          <w:pPr>
            <w:rPr>
              <w:lang w:val="en-US"/>
            </w:rPr>
          </w:pPr>
          <w:r>
            <w:rPr>
              <w:lang w:val="en-US"/>
            </w:rPr>
            <w:t>Français</w:t>
          </w:r>
        </w:p>
        <w:p w:rsidR="00CD6F35" w:rsidRPr="00CD6F35" w:rsidRDefault="00CD6F35" w:rsidP="00CD6F35">
          <w:pPr>
            <w:pStyle w:val="Original"/>
            <w:rPr>
              <w:color w:val="000000"/>
            </w:rPr>
          </w:pPr>
          <w:r>
            <w:rPr>
              <w:color w:val="000000"/>
            </w:rPr>
            <w:t>Original : anglais</w:t>
          </w:r>
        </w:p>
      </w:tc>
    </w:tr>
  </w:tbl>
  <w:p w:rsidR="00CD6F35" w:rsidRPr="00CD6F35" w:rsidRDefault="00CD6F35" w:rsidP="00CD6F35">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227*"/>
    <w:docVar w:name="CreationDt" w:val="10/12/2015 8:15: AM"/>
    <w:docVar w:name="DocCategory" w:val="Doc"/>
    <w:docVar w:name="DocType" w:val="Final"/>
    <w:docVar w:name="DutyStation" w:val="Geneva"/>
    <w:docVar w:name="FooterJN" w:val="GE.15-13227"/>
    <w:docVar w:name="jobn" w:val="GE.15-13227 (F)"/>
    <w:docVar w:name="jobnDT" w:val="GE.15-13227 (F)   121015"/>
    <w:docVar w:name="jobnDTDT" w:val="GE.15-13227 (F)   121015   121015"/>
    <w:docVar w:name="JobNo" w:val="GE.1513227F"/>
    <w:docVar w:name="JobNo2" w:val="GE.1517391F"/>
    <w:docVar w:name="LocalDrive" w:val="0"/>
    <w:docVar w:name="OandT" w:val="BEAUNEE"/>
    <w:docVar w:name="PaperSize" w:val="A4"/>
    <w:docVar w:name="sss1" w:val="ECE/TRANS/WP.29/GRE/2015/34"/>
    <w:docVar w:name="sss2" w:val="-"/>
    <w:docVar w:name="Symbol1" w:val="ECE/TRANS/WP.29/GRE/2015/34"/>
    <w:docVar w:name="Symbol2" w:val="-"/>
  </w:docVars>
  <w:rsids>
    <w:rsidRoot w:val="00753CFA"/>
    <w:rsid w:val="000015B8"/>
    <w:rsid w:val="000046A5"/>
    <w:rsid w:val="000055FB"/>
    <w:rsid w:val="00010C97"/>
    <w:rsid w:val="0001580F"/>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97"/>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56F7"/>
    <w:rsid w:val="00116149"/>
    <w:rsid w:val="00123812"/>
    <w:rsid w:val="001256F6"/>
    <w:rsid w:val="001262BA"/>
    <w:rsid w:val="00126FB2"/>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D6EE5"/>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2B1C"/>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2737"/>
    <w:rsid w:val="00362F57"/>
    <w:rsid w:val="003640A0"/>
    <w:rsid w:val="00365932"/>
    <w:rsid w:val="003738C0"/>
    <w:rsid w:val="003754A8"/>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E0F5F"/>
    <w:rsid w:val="005F12E0"/>
    <w:rsid w:val="005F2726"/>
    <w:rsid w:val="005F2A30"/>
    <w:rsid w:val="005F2FA6"/>
    <w:rsid w:val="005F35C5"/>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3CFA"/>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16F6"/>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0B"/>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D6F35"/>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E003D9"/>
    <w:rsid w:val="00E00C20"/>
    <w:rsid w:val="00E028F6"/>
    <w:rsid w:val="00E036CD"/>
    <w:rsid w:val="00E0543E"/>
    <w:rsid w:val="00E0753F"/>
    <w:rsid w:val="00E10BF1"/>
    <w:rsid w:val="00E11B5C"/>
    <w:rsid w:val="00E13E2B"/>
    <w:rsid w:val="00E22DB7"/>
    <w:rsid w:val="00E23C1B"/>
    <w:rsid w:val="00E24D2B"/>
    <w:rsid w:val="00E25DDC"/>
    <w:rsid w:val="00E32DE0"/>
    <w:rsid w:val="00E345BF"/>
    <w:rsid w:val="00E34D59"/>
    <w:rsid w:val="00E35C78"/>
    <w:rsid w:val="00E405EA"/>
    <w:rsid w:val="00E40877"/>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3D1F"/>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E7124"/>
    <w:rsid w:val="00EF0701"/>
    <w:rsid w:val="00EF11F2"/>
    <w:rsid w:val="00EF236F"/>
    <w:rsid w:val="00EF3067"/>
    <w:rsid w:val="00EF4A2D"/>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57FDC"/>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 BVI fnr,Footnote symbol,Footnote,Footnote Reference Superscript,SUPERS"/>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D6F35"/>
    <w:rPr>
      <w:sz w:val="16"/>
      <w:szCs w:val="16"/>
    </w:rPr>
  </w:style>
  <w:style w:type="paragraph" w:styleId="CommentText">
    <w:name w:val="annotation text"/>
    <w:basedOn w:val="Normal"/>
    <w:link w:val="CommentTextChar"/>
    <w:uiPriority w:val="99"/>
    <w:semiHidden/>
    <w:unhideWhenUsed/>
    <w:rsid w:val="00CD6F35"/>
    <w:pPr>
      <w:spacing w:line="240" w:lineRule="auto"/>
    </w:pPr>
    <w:rPr>
      <w:szCs w:val="20"/>
    </w:rPr>
  </w:style>
  <w:style w:type="character" w:customStyle="1" w:styleId="CommentTextChar">
    <w:name w:val="Comment Text Char"/>
    <w:basedOn w:val="DefaultParagraphFont"/>
    <w:link w:val="CommentText"/>
    <w:uiPriority w:val="99"/>
    <w:semiHidden/>
    <w:rsid w:val="00CD6F3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D6F35"/>
    <w:rPr>
      <w:b/>
      <w:bCs/>
    </w:rPr>
  </w:style>
  <w:style w:type="character" w:customStyle="1" w:styleId="CommentSubjectChar">
    <w:name w:val="Comment Subject Char"/>
    <w:basedOn w:val="CommentTextChar"/>
    <w:link w:val="CommentSubject"/>
    <w:uiPriority w:val="99"/>
    <w:semiHidden/>
    <w:rsid w:val="00CD6F35"/>
    <w:rPr>
      <w:rFonts w:ascii="Times New Roman" w:hAnsi="Times New Roman"/>
      <w:b/>
      <w:bCs/>
      <w:spacing w:val="4"/>
      <w:w w:val="103"/>
      <w:kern w:val="14"/>
      <w:lang w:val="fr-CA"/>
    </w:rPr>
  </w:style>
  <w:style w:type="paragraph" w:customStyle="1" w:styleId="HChG">
    <w:name w:val="_ H _Ch_G"/>
    <w:basedOn w:val="Normal"/>
    <w:next w:val="Normal"/>
    <w:link w:val="HChGChar"/>
    <w:qFormat/>
    <w:rsid w:val="003754A8"/>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SingleTxtG">
    <w:name w:val="_ Single Txt_G"/>
    <w:basedOn w:val="Normal"/>
    <w:link w:val="SingleTxtGChar"/>
    <w:qFormat/>
    <w:rsid w:val="003754A8"/>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character" w:customStyle="1" w:styleId="SingleTxtGChar">
    <w:name w:val="_ Single Txt_G Char"/>
    <w:link w:val="SingleTxtG"/>
    <w:rsid w:val="003754A8"/>
    <w:rPr>
      <w:rFonts w:ascii="Times New Roman" w:eastAsia="Calibri" w:hAnsi="Times New Roman"/>
      <w:sz w:val="24"/>
      <w:lang w:val="fr-CH"/>
    </w:rPr>
  </w:style>
  <w:style w:type="paragraph" w:customStyle="1" w:styleId="para">
    <w:name w:val="para"/>
    <w:basedOn w:val="Normal"/>
    <w:qFormat/>
    <w:rsid w:val="003754A8"/>
    <w:pPr>
      <w:suppressAutoHyphens/>
      <w:spacing w:after="120" w:line="240" w:lineRule="atLeast"/>
      <w:ind w:left="2268" w:right="1134" w:hanging="1134"/>
      <w:jc w:val="both"/>
    </w:pPr>
    <w:rPr>
      <w:rFonts w:eastAsia="Times New Roman"/>
      <w:spacing w:val="0"/>
      <w:w w:val="100"/>
      <w:kern w:val="0"/>
      <w:szCs w:val="20"/>
      <w:lang w:val="en-GB"/>
    </w:rPr>
  </w:style>
  <w:style w:type="character" w:customStyle="1" w:styleId="HChGChar">
    <w:name w:val="_ H _Ch_G Char"/>
    <w:link w:val="HChG"/>
    <w:rsid w:val="003754A8"/>
    <w:rPr>
      <w:rFonts w:ascii="Times New Roman" w:eastAsia="Calibri" w:hAnsi="Times New Roman"/>
      <w:b/>
      <w:sz w:val="28"/>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 BVI fnr,Footnote symbol,Footnote,Footnote Reference Superscript,SUPERS"/>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D6F35"/>
    <w:rPr>
      <w:sz w:val="16"/>
      <w:szCs w:val="16"/>
    </w:rPr>
  </w:style>
  <w:style w:type="paragraph" w:styleId="CommentText">
    <w:name w:val="annotation text"/>
    <w:basedOn w:val="Normal"/>
    <w:link w:val="CommentTextChar"/>
    <w:uiPriority w:val="99"/>
    <w:semiHidden/>
    <w:unhideWhenUsed/>
    <w:rsid w:val="00CD6F35"/>
    <w:pPr>
      <w:spacing w:line="240" w:lineRule="auto"/>
    </w:pPr>
    <w:rPr>
      <w:szCs w:val="20"/>
    </w:rPr>
  </w:style>
  <w:style w:type="character" w:customStyle="1" w:styleId="CommentTextChar">
    <w:name w:val="Comment Text Char"/>
    <w:basedOn w:val="DefaultParagraphFont"/>
    <w:link w:val="CommentText"/>
    <w:uiPriority w:val="99"/>
    <w:semiHidden/>
    <w:rsid w:val="00CD6F3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D6F35"/>
    <w:rPr>
      <w:b/>
      <w:bCs/>
    </w:rPr>
  </w:style>
  <w:style w:type="character" w:customStyle="1" w:styleId="CommentSubjectChar">
    <w:name w:val="Comment Subject Char"/>
    <w:basedOn w:val="CommentTextChar"/>
    <w:link w:val="CommentSubject"/>
    <w:uiPriority w:val="99"/>
    <w:semiHidden/>
    <w:rsid w:val="00CD6F35"/>
    <w:rPr>
      <w:rFonts w:ascii="Times New Roman" w:hAnsi="Times New Roman"/>
      <w:b/>
      <w:bCs/>
      <w:spacing w:val="4"/>
      <w:w w:val="103"/>
      <w:kern w:val="14"/>
      <w:lang w:val="fr-CA"/>
    </w:rPr>
  </w:style>
  <w:style w:type="paragraph" w:customStyle="1" w:styleId="HChG">
    <w:name w:val="_ H _Ch_G"/>
    <w:basedOn w:val="Normal"/>
    <w:next w:val="Normal"/>
    <w:link w:val="HChGChar"/>
    <w:qFormat/>
    <w:rsid w:val="003754A8"/>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SingleTxtG">
    <w:name w:val="_ Single Txt_G"/>
    <w:basedOn w:val="Normal"/>
    <w:link w:val="SingleTxtGChar"/>
    <w:qFormat/>
    <w:rsid w:val="003754A8"/>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character" w:customStyle="1" w:styleId="SingleTxtGChar">
    <w:name w:val="_ Single Txt_G Char"/>
    <w:link w:val="SingleTxtG"/>
    <w:rsid w:val="003754A8"/>
    <w:rPr>
      <w:rFonts w:ascii="Times New Roman" w:eastAsia="Calibri" w:hAnsi="Times New Roman"/>
      <w:sz w:val="24"/>
      <w:lang w:val="fr-CH"/>
    </w:rPr>
  </w:style>
  <w:style w:type="paragraph" w:customStyle="1" w:styleId="para">
    <w:name w:val="para"/>
    <w:basedOn w:val="Normal"/>
    <w:qFormat/>
    <w:rsid w:val="003754A8"/>
    <w:pPr>
      <w:suppressAutoHyphens/>
      <w:spacing w:after="120" w:line="240" w:lineRule="atLeast"/>
      <w:ind w:left="2268" w:right="1134" w:hanging="1134"/>
      <w:jc w:val="both"/>
    </w:pPr>
    <w:rPr>
      <w:rFonts w:eastAsia="Times New Roman"/>
      <w:spacing w:val="0"/>
      <w:w w:val="100"/>
      <w:kern w:val="0"/>
      <w:szCs w:val="20"/>
      <w:lang w:val="en-GB"/>
    </w:rPr>
  </w:style>
  <w:style w:type="character" w:customStyle="1" w:styleId="HChGChar">
    <w:name w:val="_ H _Ch_G Char"/>
    <w:link w:val="HChG"/>
    <w:rsid w:val="003754A8"/>
    <w:rPr>
      <w:rFonts w:ascii="Times New Roman" w:eastAsia="Calibri" w:hAnsi="Times New Roman"/>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49CF2-4624-4E2E-99A3-88C5F3CF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Benedicte Boudol</cp:lastModifiedBy>
  <cp:revision>2</cp:revision>
  <cp:lastPrinted>2015-10-12T07:36:00Z</cp:lastPrinted>
  <dcterms:created xsi:type="dcterms:W3CDTF">2015-10-12T08:24:00Z</dcterms:created>
  <dcterms:modified xsi:type="dcterms:W3CDTF">2015-10-12T08:24:00Z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1513227F</vt:lpwstr>
  </property>
  <property fmtid="{D5CDD505-2E9C-101B-9397-08002B2CF9AE}" pid="3" name="ODSRefJobNo">
    <vt:lpwstr>1517391F</vt:lpwstr>
  </property>
  <property fmtid="{D5CDD505-2E9C-101B-9397-08002B2CF9AE}" pid="4" name="Symbol1">
    <vt:lpwstr>ECE/TRANS/WP.29/GRE/2015/34</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12 octobre 2015</vt:lpwstr>
  </property>
  <property fmtid="{D5CDD505-2E9C-101B-9397-08002B2CF9AE}" pid="12" name="Original">
    <vt:lpwstr>anglais</vt:lpwstr>
  </property>
  <property fmtid="{D5CDD505-2E9C-101B-9397-08002B2CF9AE}" pid="13" name="Release Date">
    <vt:lpwstr>121015</vt:lpwstr>
  </property>
</Properties>
</file>