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56094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017D4">
              <w:t>3</w:t>
            </w:r>
            <w:r w:rsidR="0056094D">
              <w:t>3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017D4" w:rsidP="00D5792F">
            <w:pPr>
              <w:spacing w:line="240" w:lineRule="exact"/>
            </w:pPr>
            <w:r>
              <w:t xml:space="preserve">5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56094D">
        <w:t>7</w:t>
      </w:r>
      <w:r w:rsidR="005017D4">
        <w:t xml:space="preserve"> (</w:t>
      </w:r>
      <w:r w:rsidR="0056094D">
        <w:t>f</w:t>
      </w:r>
      <w:r w:rsidR="005017D4">
        <w:t xml:space="preserve">) </w:t>
      </w:r>
      <w:r w:rsidRPr="00DF418A">
        <w:t>of the provisional agenda</w:t>
      </w:r>
    </w:p>
    <w:p w:rsidR="00557EAC" w:rsidRDefault="0056094D" w:rsidP="00C96DF2">
      <w:pPr>
        <w:rPr>
          <w:b/>
        </w:rPr>
      </w:pPr>
      <w:r>
        <w:rPr>
          <w:b/>
        </w:rPr>
        <w:t xml:space="preserve">Other </w:t>
      </w:r>
      <w:r w:rsidR="004909C2">
        <w:rPr>
          <w:b/>
        </w:rPr>
        <w:t>Regulation</w:t>
      </w:r>
      <w:r>
        <w:rPr>
          <w:b/>
        </w:rPr>
        <w:t xml:space="preserve">s – Regulation </w:t>
      </w:r>
      <w:r w:rsidR="00557EAC">
        <w:rPr>
          <w:b/>
        </w:rPr>
        <w:t>No.8</w:t>
      </w:r>
      <w:r>
        <w:rPr>
          <w:b/>
        </w:rPr>
        <w:t xml:space="preserve">7 </w:t>
      </w:r>
      <w:r w:rsidR="00557EAC">
        <w:rPr>
          <w:b/>
        </w:rPr>
        <w:t>(</w:t>
      </w:r>
      <w:r>
        <w:rPr>
          <w:b/>
        </w:rPr>
        <w:t>Daytime running lamps)</w:t>
      </w:r>
      <w:r w:rsidR="004909C2">
        <w:rPr>
          <w:b/>
        </w:rPr>
        <w:t xml:space="preserve"> </w:t>
      </w:r>
    </w:p>
    <w:p w:rsidR="00557EAC" w:rsidRDefault="00557EAC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557EAC">
        <w:rPr>
          <w:sz w:val="26"/>
          <w:szCs w:val="26"/>
        </w:rPr>
        <w:t xml:space="preserve">Proposal to amend the requirements of Regulation No. 87 </w:t>
      </w:r>
      <w:r w:rsidR="0056094D" w:rsidRPr="0056094D">
        <w:rPr>
          <w:sz w:val="26"/>
          <w:szCs w:val="26"/>
        </w:rPr>
        <w:t xml:space="preserve">(Daytime running lamps) </w:t>
      </w:r>
      <w:r w:rsidR="0056094D">
        <w:rPr>
          <w:sz w:val="26"/>
          <w:szCs w:val="26"/>
        </w:rPr>
        <w:t xml:space="preserve">on </w:t>
      </w:r>
      <w:r w:rsidRPr="00557EAC">
        <w:rPr>
          <w:sz w:val="26"/>
          <w:szCs w:val="26"/>
        </w:rPr>
        <w:t>tell-tale</w:t>
      </w:r>
      <w:r>
        <w:rPr>
          <w:sz w:val="26"/>
          <w:szCs w:val="26"/>
        </w:rPr>
        <w:t>s</w:t>
      </w:r>
      <w:r w:rsidRPr="00557EAC">
        <w:rPr>
          <w:sz w:val="26"/>
          <w:szCs w:val="26"/>
        </w:rPr>
        <w:t xml:space="preserve"> indicating a failure 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557EAC">
        <w:t>Task Force on Tell-Tales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</w:t>
      </w:r>
      <w:r w:rsidR="00557EAC" w:rsidRPr="00557EAC">
        <w:t xml:space="preserve">prepared by the experts of the Task Force </w:t>
      </w:r>
      <w:r w:rsidR="00557EAC">
        <w:t xml:space="preserve">on </w:t>
      </w:r>
      <w:r w:rsidR="00557EAC" w:rsidRPr="00557EAC">
        <w:t xml:space="preserve">Tell-Tales (TF-TT). </w:t>
      </w:r>
      <w:r w:rsidR="00557EAC">
        <w:t>It is based on i</w:t>
      </w:r>
      <w:r w:rsidR="00557EAC" w:rsidRPr="00557EAC">
        <w:t>nformal document GRE-73-11</w:t>
      </w:r>
      <w:r w:rsidR="00557EAC">
        <w:t xml:space="preserve">. </w:t>
      </w:r>
      <w:r w:rsidR="00557EAC" w:rsidRPr="00557EAC">
        <w:t>The modifications to the existing text of the UN Regulations are marked in bold for new or strikethrough for deleted characters.</w:t>
      </w:r>
      <w:r w:rsidR="00557EAC">
        <w:t xml:space="preserve"> </w:t>
      </w:r>
    </w:p>
    <w:p w:rsidR="00DF418A" w:rsidRPr="00DF418A" w:rsidRDefault="00757F2F" w:rsidP="003D56EB">
      <w:pPr>
        <w:spacing w:before="240" w:after="240" w:line="240" w:lineRule="auto"/>
        <w:ind w:left="1134" w:right="1134" w:hanging="567"/>
        <w:jc w:val="both"/>
        <w:rPr>
          <w:b/>
          <w:sz w:val="28"/>
        </w:rPr>
      </w:pPr>
      <w:bookmarkStart w:id="0" w:name="_GoBack"/>
      <w:bookmarkEnd w:id="0"/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7.4.2.</w:t>
      </w:r>
      <w:r w:rsidRPr="00AC18AD">
        <w:rPr>
          <w:lang w:val="en-US"/>
        </w:rPr>
        <w:t>, amend to read:</w:t>
      </w:r>
    </w:p>
    <w:p w:rsidR="00EC6A29" w:rsidRPr="00AC18AD" w:rsidRDefault="00AC18AD" w:rsidP="00AC18A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/>
        </w:rPr>
      </w:pPr>
      <w:r w:rsidRPr="00AC18AD">
        <w:rPr>
          <w:iCs/>
          <w:lang w:val="en-US"/>
        </w:rPr>
        <w:t>"</w:t>
      </w:r>
      <w:r w:rsidR="00EC6A29" w:rsidRPr="00AC18AD">
        <w:rPr>
          <w:iCs/>
          <w:lang w:val="en-US"/>
        </w:rPr>
        <w:t>7.4.2.</w:t>
      </w:r>
      <w:r w:rsidR="00EC6A29" w:rsidRPr="00AC18AD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ab/>
      </w:r>
      <w:r w:rsidR="00EC6A29" w:rsidRPr="00AC18AD">
        <w:rPr>
          <w:lang w:val="en-US"/>
        </w:rPr>
        <w:t>In case of failure of any one light source in a single lamp containing more than one light source, one of the following provisions shall apply:</w:t>
      </w:r>
    </w:p>
    <w:p w:rsidR="00EC6A29" w:rsidRPr="00AC18AD" w:rsidRDefault="00F63824" w:rsidP="00F63824">
      <w:pPr>
        <w:pStyle w:val="ListParagraph"/>
        <w:autoSpaceDE w:val="0"/>
        <w:autoSpaceDN w:val="0"/>
        <w:adjustRightInd w:val="0"/>
        <w:spacing w:after="120" w:line="240" w:lineRule="atLeast"/>
        <w:ind w:left="2829" w:right="1134" w:hanging="561"/>
        <w:contextualSpacing w:val="0"/>
        <w:jc w:val="both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(a)</w:t>
      </w:r>
      <w:r>
        <w:rPr>
          <w:sz w:val="20"/>
          <w:szCs w:val="20"/>
          <w:lang w:val="en-US" w:eastAsia="en-US"/>
        </w:rPr>
        <w:tab/>
      </w:r>
      <w:r w:rsidR="00EC6A29" w:rsidRPr="00AC18AD">
        <w:rPr>
          <w:sz w:val="20"/>
          <w:szCs w:val="20"/>
          <w:lang w:val="en-US" w:eastAsia="en-US"/>
        </w:rPr>
        <w:t>The light intensity at the points of standard light distribution defined in Annex 3 to this Regulation shall be at least 80% of the minimum intensity required, or</w:t>
      </w:r>
    </w:p>
    <w:p w:rsidR="00EC6A29" w:rsidRPr="00AC18AD" w:rsidRDefault="00F63824" w:rsidP="00F63824">
      <w:pPr>
        <w:pStyle w:val="ListParagraph"/>
        <w:autoSpaceDE w:val="0"/>
        <w:autoSpaceDN w:val="0"/>
        <w:adjustRightInd w:val="0"/>
        <w:spacing w:after="120" w:line="240" w:lineRule="atLeast"/>
        <w:ind w:left="2832" w:right="1134" w:hanging="564"/>
        <w:jc w:val="both"/>
        <w:rPr>
          <w:b/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(b)</w:t>
      </w:r>
      <w:r>
        <w:rPr>
          <w:sz w:val="20"/>
          <w:szCs w:val="20"/>
          <w:lang w:val="en-US" w:eastAsia="en-US"/>
        </w:rPr>
        <w:tab/>
      </w:r>
      <w:r w:rsidR="00EC6A29" w:rsidRPr="00AC18AD">
        <w:rPr>
          <w:sz w:val="20"/>
          <w:szCs w:val="20"/>
          <w:lang w:val="en-US" w:eastAsia="en-US"/>
        </w:rPr>
        <w:t>The light intensity in the axis of reference shall be at least 50 per cent of the minimum intensity required, provided that a note in the communication form states that the lamp is only for use on a vehicle fitted with a</w:t>
      </w:r>
      <w:r w:rsidR="00EC6A29" w:rsidRPr="00AC18AD">
        <w:rPr>
          <w:strike/>
          <w:sz w:val="20"/>
          <w:szCs w:val="20"/>
          <w:lang w:val="en-US" w:eastAsia="en-US"/>
        </w:rPr>
        <w:t>n</w:t>
      </w:r>
      <w:r w:rsidR="00EC6A29" w:rsidRPr="00AC18AD">
        <w:rPr>
          <w:sz w:val="20"/>
          <w:szCs w:val="20"/>
          <w:lang w:val="en-US" w:eastAsia="en-US"/>
        </w:rPr>
        <w:t xml:space="preserve"> </w:t>
      </w:r>
      <w:r w:rsidR="00EC6A29" w:rsidRPr="00AC18AD">
        <w:rPr>
          <w:strike/>
          <w:sz w:val="20"/>
          <w:szCs w:val="20"/>
          <w:lang w:val="en-US" w:eastAsia="en-US"/>
        </w:rPr>
        <w:t>operating</w:t>
      </w:r>
      <w:r w:rsidR="00EC6A29" w:rsidRPr="00AC18AD">
        <w:rPr>
          <w:sz w:val="20"/>
          <w:szCs w:val="20"/>
          <w:lang w:val="en-US" w:eastAsia="en-US"/>
        </w:rPr>
        <w:t xml:space="preserve"> tell-tale </w:t>
      </w:r>
      <w:r w:rsidR="00EC6A29" w:rsidRPr="00AC18AD">
        <w:rPr>
          <w:b/>
          <w:sz w:val="20"/>
          <w:szCs w:val="20"/>
          <w:lang w:val="en-US" w:eastAsia="en-US"/>
        </w:rPr>
        <w:t>indicating failure.</w:t>
      </w:r>
      <w:r w:rsidR="00AC18AD" w:rsidRPr="00AC18AD">
        <w:rPr>
          <w:sz w:val="20"/>
          <w:szCs w:val="20"/>
          <w:lang w:val="en-US" w:eastAsia="en-US"/>
        </w:rPr>
        <w:t>"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lang w:val="en-US"/>
        </w:rPr>
        <w:t>Annex 1, item 9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 xml:space="preserve">9. </w:t>
      </w:r>
      <w:r>
        <w:rPr>
          <w:lang w:val="en-US"/>
        </w:rPr>
        <w:tab/>
      </w:r>
      <w:r>
        <w:rPr>
          <w:lang w:val="en-US"/>
        </w:rPr>
        <w:tab/>
      </w:r>
      <w:r w:rsidR="00EC6A29" w:rsidRPr="00AC18AD">
        <w:rPr>
          <w:lang w:val="en-US"/>
        </w:rPr>
        <w:t>Concise description: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By category of lamp: .........................................................................................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Number, category and kind of light source(s):</w:t>
      </w:r>
      <w:r w:rsidR="003D56EB">
        <w:rPr>
          <w:lang w:val="en-US"/>
        </w:rPr>
        <w:t xml:space="preserve"> 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Cs/>
          <w:lang w:val="en-US"/>
        </w:rPr>
        <w:t>...............................................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Voltage and wattage: .........................................................................................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Application of an electronic light source control gear: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>(</w:t>
      </w:r>
      <w:proofErr w:type="gramStart"/>
      <w:r w:rsidRPr="00AC18AD">
        <w:rPr>
          <w:lang w:val="en-US"/>
        </w:rPr>
        <w:t>a</w:t>
      </w:r>
      <w:proofErr w:type="gramEnd"/>
      <w:r w:rsidRPr="00AC18AD">
        <w:rPr>
          <w:lang w:val="en-US"/>
        </w:rPr>
        <w:t xml:space="preserve">) being part of the lamp yes/no </w:t>
      </w:r>
      <w:r w:rsidRPr="00AC18AD">
        <w:rPr>
          <w:b/>
          <w:bCs/>
          <w:vertAlign w:val="superscript"/>
          <w:lang w:val="en-US"/>
        </w:rPr>
        <w:t>(2)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 xml:space="preserve">(b) </w:t>
      </w:r>
      <w:proofErr w:type="gramStart"/>
      <w:r w:rsidRPr="00AC18AD">
        <w:rPr>
          <w:lang w:val="en-US"/>
        </w:rPr>
        <w:t>being</w:t>
      </w:r>
      <w:proofErr w:type="gramEnd"/>
      <w:r w:rsidRPr="00AC18AD">
        <w:rPr>
          <w:lang w:val="en-US"/>
        </w:rPr>
        <w:t xml:space="preserve"> not part of the lamp yes/no </w:t>
      </w:r>
      <w:r w:rsidRPr="00AC18AD">
        <w:rPr>
          <w:b/>
          <w:bCs/>
          <w:vertAlign w:val="superscript"/>
          <w:lang w:val="en-US"/>
        </w:rPr>
        <w:t>(2)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Input voltage supplied by an electronic light source control gear: ....................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Electronic light source control gear manufacturer and identification number (when the light source control gear is part of the lamp but is not included into the lamp body): ..................................................................................................</w:t>
      </w:r>
    </w:p>
    <w:p w:rsidR="00EC6A29" w:rsidRPr="00AC18AD" w:rsidRDefault="00EC6A29" w:rsidP="003D56EB">
      <w:pPr>
        <w:autoSpaceDE w:val="0"/>
        <w:autoSpaceDN w:val="0"/>
        <w:adjustRightInd w:val="0"/>
        <w:ind w:left="2268" w:right="1134"/>
        <w:jc w:val="both"/>
        <w:rPr>
          <w:vertAlign w:val="superscript"/>
          <w:lang w:val="en-US"/>
        </w:rPr>
      </w:pPr>
      <w:r w:rsidRPr="00AC18AD">
        <w:rPr>
          <w:b/>
          <w:lang w:val="en-US"/>
        </w:rPr>
        <w:t xml:space="preserve">The lamp is only for use on a vehicle fitted with a tell-tale indicating failure: yes/no </w:t>
      </w:r>
      <w:r w:rsidRPr="00AC18AD">
        <w:rPr>
          <w:b/>
          <w:bCs/>
          <w:vertAlign w:val="superscript"/>
          <w:lang w:val="en-US"/>
        </w:rPr>
        <w:t>(2)</w:t>
      </w:r>
      <w:r w:rsidRPr="00AC18AD">
        <w:rPr>
          <w:vertAlign w:val="superscript"/>
          <w:lang w:val="en-US"/>
        </w:rPr>
        <w:t xml:space="preserve">              </w:t>
      </w:r>
    </w:p>
    <w:p w:rsidR="00F63824" w:rsidRPr="00AC18AD" w:rsidRDefault="00F63824" w:rsidP="00F63824">
      <w:pPr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_______________________</w:t>
      </w:r>
    </w:p>
    <w:p w:rsidR="00EC6A29" w:rsidRPr="003D56EB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sz w:val="18"/>
          <w:szCs w:val="18"/>
          <w:lang w:val="en-US"/>
        </w:rPr>
      </w:pPr>
      <w:r w:rsidRPr="003D56EB">
        <w:rPr>
          <w:sz w:val="18"/>
          <w:szCs w:val="18"/>
          <w:vertAlign w:val="superscript"/>
          <w:lang w:val="en-US"/>
        </w:rPr>
        <w:t xml:space="preserve">(1) </w:t>
      </w:r>
      <w:r w:rsidRPr="003D56EB">
        <w:rPr>
          <w:sz w:val="18"/>
          <w:szCs w:val="18"/>
          <w:lang w:val="en-US"/>
        </w:rPr>
        <w:t>For daytime running lamps with non-replaceable light sources indicate the number and total wattage of the light source used.</w:t>
      </w:r>
    </w:p>
    <w:p w:rsidR="00EC6A29" w:rsidRPr="003D56EB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sz w:val="18"/>
          <w:szCs w:val="18"/>
          <w:lang w:val="en-US"/>
        </w:rPr>
      </w:pPr>
      <w:r w:rsidRPr="003D56EB">
        <w:rPr>
          <w:sz w:val="18"/>
          <w:szCs w:val="18"/>
          <w:vertAlign w:val="superscript"/>
          <w:lang w:val="en-US"/>
        </w:rPr>
        <w:t xml:space="preserve">(2) </w:t>
      </w:r>
      <w:r w:rsidRPr="003D56EB">
        <w:rPr>
          <w:sz w:val="18"/>
          <w:szCs w:val="18"/>
          <w:lang w:val="en-US"/>
        </w:rPr>
        <w:t>Strike out what does not apply.</w:t>
      </w:r>
      <w:r w:rsidR="00F63824" w:rsidRPr="003D56EB">
        <w:rPr>
          <w:sz w:val="18"/>
          <w:szCs w:val="18"/>
          <w:lang w:val="en-US"/>
        </w:rPr>
        <w:t>"</w:t>
      </w:r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AC18AD" w:rsidRPr="00AC18AD" w:rsidRDefault="00D95D10" w:rsidP="00AC18AD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463029" w:rsidRPr="00463029">
        <w:rPr>
          <w:lang w:val="en-US"/>
        </w:rPr>
        <w:t xml:space="preserve">In Regulation Nos. 7 and 87 provisions require a tell-tale for respective lamp categories. Therefore, it is necessary that the description of the component (i.e. the device Regulation) indicates whether a tell-tale is required or not. </w:t>
      </w:r>
    </w:p>
    <w:p w:rsidR="00AC18AD" w:rsidRPr="00AC18AD" w:rsidRDefault="00AC18AD" w:rsidP="00AC18AD">
      <w:pPr>
        <w:pStyle w:val="SingleTxtG"/>
        <w:rPr>
          <w:lang w:val="en-US"/>
        </w:rPr>
      </w:pPr>
      <w:r w:rsidRPr="00AC18AD">
        <w:rPr>
          <w:lang w:val="en-US"/>
        </w:rPr>
        <w:t>2.</w:t>
      </w:r>
      <w:r w:rsidRPr="00AC18AD">
        <w:rPr>
          <w:lang w:val="en-US"/>
        </w:rPr>
        <w:tab/>
        <w:t>In addition, in the communication form of Regulation No. 48 it has to be documented that a tell-tale is present.</w:t>
      </w:r>
    </w:p>
    <w:p w:rsidR="003D56EB" w:rsidRDefault="00AC18AD" w:rsidP="003D56EB">
      <w:pPr>
        <w:pStyle w:val="SingleTxtG"/>
        <w:spacing w:after="0"/>
        <w:rPr>
          <w:lang w:val="en-US"/>
        </w:rPr>
      </w:pPr>
      <w:r w:rsidRPr="00AC18AD">
        <w:rPr>
          <w:lang w:val="en-US"/>
        </w:rPr>
        <w:t>3.</w:t>
      </w:r>
      <w:r w:rsidRPr="00AC18AD">
        <w:rPr>
          <w:lang w:val="en-US"/>
        </w:rPr>
        <w:tab/>
        <w:t>Furthermore, the following remark should be noted</w:t>
      </w:r>
      <w:r w:rsidR="00F63824">
        <w:rPr>
          <w:lang w:val="en-US"/>
        </w:rPr>
        <w:t>. I</w:t>
      </w:r>
      <w:r w:rsidRPr="00AC18AD">
        <w:rPr>
          <w:lang w:val="en-US"/>
        </w:rPr>
        <w:t xml:space="preserve">n Regulation No. 121 it should at least be allowed that the symbol “19. Position, side marker, and/or end-outline marker lamps” may be shown in other </w:t>
      </w:r>
      <w:proofErr w:type="spellStart"/>
      <w:r w:rsidRPr="00AC18AD">
        <w:rPr>
          <w:lang w:val="en-US"/>
        </w:rPr>
        <w:t>colours</w:t>
      </w:r>
      <w:proofErr w:type="spellEnd"/>
      <w:r w:rsidRPr="00AC18AD">
        <w:rPr>
          <w:lang w:val="en-US"/>
        </w:rPr>
        <w:t xml:space="preserve"> than specified in column 5.</w:t>
      </w:r>
    </w:p>
    <w:p w:rsidR="003D56EB" w:rsidRDefault="003D56EB" w:rsidP="003D56EB">
      <w:pPr>
        <w:pStyle w:val="SingleTxtG"/>
        <w:spacing w:after="0"/>
        <w:jc w:val="center"/>
        <w:rPr>
          <w:lang w:val="en-US"/>
        </w:rPr>
      </w:pPr>
      <w:r>
        <w:rPr>
          <w:lang w:val="en-US"/>
        </w:rPr>
        <w:t>____________</w:t>
      </w:r>
    </w:p>
    <w:sectPr w:rsidR="003D56EB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5" w:rsidRDefault="004D3FC5"/>
  </w:endnote>
  <w:endnote w:type="continuationSeparator" w:id="0">
    <w:p w:rsidR="004D3FC5" w:rsidRDefault="004D3FC5"/>
  </w:endnote>
  <w:endnote w:type="continuationNotice" w:id="1">
    <w:p w:rsidR="004D3FC5" w:rsidRDefault="004D3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20B4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20B48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6266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 wp14:anchorId="4E87CAAF" wp14:editId="4A778659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28">
      <w:rPr>
        <w:sz w:val="20"/>
      </w:rPr>
      <w:t>GE.1</w:t>
    </w:r>
    <w:r w:rsidR="00D95D10">
      <w:rPr>
        <w:sz w:val="20"/>
      </w:rPr>
      <w:t>5</w:t>
    </w:r>
    <w:r w:rsidR="00980C2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5" w:rsidRPr="000B175B" w:rsidRDefault="004D3F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C5" w:rsidRPr="00FC68B7" w:rsidRDefault="004D3F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3FC5" w:rsidRDefault="004D3FC5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105AD8">
      <w:t>5</w:t>
    </w:r>
    <w:r w:rsidRPr="00DF418A">
      <w:t>/</w:t>
    </w:r>
    <w:r w:rsidR="000B373D">
      <w:t>3</w:t>
    </w:r>
    <w:r w:rsidR="0056094D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</w:t>
    </w:r>
    <w:r w:rsidR="00EC6A29">
      <w:t>E/</w:t>
    </w:r>
    <w:r>
      <w:t>201</w:t>
    </w:r>
    <w:r w:rsidR="00EC6A29">
      <w:t>5</w:t>
    </w:r>
    <w:r>
      <w:t>/</w:t>
    </w:r>
    <w:r w:rsidR="00EC6A29">
      <w:t>3</w:t>
    </w:r>
    <w:r w:rsidR="0056094D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84147"/>
    <w:multiLevelType w:val="hybridMultilevel"/>
    <w:tmpl w:val="072C5C0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8EB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D56EB"/>
    <w:rsid w:val="003E120B"/>
    <w:rsid w:val="003E130E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3029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9C2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57EAC"/>
    <w:rsid w:val="0056094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0B48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18AD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4E8A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C6A29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63824"/>
    <w:rsid w:val="00F7336D"/>
    <w:rsid w:val="00F73CB2"/>
    <w:rsid w:val="00F80A68"/>
    <w:rsid w:val="00F81727"/>
    <w:rsid w:val="00F829D5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4CB7-CD91-4F0D-A507-0688DBE4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475</Words>
  <Characters>2818</Characters>
  <Application>Microsoft Office Word</Application>
  <DocSecurity>0</DocSecurity>
  <Lines>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2</cp:revision>
  <cp:lastPrinted>2015-06-17T13:03:00Z</cp:lastPrinted>
  <dcterms:created xsi:type="dcterms:W3CDTF">2015-08-05T14:48:00Z</dcterms:created>
  <dcterms:modified xsi:type="dcterms:W3CDTF">2015-08-05T14:48:00Z</dcterms:modified>
</cp:coreProperties>
</file>