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423B49">
            <w:pPr>
              <w:jc w:val="right"/>
              <w:rPr>
                <w:highlight w:val="yellow"/>
              </w:rPr>
            </w:pPr>
            <w:r w:rsidRPr="00423B49">
              <w:rPr>
                <w:sz w:val="40"/>
              </w:rPr>
              <w:t>ECE</w:t>
            </w:r>
            <w:r w:rsidRPr="00423B49">
              <w:t>/TRANS/WP.29/GRE/</w:t>
            </w:r>
            <w:r w:rsidR="00A91E4C" w:rsidRPr="00423B49">
              <w:t>201</w:t>
            </w:r>
            <w:r w:rsidR="00DC64E9" w:rsidRPr="00423B49">
              <w:t>5</w:t>
            </w:r>
            <w:r w:rsidRPr="00423B49">
              <w:t>/</w:t>
            </w:r>
            <w:r w:rsidR="00423B49" w:rsidRPr="00423B49">
              <w:t>20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C527C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3090"/>
                  <wp:effectExtent l="0" t="0" r="571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423B49" w:rsidP="006D66AF">
            <w:pPr>
              <w:spacing w:line="240" w:lineRule="exact"/>
            </w:pPr>
            <w:r w:rsidRPr="00423B49">
              <w:t>2</w:t>
            </w:r>
            <w:r w:rsidR="00C76DF7">
              <w:t>3</w:t>
            </w:r>
            <w:bookmarkStart w:id="0" w:name="_GoBack"/>
            <w:bookmarkEnd w:id="0"/>
            <w:r w:rsidRPr="00423B49">
              <w:t xml:space="preserve"> January 2015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423B49" w:rsidRPr="0037278F" w:rsidRDefault="00423B49" w:rsidP="00423B49">
      <w:pPr>
        <w:rPr>
          <w:b/>
        </w:rPr>
      </w:pPr>
      <w:r w:rsidRPr="0037278F">
        <w:rPr>
          <w:b/>
        </w:rPr>
        <w:t>Seventy-</w:t>
      </w:r>
      <w:r>
        <w:rPr>
          <w:b/>
        </w:rPr>
        <w:t>third</w:t>
      </w:r>
      <w:r w:rsidRPr="0037278F">
        <w:rPr>
          <w:b/>
        </w:rPr>
        <w:t xml:space="preserve"> session</w:t>
      </w:r>
    </w:p>
    <w:p w:rsidR="00423B49" w:rsidRPr="0037278F" w:rsidRDefault="00423B49" w:rsidP="00423B49">
      <w:pPr>
        <w:rPr>
          <w:bCs/>
        </w:rPr>
      </w:pPr>
      <w:r w:rsidRPr="0037278F">
        <w:t>Geneva</w:t>
      </w:r>
      <w:r w:rsidRPr="0037278F">
        <w:rPr>
          <w:bCs/>
        </w:rPr>
        <w:t xml:space="preserve">, </w:t>
      </w:r>
      <w:r>
        <w:rPr>
          <w:bCs/>
        </w:rPr>
        <w:t>14 – 17 April 2015</w:t>
      </w:r>
    </w:p>
    <w:p w:rsidR="00423B49" w:rsidRPr="00732D26" w:rsidRDefault="00423B49" w:rsidP="00423B49">
      <w:pPr>
        <w:ind w:right="1134"/>
        <w:rPr>
          <w:b/>
          <w:bCs/>
          <w:lang w:val="en-US"/>
        </w:rPr>
      </w:pPr>
      <w:r w:rsidRPr="00732D26">
        <w:rPr>
          <w:bCs/>
          <w:lang w:val="en-US"/>
        </w:rPr>
        <w:t>Item 7 (</w:t>
      </w:r>
      <w:r>
        <w:rPr>
          <w:bCs/>
          <w:lang w:val="en-US"/>
        </w:rPr>
        <w:t>m</w:t>
      </w:r>
      <w:r w:rsidRPr="00732D26">
        <w:rPr>
          <w:bCs/>
          <w:lang w:val="en-US"/>
        </w:rPr>
        <w:t>) of the provisional agenda</w:t>
      </w:r>
      <w:r w:rsidRPr="00732D26">
        <w:rPr>
          <w:bCs/>
          <w:lang w:val="en-US"/>
        </w:rPr>
        <w:br/>
      </w:r>
      <w:r w:rsidRPr="00732D26">
        <w:rPr>
          <w:b/>
          <w:bCs/>
          <w:lang w:val="en-US"/>
        </w:rPr>
        <w:t xml:space="preserve">Other Regulations – Regulation No. </w:t>
      </w:r>
      <w:r>
        <w:rPr>
          <w:b/>
          <w:bCs/>
          <w:lang w:val="en-US"/>
        </w:rPr>
        <w:t xml:space="preserve">123 </w:t>
      </w:r>
      <w:r w:rsidRPr="00732D26">
        <w:rPr>
          <w:b/>
          <w:bCs/>
          <w:lang w:val="en-US"/>
        </w:rPr>
        <w:t>(</w:t>
      </w:r>
      <w:r w:rsidRPr="00423B49">
        <w:rPr>
          <w:b/>
          <w:bCs/>
          <w:lang w:val="en-US"/>
        </w:rPr>
        <w:t>Adaptive Front-lighting Systems (AFS))</w:t>
      </w:r>
    </w:p>
    <w:p w:rsidR="006D66AF" w:rsidRPr="00302D56" w:rsidRDefault="006D66AF" w:rsidP="006810B6">
      <w:pPr>
        <w:pStyle w:val="HChG"/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D452D8" w:rsidRPr="00302D56">
        <w:t xml:space="preserve">Proposal for Supplement </w:t>
      </w:r>
      <w:r w:rsidR="00302D56" w:rsidRPr="00302D56">
        <w:t>8</w:t>
      </w:r>
      <w:r w:rsidR="00D452D8" w:rsidRPr="00302D56">
        <w:t xml:space="preserve"> to the 0</w:t>
      </w:r>
      <w:r w:rsidR="00302D56" w:rsidRPr="00302D56">
        <w:t>1</w:t>
      </w:r>
      <w:r w:rsidR="00D452D8" w:rsidRPr="00302D56">
        <w:t xml:space="preserve"> </w:t>
      </w:r>
      <w:r w:rsidR="00423B49">
        <w:t>s</w:t>
      </w:r>
      <w:r w:rsidR="00D452D8" w:rsidRPr="00302D56">
        <w:t>eries of</w:t>
      </w:r>
      <w:r w:rsidR="00423B49">
        <w:t xml:space="preserve"> amendments to</w:t>
      </w:r>
      <w:r w:rsidR="00D452D8" w:rsidRPr="00302D56">
        <w:t xml:space="preserve"> Regulation No.</w:t>
      </w:r>
      <w:r w:rsidR="00F923C4" w:rsidRPr="00302D56">
        <w:t xml:space="preserve"> </w:t>
      </w:r>
      <w:r w:rsidR="00302D56" w:rsidRPr="00302D56">
        <w:t>123 (Adaptive Front-lighting Systems (AFS))</w:t>
      </w:r>
    </w:p>
    <w:p w:rsidR="006D66AF" w:rsidRPr="00302D56" w:rsidRDefault="0068000A" w:rsidP="0068000A">
      <w:pPr>
        <w:pStyle w:val="H1G"/>
        <w:ind w:firstLine="0"/>
        <w:rPr>
          <w:szCs w:val="24"/>
          <w:lang w:val="en-US"/>
        </w:rPr>
      </w:pPr>
      <w:r w:rsidRPr="00302D56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302D56">
        <w:rPr>
          <w:szCs w:val="24"/>
          <w:lang w:val="en-US"/>
        </w:rPr>
        <w:t>)</w:t>
      </w:r>
      <w:r w:rsidR="006D66AF" w:rsidRPr="00302D56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C970EE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302D56">
        <w:t>The text reproduced below was prepared by the expert from the GTB</w:t>
      </w:r>
      <w:r w:rsidR="008C2428" w:rsidRPr="00302D56">
        <w:t xml:space="preserve"> </w:t>
      </w:r>
      <w:r w:rsidR="0062385B" w:rsidRPr="00302D56">
        <w:t xml:space="preserve">to </w:t>
      </w:r>
      <w:r w:rsidR="00302D56" w:rsidRPr="00302D56">
        <w:t>correct editorial errors and to improve the text to avoid misinterpretation</w:t>
      </w:r>
      <w:r w:rsidR="006D66AF" w:rsidRPr="00302D56">
        <w:t xml:space="preserve">. </w:t>
      </w:r>
      <w:r w:rsidR="0068000A" w:rsidRPr="00302D56">
        <w:t>The modifications to the exis</w:t>
      </w:r>
      <w:r w:rsidR="005908FB" w:rsidRPr="00302D56">
        <w:t>ting text of the Regulation are marked in bold for new or strikethrough for deleted characters</w:t>
      </w:r>
      <w:r w:rsidR="006D66AF" w:rsidRPr="00302D56">
        <w:rPr>
          <w:lang w:val="en-US"/>
        </w:rPr>
        <w:t>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A5414C" w:rsidRPr="000444B6" w:rsidRDefault="006D66AF" w:rsidP="00423B49">
      <w:pPr>
        <w:pStyle w:val="HChG"/>
        <w:spacing w:after="120" w:line="240" w:lineRule="atLeast"/>
        <w:rPr>
          <w:highlight w:val="yellow"/>
          <w:lang w:val="en-US"/>
        </w:rPr>
      </w:pPr>
      <w:r w:rsidRPr="00C970EE">
        <w:rPr>
          <w:b w:val="0"/>
          <w:lang w:val="en-US"/>
        </w:rPr>
        <w:br w:type="page"/>
      </w:r>
      <w:r w:rsidR="0003056C">
        <w:rPr>
          <w:lang w:val="en-US"/>
        </w:rPr>
        <w:lastRenderedPageBreak/>
        <w:tab/>
      </w:r>
      <w:r w:rsidR="00A5414C" w:rsidRPr="00543609">
        <w:rPr>
          <w:lang w:val="en-US"/>
        </w:rPr>
        <w:t>I.</w:t>
      </w:r>
      <w:r w:rsidR="00A5414C" w:rsidRPr="00543609">
        <w:rPr>
          <w:b w:val="0"/>
          <w:lang w:val="en-US"/>
        </w:rPr>
        <w:tab/>
      </w:r>
      <w:r w:rsidR="00A5414C" w:rsidRPr="00543609">
        <w:rPr>
          <w:lang w:val="en-US"/>
        </w:rPr>
        <w:t>Proposal</w:t>
      </w:r>
    </w:p>
    <w:p w:rsidR="00302D56" w:rsidRPr="00302D56" w:rsidRDefault="00302D56" w:rsidP="00423B49">
      <w:pPr>
        <w:spacing w:after="120"/>
        <w:ind w:left="2268" w:right="1134" w:hanging="1134"/>
        <w:jc w:val="both"/>
        <w:rPr>
          <w:rFonts w:eastAsiaTheme="minorEastAsia"/>
          <w:i/>
        </w:rPr>
      </w:pPr>
      <w:r w:rsidRPr="00302D56">
        <w:rPr>
          <w:rFonts w:eastAsiaTheme="minorEastAsia"/>
          <w:i/>
        </w:rPr>
        <w:t>Paragraph 6.3.2.1.1.</w:t>
      </w:r>
      <w:r w:rsidR="00423B49">
        <w:rPr>
          <w:rFonts w:eastAsiaTheme="minorEastAsia"/>
          <w:i/>
        </w:rPr>
        <w:t>,</w:t>
      </w:r>
      <w:r w:rsidRPr="00302D56">
        <w:rPr>
          <w:rFonts w:eastAsiaTheme="minorEastAsia"/>
          <w:i/>
        </w:rPr>
        <w:t xml:space="preserve"> </w:t>
      </w:r>
      <w:r w:rsidRPr="00302D56">
        <w:rPr>
          <w:rFonts w:eastAsiaTheme="minorEastAsia"/>
        </w:rPr>
        <w:t>amend to read:</w:t>
      </w:r>
    </w:p>
    <w:p w:rsidR="00302D56" w:rsidRPr="00B3497D" w:rsidRDefault="00423B49" w:rsidP="00423B49">
      <w:pPr>
        <w:spacing w:after="120"/>
        <w:ind w:left="2268" w:right="1134" w:hanging="1134"/>
        <w:jc w:val="both"/>
        <w:rPr>
          <w:rFonts w:eastAsiaTheme="minorEastAsia"/>
          <w:b/>
        </w:rPr>
      </w:pPr>
      <w:r>
        <w:rPr>
          <w:rFonts w:eastAsiaTheme="minorEastAsia"/>
        </w:rPr>
        <w:t>"</w:t>
      </w:r>
      <w:r w:rsidR="00302D56" w:rsidRPr="00B3497D">
        <w:rPr>
          <w:rFonts w:eastAsiaTheme="minorEastAsia"/>
        </w:rPr>
        <w:t>6.3.2.1.1.</w:t>
      </w:r>
      <w:r w:rsidR="00302D56" w:rsidRPr="00B3497D">
        <w:rPr>
          <w:rFonts w:eastAsiaTheme="minorEastAsia"/>
        </w:rPr>
        <w:tab/>
      </w:r>
      <w:proofErr w:type="gramStart"/>
      <w:r w:rsidR="00302D56" w:rsidRPr="00B3497D">
        <w:rPr>
          <w:rFonts w:eastAsiaTheme="minorEastAsia"/>
        </w:rPr>
        <w:t>The</w:t>
      </w:r>
      <w:proofErr w:type="gramEnd"/>
      <w:r w:rsidR="00302D56" w:rsidRPr="00B3497D">
        <w:rPr>
          <w:rFonts w:eastAsiaTheme="minorEastAsia"/>
        </w:rPr>
        <w:t xml:space="preserve"> maximum value (I</w:t>
      </w:r>
      <w:r w:rsidR="00302D56" w:rsidRPr="00B3497D">
        <w:rPr>
          <w:rFonts w:eastAsiaTheme="minorEastAsia"/>
          <w:vertAlign w:val="subscript"/>
        </w:rPr>
        <w:t>M</w:t>
      </w:r>
      <w:r w:rsidR="00302D56" w:rsidRPr="00B3497D">
        <w:rPr>
          <w:rFonts w:eastAsiaTheme="minorEastAsia"/>
        </w:rPr>
        <w:t xml:space="preserve">) shall in no circumstances exceed 215,000 cd </w:t>
      </w:r>
      <w:r w:rsidR="00C527C1">
        <w:rPr>
          <w:rFonts w:eastAsiaTheme="minorEastAsia"/>
          <w:b/>
        </w:rPr>
        <w:t xml:space="preserve">in </w:t>
      </w:r>
      <w:r w:rsidR="00302D56" w:rsidRPr="00B3497D">
        <w:rPr>
          <w:rFonts w:eastAsiaTheme="minorEastAsia"/>
          <w:b/>
        </w:rPr>
        <w:t xml:space="preserve">each </w:t>
      </w:r>
      <w:r w:rsidR="00C527C1">
        <w:rPr>
          <w:rFonts w:eastAsiaTheme="minorEastAsia"/>
          <w:b/>
        </w:rPr>
        <w:t xml:space="preserve">of the </w:t>
      </w:r>
      <w:r w:rsidR="00302D56" w:rsidRPr="00B3497D">
        <w:rPr>
          <w:rFonts w:eastAsiaTheme="minorEastAsia"/>
          <w:b/>
        </w:rPr>
        <w:t>lighting unit</w:t>
      </w:r>
      <w:r w:rsidR="00C527C1">
        <w:rPr>
          <w:rFonts w:eastAsiaTheme="minorEastAsia"/>
          <w:b/>
        </w:rPr>
        <w:t>s</w:t>
      </w:r>
      <w:r w:rsidR="00302D56" w:rsidRPr="00B3497D">
        <w:rPr>
          <w:rFonts w:eastAsiaTheme="minorEastAsia"/>
          <w:b/>
        </w:rPr>
        <w:t xml:space="preserve"> (</w:t>
      </w:r>
      <w:r w:rsidR="00302D56" w:rsidRPr="00B3497D">
        <w:rPr>
          <w:rFonts w:eastAsiaTheme="minorEastAsia"/>
          <w:b/>
          <w:bCs/>
          <w:lang w:eastAsia="en-GB"/>
        </w:rPr>
        <w:t xml:space="preserve">driving beam) </w:t>
      </w:r>
      <w:r w:rsidR="00302D56" w:rsidRPr="00B3497D">
        <w:rPr>
          <w:rFonts w:eastAsiaTheme="minorEastAsia"/>
          <w:b/>
          <w:lang w:eastAsia="en-GB"/>
        </w:rPr>
        <w:t>mounted on the left- and right-hand side of the vehicle</w:t>
      </w:r>
      <w:r w:rsidR="00A27ABB">
        <w:rPr>
          <w:rFonts w:eastAsiaTheme="minorEastAsia"/>
          <w:b/>
          <w:lang w:eastAsia="en-GB"/>
        </w:rPr>
        <w:t>.</w:t>
      </w:r>
      <w:r>
        <w:rPr>
          <w:rFonts w:eastAsiaTheme="minorEastAsia"/>
          <w:b/>
          <w:lang w:eastAsia="en-GB"/>
        </w:rPr>
        <w:t>"</w:t>
      </w:r>
    </w:p>
    <w:p w:rsidR="00302D56" w:rsidRPr="00B3497D" w:rsidRDefault="00302D56" w:rsidP="00423B49">
      <w:pPr>
        <w:spacing w:after="120"/>
        <w:ind w:left="2268" w:right="1134" w:hanging="1134"/>
        <w:jc w:val="both"/>
        <w:rPr>
          <w:rFonts w:eastAsiaTheme="minorEastAsia"/>
        </w:rPr>
      </w:pPr>
      <w:r w:rsidRPr="00B3497D">
        <w:rPr>
          <w:rFonts w:eastAsiaTheme="minorEastAsia"/>
          <w:i/>
        </w:rPr>
        <w:t>Paragraph 6.3.3.1.;</w:t>
      </w:r>
      <w:r w:rsidRPr="00B3497D">
        <w:rPr>
          <w:rFonts w:eastAsiaTheme="minorEastAsia"/>
          <w:b/>
          <w:i/>
        </w:rPr>
        <w:t xml:space="preserve"> </w:t>
      </w:r>
      <w:r w:rsidRPr="00B3497D">
        <w:rPr>
          <w:rFonts w:eastAsiaTheme="minorEastAsia"/>
        </w:rPr>
        <w:t>amend to read:</w:t>
      </w:r>
    </w:p>
    <w:p w:rsidR="00302D56" w:rsidRPr="00B3497D" w:rsidRDefault="00423B49" w:rsidP="00423B49">
      <w:pPr>
        <w:spacing w:after="120"/>
        <w:ind w:left="2268" w:right="1134" w:hanging="1134"/>
        <w:jc w:val="both"/>
        <w:rPr>
          <w:rFonts w:eastAsiaTheme="minorEastAsia"/>
        </w:rPr>
      </w:pPr>
      <w:r>
        <w:rPr>
          <w:rFonts w:eastAsiaTheme="minorEastAsia"/>
        </w:rPr>
        <w:t>"</w:t>
      </w:r>
      <w:r w:rsidR="00302D56" w:rsidRPr="00B3497D">
        <w:rPr>
          <w:rFonts w:eastAsiaTheme="minorEastAsia"/>
        </w:rPr>
        <w:t>6.3.3.1.</w:t>
      </w:r>
      <w:r w:rsidR="00302D56" w:rsidRPr="00B3497D">
        <w:rPr>
          <w:rFonts w:eastAsiaTheme="minorEastAsia"/>
        </w:rPr>
        <w:tab/>
        <w:t xml:space="preserve">The system meets the requirements of the </w:t>
      </w:r>
      <w:r w:rsidR="00302D56" w:rsidRPr="00B3497D">
        <w:rPr>
          <w:rFonts w:eastAsiaTheme="minorEastAsia"/>
          <w:b/>
        </w:rPr>
        <w:t>table in paragraph 6.3.2. and</w:t>
      </w:r>
      <w:r w:rsidR="00302D56" w:rsidRPr="00B3497D">
        <w:rPr>
          <w:rFonts w:eastAsiaTheme="minorEastAsia"/>
        </w:rPr>
        <w:t xml:space="preserve"> paragraph</w:t>
      </w:r>
      <w:r w:rsidR="00302D56" w:rsidRPr="00B3497D">
        <w:rPr>
          <w:rFonts w:eastAsiaTheme="minorEastAsia"/>
          <w:strike/>
        </w:rPr>
        <w:t>s</w:t>
      </w:r>
      <w:r w:rsidR="00302D56" w:rsidRPr="00B3497D">
        <w:rPr>
          <w:rFonts w:eastAsiaTheme="minorEastAsia"/>
        </w:rPr>
        <w:t xml:space="preserve"> 6.3.2.1.1. </w:t>
      </w:r>
      <w:r w:rsidR="00302D56" w:rsidRPr="00B3497D">
        <w:rPr>
          <w:rFonts w:eastAsiaTheme="minorEastAsia"/>
          <w:strike/>
        </w:rPr>
        <w:t>and 6.3.2.1.2.</w:t>
      </w:r>
      <w:r w:rsidR="00302D56" w:rsidRPr="00B3497D">
        <w:rPr>
          <w:rFonts w:eastAsiaTheme="minorEastAsia"/>
        </w:rPr>
        <w:t xml:space="preserve"> above, </w:t>
      </w:r>
      <w:r w:rsidR="00302D56" w:rsidRPr="00B3497D">
        <w:rPr>
          <w:rFonts w:eastAsiaTheme="minorEastAsia"/>
          <w:strike/>
        </w:rPr>
        <w:t>with each lighting unit</w:t>
      </w:r>
      <w:r w:rsidR="00302D56" w:rsidRPr="00B3497D">
        <w:rPr>
          <w:rFonts w:eastAsiaTheme="minorEastAsia"/>
        </w:rPr>
        <w:t xml:space="preserve"> </w:t>
      </w:r>
      <w:r w:rsidR="00302D56" w:rsidRPr="00B3497D">
        <w:rPr>
          <w:rFonts w:eastAsiaTheme="minorEastAsia"/>
          <w:b/>
        </w:rPr>
        <w:t xml:space="preserve">when </w:t>
      </w:r>
      <w:r w:rsidR="00302D56" w:rsidRPr="00B3497D">
        <w:rPr>
          <w:rFonts w:eastAsiaTheme="minorEastAsia"/>
        </w:rPr>
        <w:t>measured according to the relevant procedure indicated in Annex</w:t>
      </w:r>
      <w:r w:rsidR="00302D56" w:rsidRPr="00B3497D">
        <w:rPr>
          <w:rFonts w:eastAsiaTheme="minorEastAsia" w:hint="eastAsia"/>
          <w:lang w:eastAsia="ja-JP"/>
        </w:rPr>
        <w:t xml:space="preserve"> </w:t>
      </w:r>
      <w:r w:rsidR="00302D56" w:rsidRPr="00B3497D">
        <w:rPr>
          <w:rFonts w:eastAsiaTheme="minorEastAsia"/>
        </w:rPr>
        <w:t>9.</w:t>
      </w:r>
      <w:r>
        <w:rPr>
          <w:rFonts w:eastAsiaTheme="minorEastAsia"/>
        </w:rPr>
        <w:t>"</w:t>
      </w:r>
    </w:p>
    <w:p w:rsidR="00A5414C" w:rsidRPr="00B3497D" w:rsidRDefault="00A5414C" w:rsidP="00423B49">
      <w:pPr>
        <w:pStyle w:val="HChG"/>
        <w:spacing w:after="120" w:line="240" w:lineRule="atLeast"/>
        <w:rPr>
          <w:lang w:val="en-US"/>
        </w:rPr>
      </w:pPr>
      <w:r w:rsidRPr="00B3497D">
        <w:rPr>
          <w:lang w:val="en-US"/>
        </w:rPr>
        <w:tab/>
        <w:t>II.</w:t>
      </w:r>
      <w:r w:rsidRPr="00B3497D">
        <w:rPr>
          <w:lang w:val="en-US"/>
        </w:rPr>
        <w:tab/>
        <w:t>Justification</w:t>
      </w:r>
    </w:p>
    <w:p w:rsidR="00302D56" w:rsidRDefault="00423B49" w:rsidP="00423B49">
      <w:pPr>
        <w:pStyle w:val="SingleTxtG"/>
      </w:pPr>
      <w:r>
        <w:t>1.</w:t>
      </w:r>
      <w:r>
        <w:tab/>
      </w:r>
      <w:r w:rsidR="00302D56" w:rsidRPr="00B3497D">
        <w:t xml:space="preserve">This proposal corrects </w:t>
      </w:r>
      <w:r w:rsidR="00543609" w:rsidRPr="00B3497D">
        <w:t>a</w:t>
      </w:r>
      <w:r w:rsidR="00302D56" w:rsidRPr="00B3497D">
        <w:t xml:space="preserve"> reference.</w:t>
      </w:r>
    </w:p>
    <w:p w:rsidR="00302D56" w:rsidRDefault="00423B49" w:rsidP="00423B49">
      <w:pPr>
        <w:pStyle w:val="SingleTxtG"/>
      </w:pPr>
      <w:r>
        <w:t>2.</w:t>
      </w:r>
      <w:r>
        <w:tab/>
      </w:r>
      <w:r w:rsidR="00C527C1">
        <w:t>A</w:t>
      </w:r>
      <w:r w:rsidR="00302D56">
        <w:t xml:space="preserve"> potential problem of misinterpretation </w:t>
      </w:r>
      <w:r w:rsidR="00C527C1">
        <w:t xml:space="preserve">is removed </w:t>
      </w:r>
      <w:r w:rsidR="00302D56">
        <w:t xml:space="preserve">by deleting the words “with each lighting unit” from paragraph 6.3.3.1. This wording is redundant or contradicts Annex 9 </w:t>
      </w:r>
      <w:r w:rsidR="000A19CB">
        <w:t xml:space="preserve">and </w:t>
      </w:r>
      <w:r w:rsidR="00302D56">
        <w:t xml:space="preserve">could lead to </w:t>
      </w:r>
      <w:r w:rsidR="00C527C1">
        <w:t xml:space="preserve">an </w:t>
      </w:r>
      <w:r w:rsidR="00302D56">
        <w:t>incorrect interpretation that each lighting unit shall meet photometric requirement in all cases.</w:t>
      </w:r>
    </w:p>
    <w:p w:rsidR="004348AD" w:rsidRDefault="004348AD" w:rsidP="00302D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8AD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AA" w:rsidRDefault="00622FAA"/>
  </w:endnote>
  <w:endnote w:type="continuationSeparator" w:id="0">
    <w:p w:rsidR="00622FAA" w:rsidRDefault="00622FAA"/>
  </w:endnote>
  <w:endnote w:type="continuationNotice" w:id="1">
    <w:p w:rsidR="00622FAA" w:rsidRDefault="00622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490DC9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76DF7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490DC9" w:rsidP="006D66AF">
    <w:pPr>
      <w:pStyle w:val="Footer"/>
      <w:tabs>
        <w:tab w:val="right" w:pos="9638"/>
      </w:tabs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02D56">
      <w:rPr>
        <w:b/>
        <w:noProof/>
        <w:sz w:val="18"/>
      </w:rPr>
      <w:t>3</w:t>
    </w:r>
    <w:r w:rsidRPr="006D66AF">
      <w:rPr>
        <w:b/>
        <w:sz w:val="18"/>
      </w:rPr>
      <w:fldChar w:fldCharType="end"/>
    </w:r>
    <w:r w:rsidR="00960F75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EA2A77" w:rsidRDefault="00C527C1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D6">
      <w:rPr>
        <w:sz w:val="20"/>
      </w:rPr>
      <w:t>GE.1</w:t>
    </w:r>
    <w:r w:rsidR="00423B49">
      <w:rPr>
        <w:sz w:val="20"/>
      </w:rPr>
      <w:t>5</w:t>
    </w:r>
    <w:r w:rsidR="00204AD6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AA" w:rsidRPr="000B175B" w:rsidRDefault="00622F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2FAA" w:rsidRPr="00FC68B7" w:rsidRDefault="00622F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22FAA" w:rsidRDefault="00622FAA"/>
  </w:footnote>
  <w:footnote w:id="2">
    <w:p w:rsidR="00960F75" w:rsidRDefault="00960F75" w:rsidP="00B52192">
      <w:pPr>
        <w:pStyle w:val="FootnoteText"/>
        <w:jc w:val="both"/>
      </w:pPr>
      <w:r>
        <w:tab/>
      </w:r>
      <w:r w:rsidRPr="00872538">
        <w:rPr>
          <w:rStyle w:val="FootnoteReference"/>
          <w:sz w:val="24"/>
          <w:szCs w:val="24"/>
          <w:lang w:val="en-US"/>
        </w:rPr>
        <w:t>*</w:t>
      </w:r>
      <w:r w:rsidRPr="002232AF">
        <w:rPr>
          <w:sz w:val="20"/>
          <w:lang w:val="en-US"/>
        </w:rPr>
        <w:tab/>
      </w:r>
      <w:r w:rsidR="00423B49" w:rsidRPr="00423B49">
        <w:rPr>
          <w:lang w:val="en-US"/>
        </w:rPr>
        <w:t xml:space="preserve"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423B49">
      <w:t>5</w:t>
    </w:r>
    <w:r w:rsidR="00124000" w:rsidRPr="00A91E4C">
      <w:t>/</w:t>
    </w:r>
    <w:r w:rsidR="00423B49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>
    <w:pPr>
      <w:pStyle w:val="Header"/>
    </w:pPr>
    <w:r>
      <w:t>ECE/TRANS/WP.29</w:t>
    </w:r>
    <w:r w:rsidRPr="0068000A">
      <w:rPr>
        <w:highlight w:val="yellow"/>
      </w:rPr>
      <w:t>/GRE/</w:t>
    </w:r>
    <w:r w:rsidR="0068000A" w:rsidRPr="0068000A">
      <w:rPr>
        <w:highlight w:val="yellow"/>
      </w:rPr>
      <w:t>XXXX/</w:t>
    </w:r>
    <w:proofErr w:type="spellStart"/>
    <w:r w:rsidR="0068000A" w:rsidRPr="0068000A">
      <w:rPr>
        <w:highlight w:val="yellow"/>
      </w:rPr>
      <w:t>yy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3D99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150E"/>
    <w:rsid w:val="00072C8C"/>
    <w:rsid w:val="000733B5"/>
    <w:rsid w:val="00081815"/>
    <w:rsid w:val="00092169"/>
    <w:rsid w:val="000931C0"/>
    <w:rsid w:val="00096FFF"/>
    <w:rsid w:val="000A19CB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2268"/>
    <w:rsid w:val="0014380B"/>
    <w:rsid w:val="00157FE9"/>
    <w:rsid w:val="0016538B"/>
    <w:rsid w:val="00165F3A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E0B"/>
    <w:rsid w:val="002449E8"/>
    <w:rsid w:val="0024772E"/>
    <w:rsid w:val="00267F5F"/>
    <w:rsid w:val="00283697"/>
    <w:rsid w:val="00286B4D"/>
    <w:rsid w:val="002A6754"/>
    <w:rsid w:val="002B1DCA"/>
    <w:rsid w:val="002D4643"/>
    <w:rsid w:val="002F175C"/>
    <w:rsid w:val="002F7DE0"/>
    <w:rsid w:val="00302D56"/>
    <w:rsid w:val="00302E18"/>
    <w:rsid w:val="003229D8"/>
    <w:rsid w:val="00340057"/>
    <w:rsid w:val="00352709"/>
    <w:rsid w:val="003619B5"/>
    <w:rsid w:val="00361AC3"/>
    <w:rsid w:val="00365763"/>
    <w:rsid w:val="00371178"/>
    <w:rsid w:val="00392E47"/>
    <w:rsid w:val="003936BC"/>
    <w:rsid w:val="003A6810"/>
    <w:rsid w:val="003C2CC4"/>
    <w:rsid w:val="003C534D"/>
    <w:rsid w:val="003D4B23"/>
    <w:rsid w:val="003E130E"/>
    <w:rsid w:val="003E1EC6"/>
    <w:rsid w:val="00410C89"/>
    <w:rsid w:val="00422699"/>
    <w:rsid w:val="00422E03"/>
    <w:rsid w:val="00423B49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90DC9"/>
    <w:rsid w:val="004B1956"/>
    <w:rsid w:val="004C0081"/>
    <w:rsid w:val="004C2461"/>
    <w:rsid w:val="004C7462"/>
    <w:rsid w:val="004D127C"/>
    <w:rsid w:val="004E77B2"/>
    <w:rsid w:val="00501DC3"/>
    <w:rsid w:val="0050237E"/>
    <w:rsid w:val="00504B2D"/>
    <w:rsid w:val="0052136D"/>
    <w:rsid w:val="005214EB"/>
    <w:rsid w:val="0052775E"/>
    <w:rsid w:val="005369ED"/>
    <w:rsid w:val="005420F2"/>
    <w:rsid w:val="00543609"/>
    <w:rsid w:val="0056209A"/>
    <w:rsid w:val="005628B6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15CB"/>
    <w:rsid w:val="00622FAA"/>
    <w:rsid w:val="0062385B"/>
    <w:rsid w:val="00640B26"/>
    <w:rsid w:val="00652D0A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24B93"/>
    <w:rsid w:val="0072632A"/>
    <w:rsid w:val="007327D5"/>
    <w:rsid w:val="00733B05"/>
    <w:rsid w:val="00761394"/>
    <w:rsid w:val="007629C8"/>
    <w:rsid w:val="0077047D"/>
    <w:rsid w:val="007864B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34D28"/>
    <w:rsid w:val="00843191"/>
    <w:rsid w:val="00843767"/>
    <w:rsid w:val="0085595A"/>
    <w:rsid w:val="00864245"/>
    <w:rsid w:val="008679D9"/>
    <w:rsid w:val="00872E3B"/>
    <w:rsid w:val="008878DE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80F75"/>
    <w:rsid w:val="009A0830"/>
    <w:rsid w:val="009A0E8D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17B81"/>
    <w:rsid w:val="00A27ABB"/>
    <w:rsid w:val="00A3026E"/>
    <w:rsid w:val="00A33778"/>
    <w:rsid w:val="00A338F1"/>
    <w:rsid w:val="00A35BE0"/>
    <w:rsid w:val="00A5414C"/>
    <w:rsid w:val="00A60C27"/>
    <w:rsid w:val="00A6129C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D74C4"/>
    <w:rsid w:val="00B049A8"/>
    <w:rsid w:val="00B226AA"/>
    <w:rsid w:val="00B30179"/>
    <w:rsid w:val="00B30622"/>
    <w:rsid w:val="00B3497D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B578F"/>
    <w:rsid w:val="00BC3F3B"/>
    <w:rsid w:val="00BC3FA0"/>
    <w:rsid w:val="00BC74E9"/>
    <w:rsid w:val="00BF1E2C"/>
    <w:rsid w:val="00BF30B3"/>
    <w:rsid w:val="00BF68A8"/>
    <w:rsid w:val="00C11A03"/>
    <w:rsid w:val="00C127F3"/>
    <w:rsid w:val="00C22C0C"/>
    <w:rsid w:val="00C37074"/>
    <w:rsid w:val="00C4527F"/>
    <w:rsid w:val="00C463DD"/>
    <w:rsid w:val="00C4724C"/>
    <w:rsid w:val="00C527C1"/>
    <w:rsid w:val="00C60646"/>
    <w:rsid w:val="00C629A0"/>
    <w:rsid w:val="00C64629"/>
    <w:rsid w:val="00C745C3"/>
    <w:rsid w:val="00C76DF7"/>
    <w:rsid w:val="00C91644"/>
    <w:rsid w:val="00C94F10"/>
    <w:rsid w:val="00C96DF2"/>
    <w:rsid w:val="00CA10C9"/>
    <w:rsid w:val="00CA1B34"/>
    <w:rsid w:val="00CB3E03"/>
    <w:rsid w:val="00CD4AA6"/>
    <w:rsid w:val="00CE4A8F"/>
    <w:rsid w:val="00D0711A"/>
    <w:rsid w:val="00D149F6"/>
    <w:rsid w:val="00D2031B"/>
    <w:rsid w:val="00D248B6"/>
    <w:rsid w:val="00D25FE2"/>
    <w:rsid w:val="00D26E07"/>
    <w:rsid w:val="00D43252"/>
    <w:rsid w:val="00D43876"/>
    <w:rsid w:val="00D44783"/>
    <w:rsid w:val="00D452D8"/>
    <w:rsid w:val="00D47EEA"/>
    <w:rsid w:val="00D70480"/>
    <w:rsid w:val="00D773DF"/>
    <w:rsid w:val="00D95303"/>
    <w:rsid w:val="00D978C6"/>
    <w:rsid w:val="00DA3C1C"/>
    <w:rsid w:val="00DC64E9"/>
    <w:rsid w:val="00DC6D39"/>
    <w:rsid w:val="00E00F5C"/>
    <w:rsid w:val="00E046DF"/>
    <w:rsid w:val="00E1086D"/>
    <w:rsid w:val="00E14EAE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EF1FFF"/>
    <w:rsid w:val="00F12AF0"/>
    <w:rsid w:val="00F16068"/>
    <w:rsid w:val="00F31E5F"/>
    <w:rsid w:val="00F56016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C527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27C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7C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C527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27C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7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A297F-C901-4A6D-AC4C-BD77495D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2</cp:revision>
  <cp:lastPrinted>2013-01-25T07:46:00Z</cp:lastPrinted>
  <dcterms:created xsi:type="dcterms:W3CDTF">2015-01-23T14:09:00Z</dcterms:created>
  <dcterms:modified xsi:type="dcterms:W3CDTF">2015-01-23T14:09:00Z</dcterms:modified>
</cp:coreProperties>
</file>