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517C48">
              <w:fldChar w:fldCharType="begin"/>
            </w:r>
            <w:r w:rsidR="00517C48">
              <w:instrText xml:space="preserve"> FILLIN  "Введите символ после ЕCE/"  \* MERGEFORMAT </w:instrText>
            </w:r>
            <w:r w:rsidR="00517C48">
              <w:fldChar w:fldCharType="separate"/>
            </w:r>
            <w:r w:rsidR="00F326AC">
              <w:t>TRANS/WP.29/2015/63</w:t>
            </w:r>
            <w:r w:rsidR="00517C48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17C48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517C48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F326AC">
              <w:t>10 April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17C48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326AC" w:rsidRPr="00D363EE" w:rsidRDefault="00F326AC" w:rsidP="00F326AC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F326AC" w:rsidRPr="00D363EE" w:rsidRDefault="00F326AC" w:rsidP="00F326AC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F326AC" w:rsidRPr="00D363EE" w:rsidRDefault="00F326AC" w:rsidP="00F326AC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F326AC" w:rsidRPr="00D363EE" w:rsidRDefault="00F326AC" w:rsidP="00F326AC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F326AC" w:rsidRPr="00530A5E" w:rsidRDefault="00F326AC" w:rsidP="00F326AC">
      <w:r w:rsidRPr="00D363EE">
        <w:t xml:space="preserve">Пункт </w:t>
      </w:r>
      <w:r w:rsidRPr="00D55A7F">
        <w:t>4</w:t>
      </w:r>
      <w:r>
        <w:t>.</w:t>
      </w:r>
      <w:r w:rsidRPr="00F326AC">
        <w:t>8</w:t>
      </w:r>
      <w:r>
        <w:t>.</w:t>
      </w:r>
      <w:r w:rsidRPr="00F326AC">
        <w:t>5</w:t>
      </w:r>
      <w:r w:rsidRPr="00D363EE">
        <w:t xml:space="preserve"> предварительной повестки дня</w:t>
      </w:r>
    </w:p>
    <w:p w:rsidR="00F326AC" w:rsidRPr="008B1EFD" w:rsidRDefault="00F326AC" w:rsidP="00F326AC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GRB</w:t>
      </w:r>
    </w:p>
    <w:p w:rsidR="00F326AC" w:rsidRPr="000D3BD2" w:rsidRDefault="00F326AC" w:rsidP="00F326AC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1 </w:t>
      </w:r>
      <w:r w:rsidRPr="00703AEC">
        <w:t>к</w:t>
      </w:r>
      <w:r>
        <w:t xml:space="preserve"> поправкам серии 02 к Правилам № 59 (сменные системы глушителей)</w:t>
      </w:r>
    </w:p>
    <w:p w:rsidR="00F326AC" w:rsidRPr="00791038" w:rsidRDefault="00F326AC" w:rsidP="00F326AC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>Рабочей группой по вопросам шума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326AC" w:rsidRDefault="00F326AC" w:rsidP="00F326AC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>принят Рабочей группой по вопросам шума (</w:t>
      </w:r>
      <w:r>
        <w:rPr>
          <w:lang w:val="en-US"/>
        </w:rPr>
        <w:t>GRB</w:t>
      </w:r>
      <w:r>
        <w:t xml:space="preserve">) на ее шестьдесят первой сессии </w:t>
      </w:r>
      <w:r w:rsidRPr="006D33D9">
        <w:t>(ECE/TRANS/WP.29/</w:t>
      </w:r>
      <w:r w:rsidRPr="00FB377A">
        <w:t>GRB/59</w:t>
      </w:r>
      <w:r w:rsidRPr="006D33D9">
        <w:t xml:space="preserve">, </w:t>
      </w:r>
      <w:r>
        <w:t>пункт 12</w:t>
      </w:r>
      <w:r w:rsidRPr="009E491F">
        <w:t>)</w:t>
      </w:r>
      <w:r w:rsidRPr="009E491F">
        <w:rPr>
          <w:lang w:eastAsia="it-IT"/>
        </w:rPr>
        <w:t xml:space="preserve">. </w:t>
      </w:r>
      <w:r>
        <w:rPr>
          <w:lang w:eastAsia="it-IT"/>
        </w:rPr>
        <w:t>В</w:t>
      </w:r>
      <w:r w:rsidRPr="008B2678">
        <w:rPr>
          <w:lang w:eastAsia="it-IT"/>
        </w:rPr>
        <w:t xml:space="preserve"> </w:t>
      </w:r>
      <w:r>
        <w:rPr>
          <w:lang w:eastAsia="it-IT"/>
        </w:rPr>
        <w:t>его</w:t>
      </w:r>
      <w:r w:rsidRPr="008B2678">
        <w:rPr>
          <w:lang w:eastAsia="it-IT"/>
        </w:rPr>
        <w:t xml:space="preserve"> </w:t>
      </w:r>
      <w:r>
        <w:rPr>
          <w:lang w:eastAsia="it-IT"/>
        </w:rPr>
        <w:t>основу</w:t>
      </w:r>
      <w:r w:rsidRPr="008B2678">
        <w:rPr>
          <w:lang w:eastAsia="it-IT"/>
        </w:rPr>
        <w:t xml:space="preserve"> </w:t>
      </w:r>
      <w:r>
        <w:rPr>
          <w:lang w:eastAsia="it-IT"/>
        </w:rPr>
        <w:t>положен</w:t>
      </w:r>
      <w:r w:rsidRPr="008B2678">
        <w:rPr>
          <w:lang w:eastAsia="it-IT"/>
        </w:rPr>
        <w:t xml:space="preserve"> </w:t>
      </w:r>
      <w:r>
        <w:rPr>
          <w:lang w:eastAsia="it-IT"/>
        </w:rPr>
        <w:t>документ</w:t>
      </w:r>
      <w:r w:rsidRPr="008B2678">
        <w:rPr>
          <w:lang w:eastAsia="ja-JP"/>
        </w:rPr>
        <w:t xml:space="preserve"> </w:t>
      </w:r>
      <w:r w:rsidRPr="00811B74">
        <w:t>ECE/TRANS/WP.29/GRB/2015/4</w:t>
      </w:r>
      <w:r w:rsidRPr="008B2678">
        <w:rPr>
          <w:lang w:eastAsia="ja-JP"/>
        </w:rPr>
        <w:t xml:space="preserve"> </w:t>
      </w:r>
      <w:r>
        <w:t>с поправками, указанными в приложение I</w:t>
      </w:r>
      <w:r>
        <w:rPr>
          <w:lang w:val="en-US"/>
        </w:rPr>
        <w:t>V</w:t>
      </w:r>
      <w:r>
        <w:t xml:space="preserve"> к документу </w:t>
      </w:r>
      <w:r w:rsidRPr="00E70D1B">
        <w:t>ECE/TRANS/WP.29/</w:t>
      </w:r>
      <w:r>
        <w:br/>
      </w:r>
      <w:r w:rsidRPr="00E70D1B">
        <w:t>GRB/59</w:t>
      </w:r>
      <w:r>
        <w:t>. Этот текст представлен на рассмотрение Всемирному форуму для с</w:t>
      </w:r>
      <w:r>
        <w:t>о</w:t>
      </w:r>
      <w:r>
        <w:t>гласования правил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Администрати</w:t>
      </w:r>
      <w:r>
        <w:t>в</w:t>
      </w:r>
      <w:r>
        <w:t>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>
        <w:t>.</w:t>
      </w:r>
    </w:p>
    <w:p w:rsidR="0059223D" w:rsidRPr="0059223D" w:rsidRDefault="00F326AC" w:rsidP="0059223D">
      <w:pPr>
        <w:pStyle w:val="SingleTxtGR"/>
      </w:pPr>
      <w:r>
        <w:br w:type="page"/>
      </w:r>
      <w:r w:rsidR="0059223D" w:rsidRPr="0059223D">
        <w:rPr>
          <w:i/>
        </w:rPr>
        <w:lastRenderedPageBreak/>
        <w:t>Пункт 2.1</w:t>
      </w:r>
      <w:r w:rsidR="0059223D" w:rsidRPr="0059223D">
        <w:t xml:space="preserve"> изменить следующим образом:</w:t>
      </w:r>
    </w:p>
    <w:p w:rsidR="0059223D" w:rsidRPr="0059223D" w:rsidRDefault="0059223D" w:rsidP="0059223D">
      <w:pPr>
        <w:pStyle w:val="SingleTxtGR"/>
        <w:ind w:left="2268" w:hanging="1134"/>
      </w:pPr>
      <w:r w:rsidRPr="0059223D">
        <w:t>"2.1</w:t>
      </w:r>
      <w:r w:rsidRPr="0059223D">
        <w:tab/>
      </w:r>
      <w:r w:rsidRPr="0059223D">
        <w:tab/>
      </w:r>
      <w:r>
        <w:t>″</w:t>
      </w:r>
      <w:r w:rsidRPr="0059223D">
        <w:rPr>
          <w:i/>
        </w:rPr>
        <w:t>системы глушителя</w:t>
      </w:r>
      <w:r>
        <w:rPr>
          <w:i/>
        </w:rPr>
        <w:t>″</w:t>
      </w:r>
      <w:r w:rsidRPr="0059223D">
        <w:t xml:space="preserve"> означает полный комплект элементов, нео</w:t>
      </w:r>
      <w:r w:rsidRPr="0059223D">
        <w:t>б</w:t>
      </w:r>
      <w:r w:rsidRPr="0059223D">
        <w:t>ходимых для снижения звука, производимого любым двигателем автомобиля и его системами впуска и выпуска"</w:t>
      </w:r>
      <w:r>
        <w:t>.</w:t>
      </w:r>
    </w:p>
    <w:p w:rsidR="0059223D" w:rsidRPr="0059223D" w:rsidRDefault="0059223D" w:rsidP="0059223D">
      <w:pPr>
        <w:pStyle w:val="SingleTxtGR"/>
      </w:pPr>
      <w:r w:rsidRPr="0059223D">
        <w:rPr>
          <w:i/>
        </w:rPr>
        <w:t>Приложение 6, пункты 1–3</w:t>
      </w:r>
      <w:r w:rsidRPr="0059223D">
        <w:t xml:space="preserve"> изменить следующим образом:</w:t>
      </w:r>
    </w:p>
    <w:p w:rsidR="0059223D" w:rsidRPr="0059223D" w:rsidRDefault="0059223D" w:rsidP="0059223D">
      <w:pPr>
        <w:pStyle w:val="SingleTxtGR"/>
        <w:ind w:left="2268" w:hanging="1134"/>
        <w:rPr>
          <w:lang w:eastAsia="ru-RU"/>
        </w:rPr>
      </w:pPr>
      <w:r w:rsidRPr="0059223D">
        <w:t>"1.</w:t>
      </w:r>
      <w:r w:rsidRPr="0059223D">
        <w:tab/>
      </w:r>
      <w:r w:rsidRPr="0059223D">
        <w:tab/>
      </w:r>
      <w:r w:rsidRPr="0059223D">
        <w:rPr>
          <w:lang w:eastAsia="ru-RU"/>
        </w:rPr>
        <w:t>К каждой сменной системе глушителя выхлопа прилагается док</w:t>
      </w:r>
      <w:r w:rsidRPr="0059223D">
        <w:rPr>
          <w:lang w:eastAsia="ru-RU"/>
        </w:rPr>
        <w:t>у</w:t>
      </w:r>
      <w:r w:rsidRPr="0059223D">
        <w:rPr>
          <w:lang w:eastAsia="ru-RU"/>
        </w:rPr>
        <w:t>мент, выданный изготовителем сменной системы глушителя в</w:t>
      </w:r>
      <w:r w:rsidRPr="0059223D">
        <w:rPr>
          <w:lang w:eastAsia="ru-RU"/>
        </w:rPr>
        <w:t>ы</w:t>
      </w:r>
      <w:r w:rsidRPr="0059223D">
        <w:rPr>
          <w:lang w:eastAsia="ru-RU"/>
        </w:rPr>
        <w:t>хлопа или его представителем. Этот документ должен содержать по крайней мере следующую информацию:</w:t>
      </w:r>
    </w:p>
    <w:p w:rsidR="0059223D" w:rsidRPr="0059223D" w:rsidRDefault="0059223D" w:rsidP="0059223D">
      <w:pPr>
        <w:pStyle w:val="SingleTxtGR"/>
        <w:ind w:left="2835" w:hanging="1134"/>
        <w:rPr>
          <w:lang w:eastAsia="ru-RU"/>
        </w:rPr>
      </w:pPr>
      <w:r w:rsidRPr="0059223D">
        <w:rPr>
          <w:lang w:eastAsia="ru-RU"/>
        </w:rPr>
        <w:tab/>
        <w:t>а)</w:t>
      </w:r>
      <w:r w:rsidRPr="0059223D">
        <w:rPr>
          <w:lang w:eastAsia="ru-RU"/>
        </w:rPr>
        <w:tab/>
        <w:t>номер официального утверждения типа сменной системы глушителя выхлопа (5-й разряд, указывающий номер распр</w:t>
      </w:r>
      <w:r w:rsidRPr="0059223D">
        <w:rPr>
          <w:lang w:eastAsia="ru-RU"/>
        </w:rPr>
        <w:t>о</w:t>
      </w:r>
      <w:r w:rsidRPr="0059223D">
        <w:rPr>
          <w:lang w:eastAsia="ru-RU"/>
        </w:rPr>
        <w:t>странения официального утверждения типа, может быть опущен);</w:t>
      </w:r>
    </w:p>
    <w:p w:rsidR="0059223D" w:rsidRPr="0059223D" w:rsidRDefault="0059223D" w:rsidP="0059223D">
      <w:pPr>
        <w:pStyle w:val="SingleTxtGR"/>
        <w:ind w:left="1701"/>
        <w:rPr>
          <w:lang w:eastAsia="ru-RU"/>
        </w:rPr>
      </w:pPr>
      <w:r w:rsidRPr="0059223D">
        <w:rPr>
          <w:lang w:eastAsia="ru-RU"/>
        </w:rPr>
        <w:tab/>
      </w:r>
      <w:r w:rsidRPr="0059223D">
        <w:rPr>
          <w:lang w:val="en-US" w:eastAsia="ru-RU"/>
        </w:rPr>
        <w:t>b</w:t>
      </w:r>
      <w:r w:rsidRPr="0059223D">
        <w:rPr>
          <w:lang w:eastAsia="ru-RU"/>
        </w:rPr>
        <w:t>)</w:t>
      </w:r>
      <w:r w:rsidRPr="0059223D">
        <w:rPr>
          <w:lang w:eastAsia="ru-RU"/>
        </w:rPr>
        <w:tab/>
        <w:t>знак официального утверждения типа;</w:t>
      </w:r>
    </w:p>
    <w:p w:rsidR="0059223D" w:rsidRPr="0059223D" w:rsidRDefault="0059223D" w:rsidP="0059223D">
      <w:pPr>
        <w:pStyle w:val="SingleTxtGR"/>
        <w:ind w:left="1701"/>
        <w:rPr>
          <w:lang w:eastAsia="ru-RU"/>
        </w:rPr>
      </w:pPr>
      <w:r w:rsidRPr="0059223D">
        <w:rPr>
          <w:lang w:eastAsia="ru-RU"/>
        </w:rPr>
        <w:tab/>
      </w:r>
      <w:r w:rsidRPr="0059223D">
        <w:rPr>
          <w:lang w:val="en-US" w:eastAsia="ru-RU"/>
        </w:rPr>
        <w:t>c</w:t>
      </w:r>
      <w:r w:rsidRPr="0059223D">
        <w:rPr>
          <w:lang w:eastAsia="ru-RU"/>
        </w:rPr>
        <w:t>)</w:t>
      </w:r>
      <w:r w:rsidRPr="0059223D">
        <w:rPr>
          <w:lang w:eastAsia="ru-RU"/>
        </w:rPr>
        <w:tab/>
        <w:t>марка (торговое наименование изготовителя);</w:t>
      </w:r>
    </w:p>
    <w:p w:rsidR="0059223D" w:rsidRPr="0059223D" w:rsidRDefault="0059223D" w:rsidP="0059223D">
      <w:pPr>
        <w:pStyle w:val="SingleTxtGR"/>
        <w:ind w:left="1701"/>
        <w:rPr>
          <w:lang w:eastAsia="ru-RU"/>
        </w:rPr>
      </w:pPr>
      <w:r w:rsidRPr="0059223D">
        <w:rPr>
          <w:lang w:eastAsia="ru-RU"/>
        </w:rPr>
        <w:tab/>
        <w:t>d)</w:t>
      </w:r>
      <w:r w:rsidRPr="0059223D">
        <w:rPr>
          <w:lang w:eastAsia="ru-RU"/>
        </w:rPr>
        <w:tab/>
        <w:t>тип и коммерческое описание и/или номер детали;</w:t>
      </w:r>
    </w:p>
    <w:p w:rsidR="0059223D" w:rsidRPr="0059223D" w:rsidRDefault="0059223D" w:rsidP="0059223D">
      <w:pPr>
        <w:pStyle w:val="SingleTxtGR"/>
        <w:ind w:left="1701"/>
        <w:rPr>
          <w:lang w:eastAsia="ru-RU"/>
        </w:rPr>
      </w:pPr>
      <w:r w:rsidRPr="0059223D">
        <w:rPr>
          <w:lang w:eastAsia="ru-RU"/>
        </w:rPr>
        <w:tab/>
        <w:t>е)</w:t>
      </w:r>
      <w:r w:rsidRPr="0059223D">
        <w:rPr>
          <w:lang w:eastAsia="ru-RU"/>
        </w:rPr>
        <w:tab/>
        <w:t>наименование и адрес изготовителя;</w:t>
      </w:r>
    </w:p>
    <w:p w:rsidR="0059223D" w:rsidRPr="0059223D" w:rsidRDefault="0059223D" w:rsidP="0059223D">
      <w:pPr>
        <w:pStyle w:val="SingleTxtGR"/>
        <w:ind w:left="2835" w:hanging="1134"/>
      </w:pPr>
      <w:r w:rsidRPr="0059223D">
        <w:rPr>
          <w:lang w:eastAsia="ru-RU"/>
        </w:rPr>
        <w:tab/>
      </w:r>
      <w:r w:rsidRPr="0059223D">
        <w:rPr>
          <w:lang w:val="en-US" w:eastAsia="ru-RU"/>
        </w:rPr>
        <w:t>f</w:t>
      </w:r>
      <w:r w:rsidRPr="0059223D">
        <w:rPr>
          <w:lang w:eastAsia="ru-RU"/>
        </w:rPr>
        <w:t>)</w:t>
      </w:r>
      <w:r w:rsidRPr="0059223D">
        <w:rPr>
          <w:lang w:eastAsia="ru-RU"/>
        </w:rPr>
        <w:tab/>
      </w:r>
      <w:r w:rsidRPr="0059223D">
        <w:t>наименование и адрес уполномоченного представителя изг</w:t>
      </w:r>
      <w:r w:rsidRPr="0059223D">
        <w:t>о</w:t>
      </w:r>
      <w:r w:rsidRPr="0059223D">
        <w:t>товителя (если имеется);</w:t>
      </w:r>
    </w:p>
    <w:p w:rsidR="0059223D" w:rsidRPr="0059223D" w:rsidRDefault="0059223D" w:rsidP="0059223D">
      <w:pPr>
        <w:pStyle w:val="SingleTxtGR"/>
        <w:ind w:left="2835" w:hanging="1134"/>
      </w:pPr>
      <w:r w:rsidRPr="0059223D">
        <w:tab/>
        <w:t>g)</w:t>
      </w:r>
      <w:r w:rsidRPr="0059223D">
        <w:tab/>
        <w:t>данные о транспортных средствах, для которых предназнач</w:t>
      </w:r>
      <w:r w:rsidRPr="0059223D">
        <w:t>е</w:t>
      </w:r>
      <w:r w:rsidRPr="0059223D">
        <w:t>на сменная система глушителя выхлопа: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i)</w:t>
      </w:r>
      <w:r w:rsidRPr="0059223D">
        <w:tab/>
        <w:t>марка;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ii)</w:t>
      </w:r>
      <w:r w:rsidRPr="0059223D">
        <w:tab/>
        <w:t>тип;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iii)</w:t>
      </w:r>
      <w:r w:rsidRPr="0059223D">
        <w:tab/>
        <w:t>номер официального утверждения типа;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iv)</w:t>
      </w:r>
      <w:r w:rsidRPr="0059223D">
        <w:tab/>
        <w:t>код двигателя;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v)</w:t>
      </w:r>
      <w:r w:rsidRPr="0059223D">
        <w:tab/>
        <w:t>максимальная мощность двигателя;</w:t>
      </w:r>
    </w:p>
    <w:p w:rsidR="0059223D" w:rsidRPr="0059223D" w:rsidRDefault="0059223D" w:rsidP="0059223D">
      <w:pPr>
        <w:pStyle w:val="SingleTxtGR"/>
        <w:ind w:left="1701"/>
      </w:pPr>
      <w:r w:rsidRPr="0059223D">
        <w:tab/>
      </w:r>
      <w:r w:rsidRPr="0059223D">
        <w:tab/>
        <w:t>vi)</w:t>
      </w:r>
      <w:r w:rsidRPr="0059223D">
        <w:tab/>
        <w:t>тип трансмиссии;</w:t>
      </w:r>
    </w:p>
    <w:p w:rsidR="0059223D" w:rsidRPr="0091735D" w:rsidRDefault="0059223D" w:rsidP="0059223D">
      <w:pPr>
        <w:pStyle w:val="SingleTxtGR"/>
        <w:ind w:left="3402" w:hanging="1701"/>
      </w:pPr>
      <w:r w:rsidRPr="0059223D">
        <w:tab/>
      </w:r>
      <w:r w:rsidRPr="0059223D">
        <w:tab/>
        <w:t>vii)</w:t>
      </w:r>
      <w:r w:rsidRPr="0059223D">
        <w:tab/>
      </w:r>
      <w:r w:rsidRPr="0059223D">
        <w:rPr>
          <w:spacing w:val="2"/>
        </w:rPr>
        <w:t>любые ограничения, касающиеся транспортных средств,</w:t>
      </w:r>
      <w:r w:rsidRPr="0059223D">
        <w:t xml:space="preserve"> на которые может быть установлена данная система</w:t>
      </w:r>
      <w:r w:rsidR="0091735D">
        <w:t>;</w:t>
      </w:r>
    </w:p>
    <w:p w:rsidR="0059223D" w:rsidRPr="0059223D" w:rsidRDefault="0059223D" w:rsidP="0059223D">
      <w:pPr>
        <w:pStyle w:val="SingleTxtGR"/>
        <w:ind w:left="1701"/>
        <w:rPr>
          <w:rFonts w:ascii="Sylfaen" w:hAnsi="Sylfaen"/>
        </w:rPr>
      </w:pPr>
      <w:r w:rsidRPr="0059223D">
        <w:tab/>
        <w:t>h)</w:t>
      </w:r>
      <w:r w:rsidRPr="0059223D">
        <w:tab/>
        <w:t>инструкции по установке.</w:t>
      </w:r>
    </w:p>
    <w:p w:rsidR="0059223D" w:rsidRPr="0059223D" w:rsidRDefault="0059223D" w:rsidP="0059223D">
      <w:pPr>
        <w:pStyle w:val="SingleTxtGR"/>
        <w:tabs>
          <w:tab w:val="clear" w:pos="1701"/>
        </w:tabs>
        <w:ind w:left="2268" w:hanging="1134"/>
      </w:pPr>
      <w:r w:rsidRPr="0059223D">
        <w:t>2.</w:t>
      </w:r>
      <w:r w:rsidRPr="0059223D">
        <w:tab/>
        <w:t>Если документ, упомянутый в пункте 1, включает несколько стр</w:t>
      </w:r>
      <w:r w:rsidRPr="0059223D">
        <w:t>а</w:t>
      </w:r>
      <w:r w:rsidRPr="0059223D">
        <w:t>ниц, то на всех страницах должно содержаться</w:t>
      </w:r>
      <w:r>
        <w:t>,</w:t>
      </w:r>
      <w:r w:rsidRPr="0059223D">
        <w:t xml:space="preserve"> по крайней мере</w:t>
      </w:r>
      <w:r>
        <w:t>,</w:t>
      </w:r>
      <w:r w:rsidRPr="0059223D">
        <w:t xml:space="preserve"> указание на номер официального утверждения типа.</w:t>
      </w:r>
    </w:p>
    <w:p w:rsidR="0059223D" w:rsidRPr="0059223D" w:rsidRDefault="0059223D" w:rsidP="0059223D">
      <w:pPr>
        <w:pStyle w:val="SingleTxtGR"/>
        <w:ind w:left="2268" w:hanging="1134"/>
      </w:pPr>
      <w:r w:rsidRPr="0059223D">
        <w:t>3.</w:t>
      </w:r>
      <w:r w:rsidRPr="0059223D">
        <w:tab/>
      </w:r>
      <w:r w:rsidRPr="0059223D">
        <w:tab/>
        <w:t>Информация, предусмотренная подпунктами</w:t>
      </w:r>
      <w:r w:rsidRPr="0059223D">
        <w:rPr>
          <w:rFonts w:ascii="Sylfaen" w:hAnsi="Sylfaen"/>
        </w:rPr>
        <w:t xml:space="preserve"> </w:t>
      </w:r>
      <w:r w:rsidRPr="0059223D">
        <w:t>g) и h) пункта 1, м</w:t>
      </w:r>
      <w:r w:rsidRPr="0059223D">
        <w:t>о</w:t>
      </w:r>
      <w:r w:rsidRPr="0059223D">
        <w:t xml:space="preserve">жет быть представлена на веб-сайте изготовителя. В этом случае в </w:t>
      </w:r>
      <w:r w:rsidRPr="0059223D">
        <w:rPr>
          <w:lang w:eastAsia="ru-RU"/>
        </w:rPr>
        <w:t xml:space="preserve">документе, прилагаемом к сменной системе глушителя выхлопа, указывают </w:t>
      </w:r>
      <w:r w:rsidRPr="0059223D">
        <w:t>веб-сайт, на котором можно найти и откуда можно ра</w:t>
      </w:r>
      <w:r w:rsidRPr="0059223D">
        <w:t>с</w:t>
      </w:r>
      <w:r w:rsidRPr="0059223D">
        <w:t>печатать требуемую информацию".</w:t>
      </w:r>
    </w:p>
    <w:p w:rsidR="00F326AC" w:rsidRPr="0059223D" w:rsidRDefault="0059223D" w:rsidP="005922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26AC" w:rsidRPr="0059223D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AC" w:rsidRDefault="00F326AC">
      <w:r>
        <w:rPr>
          <w:lang w:val="en-US"/>
        </w:rPr>
        <w:tab/>
      </w:r>
      <w:r>
        <w:separator/>
      </w:r>
    </w:p>
  </w:endnote>
  <w:endnote w:type="continuationSeparator" w:id="0">
    <w:p w:rsidR="00F326AC" w:rsidRDefault="00F3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B2352E" w:rsidRDefault="00A1484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C4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B2352E">
      <w:rPr>
        <w:lang w:val="ru-RU"/>
      </w:rPr>
      <w:t>07456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223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96"/>
      <w:gridCol w:w="4653"/>
      <w:gridCol w:w="120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B2352E" w:rsidRDefault="00485980" w:rsidP="00B2352E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B2352E">
            <w:t>07456</w:t>
          </w:r>
          <w:r w:rsidR="00A1484B">
            <w:rPr>
              <w:lang w:val="en-US"/>
            </w:rPr>
            <w:t xml:space="preserve">  (R)</w:t>
          </w:r>
          <w:r w:rsidR="00B2352E">
            <w:t xml:space="preserve">  280415  280415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060D230" wp14:editId="0D6C35F6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622C4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27985" cy="627985"/>
                <wp:effectExtent l="0" t="0" r="1270" b="1270"/>
                <wp:docPr id="3" name="Рисунок 3" descr="http://undocs.org/m2/QRCode2.ashx?DS=ECE/TRANS/WP.29/2015/6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6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368" cy="62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B2352E" w:rsidRDefault="00B2352E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235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AC" w:rsidRPr="00F71F63" w:rsidRDefault="00F326A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326AC" w:rsidRPr="00F71F63" w:rsidRDefault="00F326A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326AC" w:rsidRPr="00635E86" w:rsidRDefault="00F326AC" w:rsidP="00635E86">
      <w:pPr>
        <w:pStyle w:val="Footer"/>
      </w:pPr>
    </w:p>
  </w:footnote>
  <w:footnote w:id="1">
    <w:p w:rsidR="00F326AC" w:rsidRPr="00D55A7F" w:rsidRDefault="00F326AC" w:rsidP="00F326AC">
      <w:pPr>
        <w:pStyle w:val="FootnoteText"/>
        <w:rPr>
          <w:sz w:val="20"/>
          <w:lang w:val="en-US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B2352E" w:rsidRPr="00B2352E">
      <w:rPr>
        <w:lang w:val="en-US"/>
      </w:rPr>
      <w:t>TRANS/WP.29/2015/63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17C48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223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6AF"/>
    <w:rsid w:val="006C1814"/>
    <w:rsid w:val="006C2F45"/>
    <w:rsid w:val="006C361A"/>
    <w:rsid w:val="006C5657"/>
    <w:rsid w:val="006D5E4E"/>
    <w:rsid w:val="006E6860"/>
    <w:rsid w:val="006E7183"/>
    <w:rsid w:val="006F5FBF"/>
    <w:rsid w:val="00700657"/>
    <w:rsid w:val="0070327E"/>
    <w:rsid w:val="00707B5F"/>
    <w:rsid w:val="00735602"/>
    <w:rsid w:val="0075279B"/>
    <w:rsid w:val="00753748"/>
    <w:rsid w:val="00754895"/>
    <w:rsid w:val="007622C4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0280"/>
    <w:rsid w:val="008E3E87"/>
    <w:rsid w:val="008E7D1B"/>
    <w:rsid w:val="008E7F13"/>
    <w:rsid w:val="008F3185"/>
    <w:rsid w:val="00915B0A"/>
    <w:rsid w:val="0091735D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352E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66276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26AC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F326AC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326AC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F326AC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326AC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059D-E094-4CE4-BCCF-3FBB559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1507456</vt:lpstr>
      <vt:lpstr>1507456</vt:lpstr>
    </vt:vector>
  </TitlesOfParts>
  <Company>CSD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1507456</dc:title>
  <dc:subject>ECE/TRANS/WP.29/2015/63</dc:subject>
  <dc:creator>Petelina Anna</dc:creator>
  <dc:description>Final</dc:description>
  <cp:lastModifiedBy>Benedicte Boudol</cp:lastModifiedBy>
  <cp:revision>2</cp:revision>
  <cp:lastPrinted>2015-04-28T15:05:00Z</cp:lastPrinted>
  <dcterms:created xsi:type="dcterms:W3CDTF">2015-05-18T14:47:00Z</dcterms:created>
  <dcterms:modified xsi:type="dcterms:W3CDTF">2015-05-18T14:47:00Z</dcterms:modified>
</cp:coreProperties>
</file>