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13FB6" w:rsidTr="007F20FA">
        <w:trPr>
          <w:trHeight w:hRule="exact" w:val="851"/>
        </w:trPr>
        <w:tc>
          <w:tcPr>
            <w:tcW w:w="1276" w:type="dxa"/>
            <w:tcBorders>
              <w:bottom w:val="single" w:sz="4" w:space="0" w:color="auto"/>
            </w:tcBorders>
          </w:tcPr>
          <w:p w:rsidR="00F35BAF" w:rsidRPr="00913FB6" w:rsidRDefault="00F35BAF" w:rsidP="00EF3867">
            <w:bookmarkStart w:id="0" w:name="_GoBack"/>
            <w:bookmarkEnd w:id="0"/>
          </w:p>
        </w:tc>
        <w:tc>
          <w:tcPr>
            <w:tcW w:w="2268" w:type="dxa"/>
            <w:tcBorders>
              <w:bottom w:val="single" w:sz="4" w:space="0" w:color="auto"/>
            </w:tcBorders>
            <w:vAlign w:val="bottom"/>
          </w:tcPr>
          <w:p w:rsidR="00F35BAF" w:rsidRPr="00913FB6" w:rsidRDefault="00F35BAF" w:rsidP="00EF3867">
            <w:pPr>
              <w:spacing w:after="80" w:line="300" w:lineRule="exact"/>
              <w:rPr>
                <w:sz w:val="28"/>
              </w:rPr>
            </w:pPr>
            <w:r w:rsidRPr="00913FB6">
              <w:rPr>
                <w:sz w:val="28"/>
              </w:rPr>
              <w:t>Nations Unies</w:t>
            </w:r>
          </w:p>
        </w:tc>
        <w:tc>
          <w:tcPr>
            <w:tcW w:w="6095" w:type="dxa"/>
            <w:gridSpan w:val="2"/>
            <w:tcBorders>
              <w:bottom w:val="single" w:sz="4" w:space="0" w:color="auto"/>
            </w:tcBorders>
            <w:vAlign w:val="bottom"/>
          </w:tcPr>
          <w:p w:rsidR="00F35BAF" w:rsidRPr="00913FB6" w:rsidRDefault="00EF3867" w:rsidP="00EF3867">
            <w:pPr>
              <w:jc w:val="right"/>
            </w:pPr>
            <w:r w:rsidRPr="00913FB6">
              <w:rPr>
                <w:sz w:val="40"/>
              </w:rPr>
              <w:t>ECE</w:t>
            </w:r>
            <w:r w:rsidRPr="00913FB6">
              <w:t>/TRANS/WP.29/2015/56</w:t>
            </w:r>
          </w:p>
        </w:tc>
      </w:tr>
      <w:tr w:rsidR="00F35BAF" w:rsidRPr="00913FB6" w:rsidTr="00EF3867">
        <w:trPr>
          <w:trHeight w:hRule="exact" w:val="2835"/>
        </w:trPr>
        <w:tc>
          <w:tcPr>
            <w:tcW w:w="1276" w:type="dxa"/>
            <w:tcBorders>
              <w:top w:val="single" w:sz="4" w:space="0" w:color="auto"/>
              <w:bottom w:val="single" w:sz="12" w:space="0" w:color="auto"/>
            </w:tcBorders>
          </w:tcPr>
          <w:p w:rsidR="00F35BAF" w:rsidRPr="00913FB6" w:rsidRDefault="00F35BAF" w:rsidP="00EF3867">
            <w:pPr>
              <w:spacing w:before="120"/>
              <w:jc w:val="center"/>
            </w:pPr>
            <w:r w:rsidRPr="00913FB6">
              <w:rPr>
                <w:noProof/>
                <w:lang w:val="en-GB" w:eastAsia="en-GB"/>
              </w:rPr>
              <w:drawing>
                <wp:inline distT="0" distB="0" distL="0" distR="0" wp14:anchorId="0BD4D518" wp14:editId="7EFFA6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913FB6" w:rsidRDefault="00F35BAF" w:rsidP="00EF3867">
            <w:pPr>
              <w:spacing w:before="120" w:line="420" w:lineRule="exact"/>
              <w:rPr>
                <w:b/>
                <w:sz w:val="40"/>
                <w:szCs w:val="40"/>
              </w:rPr>
            </w:pPr>
            <w:r w:rsidRPr="00913FB6">
              <w:rPr>
                <w:b/>
                <w:sz w:val="40"/>
                <w:szCs w:val="40"/>
              </w:rPr>
              <w:t>Conseil économique et social</w:t>
            </w:r>
          </w:p>
        </w:tc>
        <w:tc>
          <w:tcPr>
            <w:tcW w:w="2835" w:type="dxa"/>
            <w:tcBorders>
              <w:top w:val="single" w:sz="4" w:space="0" w:color="auto"/>
              <w:bottom w:val="single" w:sz="12" w:space="0" w:color="auto"/>
            </w:tcBorders>
          </w:tcPr>
          <w:p w:rsidR="00F35BAF" w:rsidRPr="00913FB6" w:rsidRDefault="00EF3867" w:rsidP="00EF3867">
            <w:pPr>
              <w:spacing w:before="240"/>
            </w:pPr>
            <w:r w:rsidRPr="00913FB6">
              <w:t>Distr. générale</w:t>
            </w:r>
          </w:p>
          <w:p w:rsidR="00EF3867" w:rsidRPr="00913FB6" w:rsidRDefault="00EF3867" w:rsidP="00EF3867">
            <w:pPr>
              <w:spacing w:line="240" w:lineRule="exact"/>
            </w:pPr>
            <w:r w:rsidRPr="00913FB6">
              <w:t>10 avril 2015</w:t>
            </w:r>
          </w:p>
          <w:p w:rsidR="00EF3867" w:rsidRPr="00913FB6" w:rsidRDefault="00EF3867" w:rsidP="00EF3867">
            <w:pPr>
              <w:spacing w:line="240" w:lineRule="exact"/>
            </w:pPr>
            <w:r w:rsidRPr="00913FB6">
              <w:t>Français</w:t>
            </w:r>
          </w:p>
          <w:p w:rsidR="00EF3867" w:rsidRPr="00913FB6" w:rsidRDefault="00EF3867" w:rsidP="00EF3867">
            <w:pPr>
              <w:spacing w:line="240" w:lineRule="exact"/>
            </w:pPr>
            <w:r w:rsidRPr="00913FB6">
              <w:t>Original: anglais</w:t>
            </w:r>
          </w:p>
        </w:tc>
      </w:tr>
    </w:tbl>
    <w:p w:rsidR="007F20FA" w:rsidRPr="00913FB6" w:rsidRDefault="007F20FA" w:rsidP="007F20FA">
      <w:pPr>
        <w:spacing w:before="120"/>
        <w:rPr>
          <w:b/>
          <w:sz w:val="28"/>
          <w:szCs w:val="28"/>
        </w:rPr>
      </w:pPr>
      <w:r w:rsidRPr="00913FB6">
        <w:rPr>
          <w:b/>
          <w:sz w:val="28"/>
          <w:szCs w:val="28"/>
        </w:rPr>
        <w:t>Commission économique pour l’Europe</w:t>
      </w:r>
    </w:p>
    <w:p w:rsidR="007F20FA" w:rsidRPr="00913FB6" w:rsidRDefault="007F20FA" w:rsidP="007F20FA">
      <w:pPr>
        <w:spacing w:before="120"/>
        <w:rPr>
          <w:sz w:val="28"/>
          <w:szCs w:val="28"/>
        </w:rPr>
      </w:pPr>
      <w:r w:rsidRPr="00913FB6">
        <w:rPr>
          <w:sz w:val="28"/>
          <w:szCs w:val="28"/>
        </w:rPr>
        <w:t>Comité des transports intérieurs</w:t>
      </w:r>
    </w:p>
    <w:p w:rsidR="00EF3867" w:rsidRPr="00913FB6" w:rsidRDefault="00EF3867" w:rsidP="00C60A6D">
      <w:pPr>
        <w:spacing w:before="120" w:after="120"/>
        <w:rPr>
          <w:b/>
          <w:sz w:val="24"/>
          <w:szCs w:val="24"/>
        </w:rPr>
      </w:pPr>
      <w:r w:rsidRPr="00913FB6">
        <w:rPr>
          <w:b/>
          <w:sz w:val="24"/>
          <w:szCs w:val="24"/>
        </w:rPr>
        <w:t>Forum mondial de l’harmonisation</w:t>
      </w:r>
      <w:r w:rsidRPr="00913FB6">
        <w:rPr>
          <w:b/>
          <w:sz w:val="24"/>
          <w:szCs w:val="24"/>
        </w:rPr>
        <w:br/>
        <w:t>des Règlements concernant les véhicules</w:t>
      </w:r>
    </w:p>
    <w:p w:rsidR="00EF3867" w:rsidRPr="00913FB6" w:rsidRDefault="00EF3867" w:rsidP="00C60A6D">
      <w:pPr>
        <w:rPr>
          <w:b/>
          <w:bCs/>
        </w:rPr>
      </w:pPr>
      <w:r w:rsidRPr="00913FB6">
        <w:rPr>
          <w:b/>
          <w:bCs/>
        </w:rPr>
        <w:t>166</w:t>
      </w:r>
      <w:r w:rsidRPr="00913FB6">
        <w:rPr>
          <w:b/>
          <w:bCs/>
          <w:vertAlign w:val="superscript"/>
        </w:rPr>
        <w:t>e</w:t>
      </w:r>
      <w:r w:rsidRPr="00913FB6">
        <w:rPr>
          <w:b/>
          <w:bCs/>
        </w:rPr>
        <w:t xml:space="preserve"> session</w:t>
      </w:r>
    </w:p>
    <w:p w:rsidR="00EF3867" w:rsidRPr="00913FB6" w:rsidRDefault="00EF3867" w:rsidP="00C60A6D">
      <w:r w:rsidRPr="00913FB6">
        <w:t>Genève, 23-26 juin 2015</w:t>
      </w:r>
    </w:p>
    <w:p w:rsidR="00EF3867" w:rsidRPr="00913FB6" w:rsidRDefault="00EF3867" w:rsidP="00C60A6D">
      <w:r w:rsidRPr="00913FB6">
        <w:t>Point 4.7.2 de l’ordre du jour provisoire</w:t>
      </w:r>
    </w:p>
    <w:p w:rsidR="00EF3867" w:rsidRPr="00913FB6" w:rsidRDefault="00EF3867" w:rsidP="00C60A6D">
      <w:pPr>
        <w:rPr>
          <w:b/>
          <w:bCs/>
        </w:rPr>
      </w:pPr>
      <w:r w:rsidRPr="00913FB6">
        <w:rPr>
          <w:b/>
          <w:bCs/>
        </w:rPr>
        <w:t xml:space="preserve">Accord de 1958 </w:t>
      </w:r>
      <w:r w:rsidR="00C60A6D" w:rsidRPr="00913FB6">
        <w:rPr>
          <w:b/>
          <w:bCs/>
        </w:rPr>
        <w:t>−</w:t>
      </w:r>
      <w:r w:rsidRPr="00913FB6">
        <w:rPr>
          <w:b/>
          <w:bCs/>
        </w:rPr>
        <w:t xml:space="preserve"> Examen de projets d’amendements</w:t>
      </w:r>
      <w:r w:rsidR="00C60A6D" w:rsidRPr="00913FB6">
        <w:rPr>
          <w:b/>
          <w:bCs/>
        </w:rPr>
        <w:br/>
      </w:r>
      <w:r w:rsidRPr="00913FB6">
        <w:rPr>
          <w:b/>
          <w:bCs/>
        </w:rPr>
        <w:t>à des Règlements existants, proposés par le GRPE</w:t>
      </w:r>
    </w:p>
    <w:p w:rsidR="00EF3867" w:rsidRPr="00913FB6" w:rsidRDefault="00C60A6D" w:rsidP="00C60A6D">
      <w:pPr>
        <w:pStyle w:val="HChG"/>
      </w:pPr>
      <w:r w:rsidRPr="00913FB6">
        <w:tab/>
      </w:r>
      <w:r w:rsidRPr="00913FB6">
        <w:tab/>
      </w:r>
      <w:r w:rsidR="00EF3867" w:rsidRPr="00913FB6">
        <w:t>Proposition de complément 5</w:t>
      </w:r>
      <w:r w:rsidRPr="00913FB6">
        <w:t xml:space="preserve"> à la série 06 d’amendements au </w:t>
      </w:r>
      <w:r w:rsidR="00EF3867" w:rsidRPr="00913FB6">
        <w:t xml:space="preserve">Règlement </w:t>
      </w:r>
      <w:r w:rsidRPr="00913FB6">
        <w:rPr>
          <w:rFonts w:eastAsia="MS Mincho"/>
        </w:rPr>
        <w:t>n</w:t>
      </w:r>
      <w:r w:rsidRPr="00913FB6">
        <w:rPr>
          <w:rFonts w:eastAsia="MS Mincho"/>
          <w:vertAlign w:val="superscript"/>
        </w:rPr>
        <w:t>o</w:t>
      </w:r>
      <w:r w:rsidRPr="00913FB6">
        <w:t> </w:t>
      </w:r>
      <w:r w:rsidR="00EF3867" w:rsidRPr="00913FB6">
        <w:t>83 (Émissio</w:t>
      </w:r>
      <w:r w:rsidRPr="00913FB6">
        <w:t>ns polluantes des véhicules des </w:t>
      </w:r>
      <w:r w:rsidR="00EF3867" w:rsidRPr="00913FB6">
        <w:t>catégories M</w:t>
      </w:r>
      <w:r w:rsidR="00EF3867" w:rsidRPr="00913FB6">
        <w:rPr>
          <w:vertAlign w:val="subscript"/>
        </w:rPr>
        <w:t>1</w:t>
      </w:r>
      <w:r w:rsidR="00EF3867" w:rsidRPr="00913FB6">
        <w:t xml:space="preserve"> et N</w:t>
      </w:r>
      <w:r w:rsidR="00EF3867" w:rsidRPr="00913FB6">
        <w:rPr>
          <w:vertAlign w:val="subscript"/>
        </w:rPr>
        <w:t>1</w:t>
      </w:r>
      <w:r w:rsidR="00EF3867" w:rsidRPr="00913FB6">
        <w:t>)</w:t>
      </w:r>
    </w:p>
    <w:p w:rsidR="00EF3867" w:rsidRPr="00913FB6" w:rsidRDefault="00EF3867" w:rsidP="00C60A6D">
      <w:pPr>
        <w:pStyle w:val="H1G"/>
      </w:pPr>
      <w:r w:rsidRPr="00913FB6">
        <w:tab/>
      </w:r>
      <w:r w:rsidRPr="00913FB6">
        <w:tab/>
        <w:t>Communication du Groupe de travail de la pollution et de l’énergie</w:t>
      </w:r>
      <w:r w:rsidRPr="00913FB6">
        <w:rPr>
          <w:b w:val="0"/>
          <w:bCs/>
          <w:sz w:val="20"/>
        </w:rPr>
        <w:footnoteReference w:customMarkFollows="1" w:id="2"/>
        <w:t>*</w:t>
      </w:r>
    </w:p>
    <w:p w:rsidR="00EF3867" w:rsidRPr="00913FB6" w:rsidRDefault="00EF3867" w:rsidP="00C60A6D">
      <w:pPr>
        <w:pStyle w:val="SingleTxtG"/>
        <w:ind w:firstLine="567"/>
      </w:pPr>
      <w:r w:rsidRPr="00913FB6">
        <w:t>Le texte reproduit ci-après a été adopté par le Groupe de travail de la pollution et de l’énergie (GRPE) à sa soixante-dixième session</w:t>
      </w:r>
      <w:r w:rsidR="00C60A6D" w:rsidRPr="00913FB6">
        <w:t xml:space="preserve"> (ECE/TRANS/WP.29/GRPE/70, par. </w:t>
      </w:r>
      <w:r w:rsidRPr="00913FB6">
        <w:t>12). Il est fondé sur le document ECE/TRANS/WP.29/GRPE/2015</w:t>
      </w:r>
      <w:r w:rsidR="00C60A6D" w:rsidRPr="00913FB6">
        <w:t>/4 tel que modifié par l’annexe </w:t>
      </w:r>
      <w:r w:rsidRPr="00913FB6">
        <w:t>IV du rapport et sur le document ECE/TRANS/WP.29/GRPE/2015/6. Il est soumis au Forum mondial de l’harmonisation des Règlements concernant les véhicules (WP.29) et au Comité d’administration (AC.1) pour examen à leurs sessions de juin 2015.</w:t>
      </w:r>
    </w:p>
    <w:p w:rsidR="00EF3867" w:rsidRPr="00913FB6" w:rsidRDefault="00EF3867" w:rsidP="00C60A6D">
      <w:pPr>
        <w:pStyle w:val="SingleTxtG"/>
      </w:pPr>
      <w:r w:rsidRPr="00913FB6">
        <w:rPr>
          <w:rFonts w:eastAsia="MS Gothic"/>
          <w:i/>
        </w:rPr>
        <w:br w:type="page"/>
      </w:r>
      <w:r w:rsidRPr="00913FB6">
        <w:rPr>
          <w:i/>
        </w:rPr>
        <w:lastRenderedPageBreak/>
        <w:t>Paragraphe 2.4</w:t>
      </w:r>
      <w:r w:rsidRPr="00913FB6">
        <w:t>, modifier comme suit:</w:t>
      </w:r>
    </w:p>
    <w:p w:rsidR="00EF3867" w:rsidRPr="00913FB6" w:rsidRDefault="00EF3867" w:rsidP="00C60A6D">
      <w:pPr>
        <w:pStyle w:val="SingleTxtG"/>
        <w:ind w:left="2268" w:hanging="1134"/>
      </w:pPr>
      <w:r w:rsidRPr="00913FB6">
        <w:t>«2.4</w:t>
      </w:r>
      <w:r w:rsidRPr="00913FB6">
        <w:tab/>
        <w:t xml:space="preserve">Par </w:t>
      </w:r>
      <w:r w:rsidR="00C60A6D" w:rsidRPr="00913FB6">
        <w:t>“</w:t>
      </w:r>
      <w:r w:rsidRPr="00913FB6">
        <w:rPr>
          <w:i/>
          <w:iCs/>
        </w:rPr>
        <w:t>gaz polluants</w:t>
      </w:r>
      <w:r w:rsidR="00C60A6D" w:rsidRPr="00913FB6">
        <w:t>”</w:t>
      </w:r>
      <w:r w:rsidRPr="00913FB6">
        <w:t>, le monoxyde de carbone, les oxydes d’azote (exprimés en équivalent de dioxyde d’azote NO</w:t>
      </w:r>
      <w:r w:rsidRPr="00913FB6">
        <w:rPr>
          <w:vertAlign w:val="subscript"/>
        </w:rPr>
        <w:t>2</w:t>
      </w:r>
      <w:r w:rsidRPr="00913FB6">
        <w:t>) et les hydrocarbures présents dans les gaz d’échappement, en supposant les rapports suivants:</w:t>
      </w:r>
    </w:p>
    <w:p w:rsidR="00EF3867" w:rsidRPr="00913FB6" w:rsidRDefault="00EF3867" w:rsidP="00C60A6D">
      <w:pPr>
        <w:pStyle w:val="SingleTxtG"/>
        <w:ind w:left="2835" w:hanging="567"/>
      </w:pPr>
      <w:r w:rsidRPr="00913FB6">
        <w:t>a)</w:t>
      </w:r>
      <w:r w:rsidRPr="00913FB6">
        <w:tab/>
        <w:t>C</w:t>
      </w:r>
      <w:r w:rsidRPr="00913FB6">
        <w:rPr>
          <w:vertAlign w:val="subscript"/>
        </w:rPr>
        <w:t>1</w:t>
      </w:r>
      <w:r w:rsidRPr="00913FB6">
        <w:t>H</w:t>
      </w:r>
      <w:r w:rsidRPr="00913FB6">
        <w:rPr>
          <w:vertAlign w:val="subscript"/>
        </w:rPr>
        <w:t>2,525</w:t>
      </w:r>
      <w:r w:rsidRPr="00913FB6">
        <w:t xml:space="preserve"> pour le gaz de pétrole liquéfié (GPL);</w:t>
      </w:r>
    </w:p>
    <w:p w:rsidR="00EF3867" w:rsidRPr="00913FB6" w:rsidRDefault="00EF3867" w:rsidP="00C60A6D">
      <w:pPr>
        <w:pStyle w:val="SingleTxtG"/>
        <w:ind w:left="2835" w:hanging="567"/>
      </w:pPr>
      <w:r w:rsidRPr="00913FB6">
        <w:t>b)</w:t>
      </w:r>
      <w:r w:rsidRPr="00913FB6">
        <w:tab/>
        <w:t>C</w:t>
      </w:r>
      <w:r w:rsidRPr="00913FB6">
        <w:rPr>
          <w:vertAlign w:val="subscript"/>
        </w:rPr>
        <w:t>1</w:t>
      </w:r>
      <w:r w:rsidRPr="00913FB6">
        <w:t>H</w:t>
      </w:r>
      <w:r w:rsidRPr="00913FB6">
        <w:rPr>
          <w:vertAlign w:val="subscript"/>
        </w:rPr>
        <w:t>4</w:t>
      </w:r>
      <w:r w:rsidRPr="00913FB6">
        <w:t xml:space="preserve"> pour le gaz naturel (GN) et le biométhane;</w:t>
      </w:r>
    </w:p>
    <w:p w:rsidR="00EF3867" w:rsidRPr="00913FB6" w:rsidRDefault="00EF3867" w:rsidP="00C60A6D">
      <w:pPr>
        <w:pStyle w:val="SingleTxtG"/>
        <w:ind w:left="2835" w:hanging="567"/>
        <w:rPr>
          <w:rFonts w:asciiTheme="majorBidi" w:hAnsiTheme="majorBidi" w:cstheme="majorBidi"/>
          <w:szCs w:val="24"/>
        </w:rPr>
      </w:pPr>
      <w:r w:rsidRPr="00913FB6">
        <w:rPr>
          <w:rFonts w:asciiTheme="majorBidi" w:hAnsiTheme="majorBidi" w:cstheme="majorBidi"/>
          <w:szCs w:val="24"/>
        </w:rPr>
        <w:t>c)</w:t>
      </w:r>
      <w:r w:rsidRPr="00913FB6">
        <w:rPr>
          <w:rFonts w:asciiTheme="majorBidi" w:hAnsiTheme="majorBidi" w:cstheme="majorBidi"/>
          <w:szCs w:val="24"/>
        </w:rPr>
        <w:tab/>
        <w:t>C</w:t>
      </w:r>
      <w:r w:rsidRPr="00913FB6">
        <w:rPr>
          <w:rFonts w:asciiTheme="majorBidi" w:hAnsiTheme="majorBidi" w:cstheme="majorBidi"/>
          <w:szCs w:val="24"/>
          <w:vertAlign w:val="subscript"/>
        </w:rPr>
        <w:t>1</w:t>
      </w:r>
      <w:r w:rsidRPr="00913FB6">
        <w:rPr>
          <w:rFonts w:asciiTheme="majorBidi" w:hAnsiTheme="majorBidi" w:cstheme="majorBidi"/>
          <w:szCs w:val="24"/>
        </w:rPr>
        <w:t>H</w:t>
      </w:r>
      <w:r w:rsidRPr="00913FB6">
        <w:rPr>
          <w:rFonts w:asciiTheme="majorBidi" w:hAnsiTheme="majorBidi" w:cstheme="majorBidi"/>
          <w:szCs w:val="24"/>
          <w:vertAlign w:val="subscript"/>
        </w:rPr>
        <w:t>1,89</w:t>
      </w:r>
      <w:r w:rsidRPr="00913FB6">
        <w:rPr>
          <w:rFonts w:asciiTheme="majorBidi" w:hAnsiTheme="majorBidi" w:cstheme="majorBidi"/>
          <w:szCs w:val="24"/>
        </w:rPr>
        <w:t>O</w:t>
      </w:r>
      <w:r w:rsidRPr="00913FB6">
        <w:rPr>
          <w:rFonts w:asciiTheme="majorBidi" w:hAnsiTheme="majorBidi" w:cstheme="majorBidi"/>
          <w:szCs w:val="24"/>
          <w:vertAlign w:val="subscript"/>
        </w:rPr>
        <w:t>0,016</w:t>
      </w:r>
      <w:r w:rsidRPr="00913FB6">
        <w:rPr>
          <w:rFonts w:asciiTheme="majorBidi" w:hAnsiTheme="majorBidi" w:cstheme="majorBidi"/>
          <w:szCs w:val="24"/>
        </w:rPr>
        <w:t xml:space="preserve"> pour l’essence (E5);</w:t>
      </w:r>
    </w:p>
    <w:p w:rsidR="00EF3867" w:rsidRPr="00913FB6" w:rsidRDefault="00EF3867" w:rsidP="00C60A6D">
      <w:pPr>
        <w:pStyle w:val="SingleTxtG"/>
        <w:ind w:left="2835" w:hanging="567"/>
        <w:rPr>
          <w:rFonts w:asciiTheme="majorBidi" w:hAnsiTheme="majorBidi" w:cstheme="majorBidi"/>
          <w:szCs w:val="24"/>
        </w:rPr>
      </w:pPr>
      <w:r w:rsidRPr="00913FB6">
        <w:rPr>
          <w:rFonts w:asciiTheme="majorBidi" w:hAnsiTheme="majorBidi" w:cstheme="majorBidi"/>
          <w:szCs w:val="24"/>
        </w:rPr>
        <w:t>d)</w:t>
      </w:r>
      <w:r w:rsidRPr="00913FB6">
        <w:rPr>
          <w:rFonts w:asciiTheme="majorBidi" w:hAnsiTheme="majorBidi" w:cstheme="majorBidi"/>
          <w:szCs w:val="24"/>
        </w:rPr>
        <w:tab/>
        <w:t>C</w:t>
      </w:r>
      <w:r w:rsidRPr="00913FB6">
        <w:rPr>
          <w:rFonts w:asciiTheme="majorBidi" w:hAnsiTheme="majorBidi" w:cstheme="majorBidi"/>
          <w:szCs w:val="24"/>
          <w:vertAlign w:val="subscript"/>
        </w:rPr>
        <w:t>1</w:t>
      </w:r>
      <w:r w:rsidRPr="00913FB6">
        <w:rPr>
          <w:rFonts w:asciiTheme="majorBidi" w:hAnsiTheme="majorBidi" w:cstheme="majorBidi"/>
          <w:szCs w:val="24"/>
        </w:rPr>
        <w:t>H</w:t>
      </w:r>
      <w:r w:rsidRPr="00913FB6">
        <w:rPr>
          <w:rFonts w:asciiTheme="majorBidi" w:hAnsiTheme="majorBidi" w:cstheme="majorBidi"/>
          <w:szCs w:val="24"/>
          <w:vertAlign w:val="subscript"/>
        </w:rPr>
        <w:t>1,93</w:t>
      </w:r>
      <w:r w:rsidRPr="00913FB6">
        <w:rPr>
          <w:rFonts w:asciiTheme="majorBidi" w:hAnsiTheme="majorBidi" w:cstheme="majorBidi"/>
          <w:szCs w:val="24"/>
        </w:rPr>
        <w:t>O</w:t>
      </w:r>
      <w:r w:rsidRPr="00913FB6">
        <w:rPr>
          <w:rFonts w:asciiTheme="majorBidi" w:hAnsiTheme="majorBidi" w:cstheme="majorBidi"/>
          <w:szCs w:val="24"/>
          <w:vertAlign w:val="subscript"/>
        </w:rPr>
        <w:t>0,033</w:t>
      </w:r>
      <w:r w:rsidRPr="00913FB6">
        <w:rPr>
          <w:rFonts w:asciiTheme="majorBidi" w:hAnsiTheme="majorBidi" w:cstheme="majorBidi"/>
          <w:szCs w:val="24"/>
        </w:rPr>
        <w:t xml:space="preserve"> pour l’essence (E10);</w:t>
      </w:r>
    </w:p>
    <w:p w:rsidR="00EF3867" w:rsidRPr="00913FB6" w:rsidRDefault="00EF3867" w:rsidP="00C60A6D">
      <w:pPr>
        <w:pStyle w:val="SingleTxtG"/>
        <w:ind w:left="2835" w:hanging="567"/>
        <w:rPr>
          <w:rFonts w:asciiTheme="majorBidi" w:hAnsiTheme="majorBidi" w:cstheme="majorBidi"/>
          <w:szCs w:val="24"/>
        </w:rPr>
      </w:pPr>
      <w:r w:rsidRPr="00913FB6">
        <w:rPr>
          <w:rFonts w:asciiTheme="majorBidi" w:hAnsiTheme="majorBidi" w:cstheme="majorBidi"/>
          <w:szCs w:val="24"/>
        </w:rPr>
        <w:t>e)</w:t>
      </w:r>
      <w:r w:rsidRPr="00913FB6">
        <w:rPr>
          <w:rFonts w:asciiTheme="majorBidi" w:hAnsiTheme="majorBidi" w:cstheme="majorBidi"/>
          <w:szCs w:val="24"/>
        </w:rPr>
        <w:tab/>
        <w:t>C</w:t>
      </w:r>
      <w:r w:rsidRPr="00913FB6">
        <w:rPr>
          <w:rFonts w:asciiTheme="majorBidi" w:hAnsiTheme="majorBidi" w:cstheme="majorBidi"/>
          <w:szCs w:val="24"/>
          <w:vertAlign w:val="subscript"/>
        </w:rPr>
        <w:t>1</w:t>
      </w:r>
      <w:r w:rsidRPr="00913FB6">
        <w:rPr>
          <w:rFonts w:asciiTheme="majorBidi" w:hAnsiTheme="majorBidi" w:cstheme="majorBidi"/>
          <w:szCs w:val="24"/>
        </w:rPr>
        <w:t>H</w:t>
      </w:r>
      <w:r w:rsidRPr="00913FB6">
        <w:rPr>
          <w:rFonts w:asciiTheme="majorBidi" w:hAnsiTheme="majorBidi" w:cstheme="majorBidi"/>
          <w:szCs w:val="24"/>
          <w:vertAlign w:val="subscript"/>
        </w:rPr>
        <w:t>1,86</w:t>
      </w:r>
      <w:r w:rsidRPr="00913FB6">
        <w:rPr>
          <w:rFonts w:asciiTheme="majorBidi" w:hAnsiTheme="majorBidi" w:cstheme="majorBidi"/>
          <w:szCs w:val="24"/>
        </w:rPr>
        <w:t>O</w:t>
      </w:r>
      <w:r w:rsidRPr="00913FB6">
        <w:rPr>
          <w:rFonts w:asciiTheme="majorBidi" w:hAnsiTheme="majorBidi" w:cstheme="majorBidi"/>
          <w:szCs w:val="24"/>
          <w:vertAlign w:val="subscript"/>
        </w:rPr>
        <w:t>0,005</w:t>
      </w:r>
      <w:r w:rsidRPr="00913FB6">
        <w:rPr>
          <w:rFonts w:asciiTheme="majorBidi" w:hAnsiTheme="majorBidi" w:cstheme="majorBidi"/>
          <w:szCs w:val="24"/>
        </w:rPr>
        <w:t xml:space="preserve"> pour le gazole (B5);</w:t>
      </w:r>
    </w:p>
    <w:p w:rsidR="00EF3867" w:rsidRPr="00913FB6" w:rsidRDefault="00EF3867" w:rsidP="00C60A6D">
      <w:pPr>
        <w:pStyle w:val="SingleTxtG"/>
        <w:ind w:left="2835" w:hanging="567"/>
        <w:rPr>
          <w:rFonts w:asciiTheme="majorBidi" w:hAnsiTheme="majorBidi" w:cstheme="majorBidi"/>
          <w:szCs w:val="24"/>
        </w:rPr>
      </w:pPr>
      <w:r w:rsidRPr="00913FB6">
        <w:rPr>
          <w:rFonts w:asciiTheme="majorBidi" w:hAnsiTheme="majorBidi" w:cstheme="majorBidi"/>
          <w:szCs w:val="24"/>
        </w:rPr>
        <w:t>f)</w:t>
      </w:r>
      <w:r w:rsidRPr="00913FB6">
        <w:rPr>
          <w:rFonts w:asciiTheme="majorBidi" w:hAnsiTheme="majorBidi" w:cstheme="majorBidi"/>
          <w:szCs w:val="24"/>
        </w:rPr>
        <w:tab/>
        <w:t>C</w:t>
      </w:r>
      <w:r w:rsidRPr="00913FB6">
        <w:rPr>
          <w:rFonts w:asciiTheme="majorBidi" w:hAnsiTheme="majorBidi" w:cstheme="majorBidi"/>
          <w:szCs w:val="24"/>
          <w:vertAlign w:val="subscript"/>
        </w:rPr>
        <w:t>1</w:t>
      </w:r>
      <w:r w:rsidRPr="00913FB6">
        <w:rPr>
          <w:rFonts w:asciiTheme="majorBidi" w:hAnsiTheme="majorBidi" w:cstheme="majorBidi"/>
          <w:szCs w:val="24"/>
        </w:rPr>
        <w:t>H</w:t>
      </w:r>
      <w:r w:rsidRPr="00913FB6">
        <w:rPr>
          <w:rFonts w:asciiTheme="majorBidi" w:hAnsiTheme="majorBidi" w:cstheme="majorBidi"/>
          <w:szCs w:val="24"/>
          <w:vertAlign w:val="subscript"/>
        </w:rPr>
        <w:t>1,86</w:t>
      </w:r>
      <w:r w:rsidRPr="00913FB6">
        <w:rPr>
          <w:rFonts w:asciiTheme="majorBidi" w:hAnsiTheme="majorBidi" w:cstheme="majorBidi"/>
          <w:szCs w:val="24"/>
        </w:rPr>
        <w:t>O</w:t>
      </w:r>
      <w:r w:rsidRPr="00913FB6">
        <w:rPr>
          <w:rFonts w:asciiTheme="majorBidi" w:hAnsiTheme="majorBidi" w:cstheme="majorBidi"/>
          <w:szCs w:val="24"/>
          <w:vertAlign w:val="subscript"/>
        </w:rPr>
        <w:t>0,007</w:t>
      </w:r>
      <w:r w:rsidRPr="00913FB6">
        <w:rPr>
          <w:rFonts w:asciiTheme="majorBidi" w:hAnsiTheme="majorBidi" w:cstheme="majorBidi"/>
          <w:szCs w:val="24"/>
        </w:rPr>
        <w:t xml:space="preserve"> pour le gazole (B7);</w:t>
      </w:r>
    </w:p>
    <w:p w:rsidR="00EF3867" w:rsidRPr="00913FB6" w:rsidRDefault="00EF3867" w:rsidP="00C60A6D">
      <w:pPr>
        <w:pStyle w:val="SingleTxtG"/>
        <w:ind w:left="2835" w:hanging="567"/>
        <w:rPr>
          <w:rFonts w:asciiTheme="majorBidi" w:hAnsiTheme="majorBidi" w:cstheme="majorBidi"/>
          <w:szCs w:val="24"/>
        </w:rPr>
      </w:pPr>
      <w:r w:rsidRPr="00913FB6">
        <w:rPr>
          <w:rFonts w:asciiTheme="majorBidi" w:hAnsiTheme="majorBidi" w:cstheme="majorBidi"/>
          <w:szCs w:val="24"/>
        </w:rPr>
        <w:t>g)</w:t>
      </w:r>
      <w:r w:rsidRPr="00913FB6">
        <w:rPr>
          <w:rFonts w:asciiTheme="majorBidi" w:hAnsiTheme="majorBidi" w:cstheme="majorBidi"/>
          <w:szCs w:val="24"/>
        </w:rPr>
        <w:tab/>
        <w:t>C</w:t>
      </w:r>
      <w:r w:rsidRPr="00913FB6">
        <w:rPr>
          <w:rFonts w:asciiTheme="majorBidi" w:hAnsiTheme="majorBidi" w:cstheme="majorBidi"/>
          <w:szCs w:val="24"/>
          <w:vertAlign w:val="subscript"/>
        </w:rPr>
        <w:t>1</w:t>
      </w:r>
      <w:r w:rsidRPr="00913FB6">
        <w:rPr>
          <w:rFonts w:asciiTheme="majorBidi" w:hAnsiTheme="majorBidi" w:cstheme="majorBidi"/>
          <w:szCs w:val="24"/>
        </w:rPr>
        <w:t>H</w:t>
      </w:r>
      <w:r w:rsidRPr="00913FB6">
        <w:rPr>
          <w:rFonts w:asciiTheme="majorBidi" w:hAnsiTheme="majorBidi" w:cstheme="majorBidi"/>
          <w:szCs w:val="24"/>
          <w:vertAlign w:val="subscript"/>
        </w:rPr>
        <w:t>2,74</w:t>
      </w:r>
      <w:r w:rsidRPr="00913FB6">
        <w:rPr>
          <w:rFonts w:asciiTheme="majorBidi" w:hAnsiTheme="majorBidi" w:cstheme="majorBidi"/>
          <w:szCs w:val="24"/>
        </w:rPr>
        <w:t>O</w:t>
      </w:r>
      <w:r w:rsidRPr="00913FB6">
        <w:rPr>
          <w:rFonts w:asciiTheme="majorBidi" w:hAnsiTheme="majorBidi" w:cstheme="majorBidi"/>
          <w:szCs w:val="24"/>
          <w:vertAlign w:val="subscript"/>
        </w:rPr>
        <w:t>0,385</w:t>
      </w:r>
      <w:r w:rsidRPr="00913FB6">
        <w:rPr>
          <w:rFonts w:asciiTheme="majorBidi" w:hAnsiTheme="majorBidi" w:cstheme="majorBidi"/>
          <w:szCs w:val="24"/>
        </w:rPr>
        <w:t xml:space="preserve"> pour l’éthanol (</w:t>
      </w:r>
      <w:r w:rsidRPr="00913FB6">
        <w:t>E85</w:t>
      </w:r>
      <w:r w:rsidRPr="00913FB6">
        <w:rPr>
          <w:rFonts w:asciiTheme="majorBidi" w:hAnsiTheme="majorBidi" w:cstheme="majorBidi"/>
          <w:szCs w:val="24"/>
        </w:rPr>
        <w:t>);</w:t>
      </w:r>
    </w:p>
    <w:p w:rsidR="00EF3867" w:rsidRPr="00913FB6" w:rsidRDefault="00EF3867" w:rsidP="00C60A6D">
      <w:pPr>
        <w:pStyle w:val="SingleTxtG"/>
        <w:ind w:left="2835" w:hanging="567"/>
        <w:rPr>
          <w:rFonts w:asciiTheme="majorBidi" w:hAnsiTheme="majorBidi" w:cstheme="majorBidi"/>
          <w:szCs w:val="24"/>
        </w:rPr>
      </w:pPr>
      <w:r w:rsidRPr="00913FB6">
        <w:rPr>
          <w:rFonts w:asciiTheme="majorBidi" w:hAnsiTheme="majorBidi" w:cstheme="majorBidi"/>
          <w:szCs w:val="24"/>
        </w:rPr>
        <w:t>h)</w:t>
      </w:r>
      <w:r w:rsidRPr="00913FB6">
        <w:rPr>
          <w:rFonts w:asciiTheme="majorBidi" w:hAnsiTheme="majorBidi" w:cstheme="majorBidi"/>
          <w:szCs w:val="24"/>
        </w:rPr>
        <w:tab/>
        <w:t>C</w:t>
      </w:r>
      <w:r w:rsidRPr="00913FB6">
        <w:rPr>
          <w:rFonts w:asciiTheme="majorBidi" w:hAnsiTheme="majorBidi" w:cstheme="majorBidi"/>
          <w:szCs w:val="24"/>
          <w:vertAlign w:val="subscript"/>
        </w:rPr>
        <w:t>1</w:t>
      </w:r>
      <w:r w:rsidRPr="00913FB6">
        <w:rPr>
          <w:rFonts w:asciiTheme="majorBidi" w:hAnsiTheme="majorBidi" w:cstheme="majorBidi"/>
          <w:szCs w:val="24"/>
        </w:rPr>
        <w:t>H</w:t>
      </w:r>
      <w:r w:rsidRPr="00913FB6">
        <w:rPr>
          <w:rFonts w:asciiTheme="majorBidi" w:hAnsiTheme="majorBidi" w:cstheme="majorBidi"/>
          <w:szCs w:val="24"/>
          <w:vertAlign w:val="subscript"/>
        </w:rPr>
        <w:t>2,61</w:t>
      </w:r>
      <w:r w:rsidRPr="00913FB6">
        <w:rPr>
          <w:rFonts w:asciiTheme="majorBidi" w:hAnsiTheme="majorBidi" w:cstheme="majorBidi"/>
          <w:szCs w:val="24"/>
        </w:rPr>
        <w:t>O</w:t>
      </w:r>
      <w:r w:rsidRPr="00913FB6">
        <w:rPr>
          <w:rFonts w:asciiTheme="majorBidi" w:hAnsiTheme="majorBidi" w:cstheme="majorBidi"/>
          <w:szCs w:val="24"/>
          <w:vertAlign w:val="subscript"/>
        </w:rPr>
        <w:t>0,329</w:t>
      </w:r>
      <w:r w:rsidRPr="00913FB6">
        <w:rPr>
          <w:rFonts w:asciiTheme="majorBidi" w:hAnsiTheme="majorBidi" w:cstheme="majorBidi"/>
          <w:szCs w:val="24"/>
        </w:rPr>
        <w:t xml:space="preserve"> pour l’éthanol (</w:t>
      </w:r>
      <w:r w:rsidRPr="00913FB6">
        <w:t>E75</w:t>
      </w:r>
      <w:r w:rsidRPr="00913FB6">
        <w:rPr>
          <w:rFonts w:asciiTheme="majorBidi" w:hAnsiTheme="majorBidi" w:cstheme="majorBidi"/>
          <w:szCs w:val="24"/>
        </w:rPr>
        <w:t>).».</w:t>
      </w:r>
    </w:p>
    <w:p w:rsidR="00EF3867" w:rsidRPr="00913FB6" w:rsidRDefault="00EF3867" w:rsidP="00C60A6D">
      <w:pPr>
        <w:pStyle w:val="SingleTxtG"/>
        <w:rPr>
          <w:rFonts w:asciiTheme="majorBidi" w:hAnsiTheme="majorBidi" w:cstheme="majorBidi"/>
          <w:szCs w:val="24"/>
        </w:rPr>
      </w:pPr>
      <w:r w:rsidRPr="00913FB6">
        <w:rPr>
          <w:rFonts w:asciiTheme="majorBidi" w:hAnsiTheme="majorBidi" w:cstheme="majorBidi"/>
          <w:i/>
          <w:szCs w:val="24"/>
        </w:rPr>
        <w:t>Paragraphe 5.2.3, tableau A</w:t>
      </w:r>
      <w:r w:rsidRPr="00913FB6">
        <w:rPr>
          <w:rFonts w:asciiTheme="majorBidi" w:hAnsiTheme="majorBidi" w:cstheme="majorBidi"/>
          <w:szCs w:val="24"/>
        </w:rPr>
        <w:t xml:space="preserve">, modifier comme suit: </w:t>
      </w:r>
    </w:p>
    <w:p w:rsidR="00EF3867" w:rsidRPr="00913FB6" w:rsidRDefault="00EF3867" w:rsidP="007E2C27">
      <w:pPr>
        <w:pStyle w:val="Heading1"/>
        <w:spacing w:after="120"/>
        <w:ind w:left="0"/>
        <w:rPr>
          <w:b/>
          <w:bCs/>
        </w:rPr>
      </w:pPr>
      <w:r w:rsidRPr="00913FB6">
        <w:t>«Tableau A. Prescriptions</w:t>
      </w:r>
      <w:r w:rsidR="007E2C27" w:rsidRPr="00913FB6">
        <w:br/>
      </w:r>
      <w:r w:rsidRPr="00913FB6">
        <w:rPr>
          <w:b/>
          <w:bCs/>
        </w:rPr>
        <w:t>Application des prescriptions d’essai pour l’homologation de type et les extensions</w:t>
      </w: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CellMar>
          <w:left w:w="0" w:type="dxa"/>
          <w:right w:w="0" w:type="dxa"/>
        </w:tblCellMar>
        <w:tblLook w:val="0000" w:firstRow="0" w:lastRow="0" w:firstColumn="0" w:lastColumn="0" w:noHBand="0" w:noVBand="0"/>
      </w:tblPr>
      <w:tblGrid>
        <w:gridCol w:w="1247"/>
        <w:gridCol w:w="794"/>
        <w:gridCol w:w="397"/>
        <w:gridCol w:w="850"/>
        <w:gridCol w:w="794"/>
        <w:gridCol w:w="794"/>
        <w:gridCol w:w="964"/>
        <w:gridCol w:w="794"/>
        <w:gridCol w:w="1020"/>
        <w:gridCol w:w="964"/>
        <w:gridCol w:w="1020"/>
      </w:tblGrid>
      <w:tr w:rsidR="00913FB6" w:rsidRPr="00913FB6" w:rsidTr="00D62005">
        <w:trPr>
          <w:tblHeader/>
        </w:trPr>
        <w:tc>
          <w:tcPr>
            <w:tcW w:w="1247" w:type="dxa"/>
            <w:vMerge w:val="restart"/>
            <w:shd w:val="clear" w:color="auto" w:fill="auto"/>
          </w:tcPr>
          <w:p w:rsidR="0052722F" w:rsidRPr="00913FB6" w:rsidRDefault="0052722F" w:rsidP="00737D79">
            <w:pPr>
              <w:widowControl w:val="0"/>
              <w:suppressAutoHyphens w:val="0"/>
              <w:spacing w:before="60" w:after="60" w:line="200" w:lineRule="atLeast"/>
              <w:ind w:left="57" w:right="57"/>
              <w:rPr>
                <w:rFonts w:asciiTheme="majorBidi" w:hAnsiTheme="majorBidi" w:cstheme="majorBidi"/>
                <w:i/>
                <w:sz w:val="14"/>
                <w:szCs w:val="14"/>
              </w:rPr>
            </w:pPr>
          </w:p>
        </w:tc>
        <w:tc>
          <w:tcPr>
            <w:tcW w:w="6407" w:type="dxa"/>
            <w:gridSpan w:val="8"/>
            <w:tcBorders>
              <w:bottom w:val="single" w:sz="2" w:space="0" w:color="auto"/>
            </w:tcBorders>
            <w:shd w:val="clear" w:color="auto" w:fill="auto"/>
          </w:tcPr>
          <w:p w:rsidR="0052722F" w:rsidRPr="00913FB6" w:rsidRDefault="0052722F" w:rsidP="00D62005">
            <w:pPr>
              <w:widowControl w:val="0"/>
              <w:suppressAutoHyphens w:val="0"/>
              <w:spacing w:before="60" w:after="60" w:line="200" w:lineRule="atLeast"/>
              <w:ind w:left="57" w:right="57"/>
              <w:rPr>
                <w:rFonts w:asciiTheme="majorBidi" w:hAnsiTheme="majorBidi" w:cstheme="majorBidi"/>
                <w:i/>
                <w:sz w:val="14"/>
                <w:szCs w:val="14"/>
              </w:rPr>
            </w:pPr>
            <w:r w:rsidRPr="00913FB6">
              <w:rPr>
                <w:rFonts w:asciiTheme="majorBidi" w:hAnsiTheme="majorBidi" w:cstheme="majorBidi"/>
                <w:i/>
                <w:sz w:val="14"/>
                <w:szCs w:val="14"/>
              </w:rPr>
              <w:t>Véhicules équipés d’un moteur à allumage commandé, y compris les véhicules hybrides</w:t>
            </w:r>
          </w:p>
        </w:tc>
        <w:tc>
          <w:tcPr>
            <w:tcW w:w="1984" w:type="dxa"/>
            <w:gridSpan w:val="2"/>
            <w:tcBorders>
              <w:bottom w:val="single" w:sz="2" w:space="0" w:color="auto"/>
            </w:tcBorders>
            <w:shd w:val="clear" w:color="auto" w:fill="auto"/>
          </w:tcPr>
          <w:p w:rsidR="0052722F" w:rsidRPr="00913FB6" w:rsidRDefault="0052722F" w:rsidP="00D62005">
            <w:pPr>
              <w:widowControl w:val="0"/>
              <w:suppressAutoHyphens w:val="0"/>
              <w:spacing w:before="60" w:after="60" w:line="200" w:lineRule="atLeast"/>
              <w:ind w:left="57" w:right="57"/>
              <w:rPr>
                <w:rFonts w:asciiTheme="majorBidi" w:hAnsiTheme="majorBidi" w:cstheme="majorBidi"/>
                <w:i/>
                <w:sz w:val="14"/>
                <w:szCs w:val="14"/>
              </w:rPr>
            </w:pPr>
            <w:r w:rsidRPr="00913FB6">
              <w:rPr>
                <w:rFonts w:asciiTheme="majorBidi" w:hAnsiTheme="majorBidi" w:cstheme="majorBidi"/>
                <w:i/>
                <w:sz w:val="14"/>
                <w:szCs w:val="14"/>
              </w:rPr>
              <w:t>Véhicules équipés d’un moteur à allumage par compression, y compris les véhicules hybrides</w:t>
            </w:r>
          </w:p>
        </w:tc>
      </w:tr>
      <w:tr w:rsidR="00913FB6" w:rsidRPr="00913FB6" w:rsidTr="0052722F">
        <w:trPr>
          <w:tblHeader/>
        </w:trPr>
        <w:tc>
          <w:tcPr>
            <w:tcW w:w="1247" w:type="dxa"/>
            <w:vMerge/>
            <w:tcBorders>
              <w:bottom w:val="single" w:sz="12" w:space="0" w:color="auto"/>
            </w:tcBorders>
            <w:shd w:val="clear" w:color="auto" w:fill="auto"/>
          </w:tcPr>
          <w:p w:rsidR="0052722F" w:rsidRPr="00913FB6" w:rsidRDefault="0052722F" w:rsidP="00737D79">
            <w:pPr>
              <w:widowControl w:val="0"/>
              <w:suppressAutoHyphens w:val="0"/>
              <w:spacing w:before="60" w:after="60" w:line="200" w:lineRule="atLeast"/>
              <w:ind w:left="57" w:right="57"/>
              <w:rPr>
                <w:rFonts w:asciiTheme="majorBidi" w:hAnsiTheme="majorBidi" w:cstheme="majorBidi"/>
                <w:i/>
                <w:sz w:val="14"/>
                <w:szCs w:val="14"/>
              </w:rPr>
            </w:pPr>
          </w:p>
        </w:tc>
        <w:tc>
          <w:tcPr>
            <w:tcW w:w="2835" w:type="dxa"/>
            <w:gridSpan w:val="4"/>
            <w:tcBorders>
              <w:bottom w:val="single" w:sz="12" w:space="0" w:color="auto"/>
            </w:tcBorders>
            <w:shd w:val="clear" w:color="auto" w:fill="auto"/>
          </w:tcPr>
          <w:p w:rsidR="0052722F" w:rsidRPr="00913FB6" w:rsidRDefault="0052722F" w:rsidP="00737D79">
            <w:pPr>
              <w:widowControl w:val="0"/>
              <w:suppressAutoHyphens w:val="0"/>
              <w:spacing w:before="60" w:after="60" w:line="200" w:lineRule="atLeast"/>
              <w:ind w:left="57" w:right="57"/>
              <w:rPr>
                <w:rFonts w:asciiTheme="majorBidi" w:hAnsiTheme="majorBidi" w:cstheme="majorBidi"/>
                <w:i/>
                <w:sz w:val="14"/>
                <w:szCs w:val="14"/>
              </w:rPr>
            </w:pPr>
            <w:r w:rsidRPr="00913FB6">
              <w:rPr>
                <w:rFonts w:asciiTheme="majorBidi" w:hAnsiTheme="majorBidi" w:cstheme="majorBidi"/>
                <w:i/>
                <w:sz w:val="14"/>
                <w:szCs w:val="14"/>
              </w:rPr>
              <w:t>Monocarburant</w:t>
            </w:r>
          </w:p>
        </w:tc>
        <w:tc>
          <w:tcPr>
            <w:tcW w:w="2552" w:type="dxa"/>
            <w:gridSpan w:val="3"/>
            <w:tcBorders>
              <w:bottom w:val="single" w:sz="12" w:space="0" w:color="auto"/>
            </w:tcBorders>
            <w:shd w:val="clear" w:color="auto" w:fill="auto"/>
          </w:tcPr>
          <w:p w:rsidR="0052722F" w:rsidRPr="00913FB6" w:rsidRDefault="0052722F" w:rsidP="00737D79">
            <w:pPr>
              <w:widowControl w:val="0"/>
              <w:suppressAutoHyphens w:val="0"/>
              <w:spacing w:before="60" w:after="60" w:line="200" w:lineRule="atLeast"/>
              <w:ind w:left="57" w:right="57"/>
              <w:rPr>
                <w:rFonts w:asciiTheme="majorBidi" w:hAnsiTheme="majorBidi" w:cstheme="majorBidi"/>
                <w:i/>
                <w:sz w:val="14"/>
                <w:szCs w:val="14"/>
                <w:vertAlign w:val="superscript"/>
              </w:rPr>
            </w:pPr>
            <w:r w:rsidRPr="00913FB6">
              <w:rPr>
                <w:rFonts w:asciiTheme="majorBidi" w:hAnsiTheme="majorBidi" w:cstheme="majorBidi"/>
                <w:i/>
                <w:sz w:val="14"/>
                <w:szCs w:val="14"/>
              </w:rPr>
              <w:t>Bicarburant</w:t>
            </w:r>
            <w:r w:rsidRPr="00913FB6">
              <w:rPr>
                <w:rFonts w:asciiTheme="majorBidi" w:hAnsiTheme="majorBidi" w:cstheme="majorBidi"/>
                <w:iCs/>
                <w:sz w:val="14"/>
                <w:szCs w:val="14"/>
                <w:vertAlign w:val="superscript"/>
              </w:rPr>
              <w:t>1</w:t>
            </w:r>
          </w:p>
        </w:tc>
        <w:tc>
          <w:tcPr>
            <w:tcW w:w="1020" w:type="dxa"/>
            <w:tcBorders>
              <w:bottom w:val="single" w:sz="12" w:space="0" w:color="auto"/>
            </w:tcBorders>
            <w:shd w:val="clear" w:color="auto" w:fill="auto"/>
          </w:tcPr>
          <w:p w:rsidR="0052722F" w:rsidRPr="00913FB6" w:rsidRDefault="0052722F" w:rsidP="00737D79">
            <w:pPr>
              <w:widowControl w:val="0"/>
              <w:suppressAutoHyphens w:val="0"/>
              <w:spacing w:before="60" w:after="60" w:line="200" w:lineRule="atLeast"/>
              <w:ind w:left="57" w:right="57"/>
              <w:rPr>
                <w:rFonts w:asciiTheme="majorBidi" w:hAnsiTheme="majorBidi" w:cstheme="majorBidi"/>
                <w:i/>
                <w:sz w:val="14"/>
                <w:szCs w:val="14"/>
              </w:rPr>
            </w:pPr>
            <w:r w:rsidRPr="00913FB6">
              <w:rPr>
                <w:rFonts w:asciiTheme="majorBidi" w:hAnsiTheme="majorBidi" w:cstheme="majorBidi"/>
                <w:i/>
                <w:sz w:val="14"/>
                <w:szCs w:val="14"/>
              </w:rPr>
              <w:t>Polycarburant</w:t>
            </w:r>
            <w:r w:rsidRPr="00913FB6">
              <w:rPr>
                <w:rFonts w:asciiTheme="majorBidi" w:hAnsiTheme="majorBidi" w:cstheme="majorBidi"/>
                <w:iCs/>
                <w:sz w:val="14"/>
                <w:szCs w:val="14"/>
                <w:vertAlign w:val="superscript"/>
              </w:rPr>
              <w:t>1</w:t>
            </w:r>
          </w:p>
        </w:tc>
        <w:tc>
          <w:tcPr>
            <w:tcW w:w="964" w:type="dxa"/>
            <w:tcBorders>
              <w:bottom w:val="single" w:sz="12" w:space="0" w:color="auto"/>
            </w:tcBorders>
            <w:shd w:val="clear" w:color="auto" w:fill="auto"/>
          </w:tcPr>
          <w:p w:rsidR="0052722F" w:rsidRPr="00913FB6" w:rsidRDefault="0052722F" w:rsidP="00737D79">
            <w:pPr>
              <w:widowControl w:val="0"/>
              <w:suppressAutoHyphens w:val="0"/>
              <w:spacing w:before="60" w:after="60" w:line="200" w:lineRule="atLeast"/>
              <w:ind w:left="57" w:right="57"/>
              <w:rPr>
                <w:rFonts w:asciiTheme="majorBidi" w:hAnsiTheme="majorBidi" w:cstheme="majorBidi"/>
                <w:i/>
                <w:sz w:val="14"/>
                <w:szCs w:val="14"/>
              </w:rPr>
            </w:pPr>
            <w:r w:rsidRPr="00913FB6">
              <w:rPr>
                <w:rFonts w:asciiTheme="majorBidi" w:hAnsiTheme="majorBidi" w:cstheme="majorBidi"/>
                <w:i/>
                <w:sz w:val="14"/>
                <w:szCs w:val="14"/>
              </w:rPr>
              <w:t>Polycarburant</w:t>
            </w:r>
          </w:p>
        </w:tc>
        <w:tc>
          <w:tcPr>
            <w:tcW w:w="1020" w:type="dxa"/>
            <w:tcBorders>
              <w:bottom w:val="single" w:sz="12" w:space="0" w:color="auto"/>
            </w:tcBorders>
            <w:shd w:val="clear" w:color="auto" w:fill="auto"/>
          </w:tcPr>
          <w:p w:rsidR="0052722F" w:rsidRPr="00913FB6" w:rsidRDefault="0052722F" w:rsidP="00737D79">
            <w:pPr>
              <w:widowControl w:val="0"/>
              <w:suppressAutoHyphens w:val="0"/>
              <w:spacing w:before="60" w:after="60" w:line="200" w:lineRule="atLeast"/>
              <w:ind w:left="57" w:right="57"/>
              <w:rPr>
                <w:rFonts w:asciiTheme="majorBidi" w:hAnsiTheme="majorBidi" w:cstheme="majorBidi"/>
                <w:i/>
                <w:sz w:val="14"/>
                <w:szCs w:val="14"/>
              </w:rPr>
            </w:pPr>
            <w:r w:rsidRPr="00913FB6">
              <w:rPr>
                <w:rFonts w:asciiTheme="majorBidi" w:hAnsiTheme="majorBidi" w:cstheme="majorBidi"/>
                <w:i/>
                <w:sz w:val="14"/>
                <w:szCs w:val="14"/>
              </w:rPr>
              <w:t>Monocarburant</w:t>
            </w:r>
          </w:p>
        </w:tc>
      </w:tr>
      <w:tr w:rsidR="00913FB6" w:rsidRPr="00913FB6" w:rsidTr="0052722F">
        <w:tc>
          <w:tcPr>
            <w:tcW w:w="1247" w:type="dxa"/>
            <w:vMerge w:val="restart"/>
            <w:tcBorders>
              <w:top w:val="single" w:sz="12" w:space="0" w:color="auto"/>
            </w:tcBorders>
            <w:shd w:val="clear" w:color="auto" w:fill="auto"/>
            <w:vAlign w:val="center"/>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Carbu</w:t>
            </w:r>
            <w:r w:rsidR="00457755" w:rsidRPr="00913FB6">
              <w:rPr>
                <w:rFonts w:asciiTheme="majorBidi" w:hAnsiTheme="majorBidi" w:cstheme="majorBidi"/>
                <w:sz w:val="14"/>
                <w:szCs w:val="14"/>
              </w:rPr>
              <w:t>rant de </w:t>
            </w:r>
            <w:r w:rsidRPr="00913FB6">
              <w:rPr>
                <w:rFonts w:asciiTheme="majorBidi" w:hAnsiTheme="majorBidi" w:cstheme="majorBidi"/>
                <w:sz w:val="14"/>
                <w:szCs w:val="14"/>
              </w:rPr>
              <w:t>référence</w:t>
            </w:r>
          </w:p>
        </w:tc>
        <w:tc>
          <w:tcPr>
            <w:tcW w:w="794" w:type="dxa"/>
            <w:vMerge w:val="restart"/>
            <w:tcBorders>
              <w:top w:val="single" w:sz="12" w:space="0" w:color="auto"/>
            </w:tcBorders>
            <w:shd w:val="clear" w:color="auto" w:fill="auto"/>
            <w:vAlign w:val="center"/>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vertAlign w:val="superscript"/>
              </w:rPr>
            </w:pPr>
            <w:r w:rsidRPr="00913FB6">
              <w:rPr>
                <w:rFonts w:asciiTheme="majorBidi" w:hAnsiTheme="majorBidi" w:cstheme="majorBidi"/>
                <w:sz w:val="14"/>
                <w:szCs w:val="14"/>
              </w:rPr>
              <w:t>Essence (E5/E10)</w:t>
            </w:r>
            <w:r w:rsidRPr="00913FB6">
              <w:rPr>
                <w:rFonts w:asciiTheme="majorBidi" w:hAnsiTheme="majorBidi" w:cstheme="majorBidi"/>
                <w:i/>
                <w:iCs/>
                <w:sz w:val="14"/>
                <w:szCs w:val="14"/>
                <w:vertAlign w:val="superscript"/>
              </w:rPr>
              <w:t>4</w:t>
            </w:r>
          </w:p>
        </w:tc>
        <w:tc>
          <w:tcPr>
            <w:tcW w:w="397" w:type="dxa"/>
            <w:vMerge w:val="restart"/>
            <w:tcBorders>
              <w:top w:val="single" w:sz="12" w:space="0" w:color="auto"/>
            </w:tcBorders>
            <w:shd w:val="clear" w:color="auto" w:fill="auto"/>
            <w:vAlign w:val="center"/>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GPL</w:t>
            </w:r>
          </w:p>
        </w:tc>
        <w:tc>
          <w:tcPr>
            <w:tcW w:w="850" w:type="dxa"/>
            <w:vMerge w:val="restart"/>
            <w:tcBorders>
              <w:top w:val="single" w:sz="12" w:space="0" w:color="auto"/>
            </w:tcBorders>
            <w:shd w:val="clear" w:color="auto" w:fill="auto"/>
            <w:vAlign w:val="center"/>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GN/</w:t>
            </w:r>
            <w:r w:rsidR="00D62005" w:rsidRPr="00913FB6">
              <w:rPr>
                <w:rFonts w:asciiTheme="majorBidi" w:hAnsiTheme="majorBidi" w:cstheme="majorBidi"/>
                <w:sz w:val="14"/>
                <w:szCs w:val="14"/>
              </w:rPr>
              <w:t xml:space="preserve"> </w:t>
            </w:r>
            <w:r w:rsidRPr="00913FB6">
              <w:rPr>
                <w:rFonts w:asciiTheme="majorBidi" w:hAnsiTheme="majorBidi" w:cstheme="majorBidi"/>
                <w:sz w:val="14"/>
                <w:szCs w:val="14"/>
              </w:rPr>
              <w:t>biométhane</w:t>
            </w:r>
          </w:p>
        </w:tc>
        <w:tc>
          <w:tcPr>
            <w:tcW w:w="794" w:type="dxa"/>
            <w:vMerge w:val="restart"/>
            <w:tcBorders>
              <w:top w:val="single" w:sz="12" w:space="0" w:color="auto"/>
            </w:tcBorders>
            <w:shd w:val="clear" w:color="auto" w:fill="auto"/>
            <w:vAlign w:val="center"/>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Hydrogène</w:t>
            </w:r>
          </w:p>
        </w:tc>
        <w:tc>
          <w:tcPr>
            <w:tcW w:w="794" w:type="dxa"/>
            <w:tcBorders>
              <w:top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Essence (E5/E10)</w:t>
            </w:r>
            <w:r w:rsidRPr="00913FB6">
              <w:rPr>
                <w:rFonts w:asciiTheme="majorBidi" w:hAnsiTheme="majorBidi" w:cstheme="majorBidi"/>
                <w:i/>
                <w:iCs/>
                <w:sz w:val="14"/>
                <w:szCs w:val="14"/>
                <w:vertAlign w:val="superscript"/>
              </w:rPr>
              <w:t>4</w:t>
            </w:r>
          </w:p>
        </w:tc>
        <w:tc>
          <w:tcPr>
            <w:tcW w:w="964" w:type="dxa"/>
            <w:tcBorders>
              <w:top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Essence (E5/E10)</w:t>
            </w:r>
            <w:r w:rsidRPr="00913FB6">
              <w:rPr>
                <w:rFonts w:asciiTheme="majorBidi" w:hAnsiTheme="majorBidi" w:cstheme="majorBidi"/>
                <w:i/>
                <w:iCs/>
                <w:sz w:val="14"/>
                <w:szCs w:val="14"/>
                <w:vertAlign w:val="superscript"/>
              </w:rPr>
              <w:t>4</w:t>
            </w:r>
          </w:p>
        </w:tc>
        <w:tc>
          <w:tcPr>
            <w:tcW w:w="794" w:type="dxa"/>
            <w:tcBorders>
              <w:top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Essence (E5/E10)</w:t>
            </w:r>
            <w:r w:rsidRPr="00913FB6">
              <w:rPr>
                <w:rFonts w:asciiTheme="majorBidi" w:hAnsiTheme="majorBidi" w:cstheme="majorBidi"/>
                <w:i/>
                <w:iCs/>
                <w:sz w:val="14"/>
                <w:szCs w:val="14"/>
                <w:vertAlign w:val="superscript"/>
              </w:rPr>
              <w:t>4</w:t>
            </w:r>
          </w:p>
        </w:tc>
        <w:tc>
          <w:tcPr>
            <w:tcW w:w="1020" w:type="dxa"/>
            <w:tcBorders>
              <w:top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Essence (E5/E10)</w:t>
            </w:r>
            <w:r w:rsidRPr="00913FB6">
              <w:rPr>
                <w:rFonts w:asciiTheme="majorBidi" w:hAnsiTheme="majorBidi" w:cstheme="majorBidi"/>
                <w:i/>
                <w:iCs/>
                <w:sz w:val="14"/>
                <w:szCs w:val="14"/>
                <w:vertAlign w:val="superscript"/>
              </w:rPr>
              <w:t>4</w:t>
            </w:r>
          </w:p>
        </w:tc>
        <w:tc>
          <w:tcPr>
            <w:tcW w:w="964" w:type="dxa"/>
            <w:tcBorders>
              <w:top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Gazole (B5/B7)</w:t>
            </w:r>
            <w:r w:rsidRPr="00913FB6">
              <w:rPr>
                <w:rFonts w:asciiTheme="majorBidi" w:hAnsiTheme="majorBidi" w:cstheme="majorBidi"/>
                <w:i/>
                <w:iCs/>
                <w:sz w:val="14"/>
                <w:szCs w:val="14"/>
                <w:vertAlign w:val="superscript"/>
              </w:rPr>
              <w:t>4</w:t>
            </w:r>
          </w:p>
        </w:tc>
        <w:tc>
          <w:tcPr>
            <w:tcW w:w="1020" w:type="dxa"/>
            <w:vMerge w:val="restart"/>
            <w:tcBorders>
              <w:top w:val="single" w:sz="12" w:space="0" w:color="auto"/>
            </w:tcBorders>
            <w:shd w:val="clear" w:color="auto" w:fill="auto"/>
            <w:vAlign w:val="center"/>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Gazole (B5/B7)</w:t>
            </w:r>
            <w:r w:rsidRPr="00913FB6">
              <w:rPr>
                <w:rFonts w:asciiTheme="majorBidi" w:hAnsiTheme="majorBidi" w:cstheme="majorBidi"/>
                <w:i/>
                <w:iCs/>
                <w:sz w:val="14"/>
                <w:szCs w:val="14"/>
                <w:vertAlign w:val="superscript"/>
              </w:rPr>
              <w:t>4</w:t>
            </w:r>
          </w:p>
        </w:tc>
      </w:tr>
      <w:tr w:rsidR="00913FB6" w:rsidRPr="00913FB6" w:rsidTr="0052722F">
        <w:tc>
          <w:tcPr>
            <w:tcW w:w="1247" w:type="dxa"/>
            <w:vMerge/>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vMerge/>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397" w:type="dxa"/>
            <w:vMerge/>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850" w:type="dxa"/>
            <w:vMerge/>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vMerge/>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GPL</w:t>
            </w:r>
          </w:p>
        </w:tc>
        <w:tc>
          <w:tcPr>
            <w:tcW w:w="964" w:type="dxa"/>
            <w:shd w:val="clear" w:color="auto" w:fill="auto"/>
          </w:tcPr>
          <w:p w:rsidR="00EF3867" w:rsidRPr="00913FB6" w:rsidRDefault="00737D79"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GN/ bio</w:t>
            </w:r>
            <w:r w:rsidR="00EF3867" w:rsidRPr="00913FB6">
              <w:rPr>
                <w:rFonts w:asciiTheme="majorBidi" w:hAnsiTheme="majorBidi" w:cstheme="majorBidi"/>
                <w:sz w:val="14"/>
                <w:szCs w:val="14"/>
              </w:rPr>
              <w:t>méthane</w:t>
            </w:r>
          </w:p>
        </w:tc>
        <w:tc>
          <w:tcPr>
            <w:tcW w:w="794" w:type="dxa"/>
            <w:shd w:val="clear" w:color="auto" w:fill="auto"/>
          </w:tcPr>
          <w:p w:rsidR="00EF3867" w:rsidRPr="00913FB6" w:rsidRDefault="00D62005"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Hydrogène</w:t>
            </w:r>
          </w:p>
        </w:tc>
        <w:tc>
          <w:tcPr>
            <w:tcW w:w="102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Éthanol (E85)</w:t>
            </w:r>
          </w:p>
        </w:tc>
        <w:tc>
          <w:tcPr>
            <w:tcW w:w="96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Biogazole</w:t>
            </w:r>
          </w:p>
        </w:tc>
        <w:tc>
          <w:tcPr>
            <w:tcW w:w="1020" w:type="dxa"/>
            <w:vMerge/>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r>
      <w:tr w:rsidR="00913FB6" w:rsidRPr="00913FB6" w:rsidTr="0052722F">
        <w:tc>
          <w:tcPr>
            <w:tcW w:w="1247"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Polluants gazeux</w:t>
            </w:r>
            <w:r w:rsidR="00E01DC6" w:rsidRPr="00913FB6">
              <w:rPr>
                <w:rFonts w:asciiTheme="majorBidi" w:hAnsiTheme="majorBidi" w:cstheme="majorBidi"/>
                <w:sz w:val="14"/>
                <w:szCs w:val="14"/>
              </w:rPr>
              <w:br/>
            </w:r>
            <w:r w:rsidRPr="00913FB6">
              <w:rPr>
                <w:rFonts w:asciiTheme="majorBidi" w:hAnsiTheme="majorBidi" w:cstheme="majorBidi"/>
                <w:sz w:val="14"/>
                <w:szCs w:val="14"/>
              </w:rPr>
              <w:t>(essai du type I)</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397"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85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(les deux carburants)</w:t>
            </w:r>
          </w:p>
        </w:tc>
        <w:tc>
          <w:tcPr>
            <w:tcW w:w="96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(les deux carburants)</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r w:rsidRPr="00913FB6">
              <w:rPr>
                <w:rFonts w:asciiTheme="majorBidi" w:hAnsiTheme="majorBidi" w:cstheme="majorBidi"/>
                <w:i/>
                <w:iCs/>
                <w:sz w:val="14"/>
                <w:szCs w:val="14"/>
                <w:vertAlign w:val="superscript"/>
              </w:rPr>
              <w:t>2</w:t>
            </w:r>
          </w:p>
        </w:tc>
        <w:tc>
          <w:tcPr>
            <w:tcW w:w="102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(les deux carburants)</w:t>
            </w:r>
          </w:p>
        </w:tc>
        <w:tc>
          <w:tcPr>
            <w:tcW w:w="96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 xml:space="preserve">Oui </w:t>
            </w:r>
            <w:r w:rsidR="00D62005" w:rsidRPr="00913FB6">
              <w:rPr>
                <w:rFonts w:asciiTheme="majorBidi" w:hAnsiTheme="majorBidi" w:cstheme="majorBidi"/>
                <w:sz w:val="14"/>
                <w:szCs w:val="14"/>
              </w:rPr>
              <w:br/>
            </w:r>
            <w:r w:rsidRPr="00913FB6">
              <w:rPr>
                <w:rFonts w:asciiTheme="majorBidi" w:hAnsiTheme="majorBidi" w:cstheme="majorBidi"/>
                <w:sz w:val="14"/>
                <w:szCs w:val="14"/>
              </w:rPr>
              <w:t>(B5/B7 seulement)</w:t>
            </w:r>
            <w:r w:rsidRPr="00913FB6">
              <w:rPr>
                <w:rFonts w:asciiTheme="majorBidi" w:hAnsiTheme="majorBidi" w:cstheme="majorBidi"/>
                <w:i/>
                <w:iCs/>
                <w:sz w:val="14"/>
                <w:szCs w:val="14"/>
                <w:vertAlign w:val="superscript"/>
              </w:rPr>
              <w:t>2</w:t>
            </w:r>
            <w:r w:rsidRPr="00913FB6">
              <w:rPr>
                <w:rFonts w:asciiTheme="majorBidi" w:hAnsiTheme="majorBidi" w:cstheme="majorBidi"/>
                <w:sz w:val="14"/>
                <w:szCs w:val="14"/>
                <w:vertAlign w:val="superscript"/>
              </w:rPr>
              <w:t>,</w:t>
            </w:r>
            <w:r w:rsidRPr="00913FB6">
              <w:rPr>
                <w:rFonts w:asciiTheme="majorBidi" w:hAnsiTheme="majorBidi" w:cstheme="majorBidi"/>
                <w:i/>
                <w:iCs/>
                <w:sz w:val="14"/>
                <w:szCs w:val="14"/>
                <w:vertAlign w:val="superscript"/>
              </w:rPr>
              <w:t>4</w:t>
            </w:r>
          </w:p>
        </w:tc>
        <w:tc>
          <w:tcPr>
            <w:tcW w:w="102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r>
      <w:tr w:rsidR="00913FB6" w:rsidRPr="00913FB6" w:rsidTr="0052722F">
        <w:tc>
          <w:tcPr>
            <w:tcW w:w="1247" w:type="dxa"/>
            <w:shd w:val="clear" w:color="auto" w:fill="auto"/>
          </w:tcPr>
          <w:p w:rsidR="00EF3867" w:rsidRPr="00913FB6" w:rsidRDefault="00737D79"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Masse des </w:t>
            </w:r>
            <w:r w:rsidR="00EF3867" w:rsidRPr="00913FB6">
              <w:rPr>
                <w:rFonts w:asciiTheme="majorBidi" w:hAnsiTheme="majorBidi" w:cstheme="majorBidi"/>
                <w:sz w:val="14"/>
                <w:szCs w:val="14"/>
              </w:rPr>
              <w:t>particules</w:t>
            </w:r>
            <w:r w:rsidR="00E01DC6" w:rsidRPr="00913FB6">
              <w:rPr>
                <w:rFonts w:asciiTheme="majorBidi" w:hAnsiTheme="majorBidi" w:cstheme="majorBidi"/>
                <w:sz w:val="14"/>
                <w:szCs w:val="14"/>
              </w:rPr>
              <w:br/>
            </w:r>
            <w:r w:rsidR="00EF3867" w:rsidRPr="00913FB6">
              <w:rPr>
                <w:rFonts w:asciiTheme="majorBidi" w:hAnsiTheme="majorBidi" w:cstheme="majorBidi"/>
                <w:sz w:val="14"/>
                <w:szCs w:val="14"/>
              </w:rPr>
              <w:t>(essai du type I)</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 (injection directe seulement)</w:t>
            </w:r>
          </w:p>
        </w:tc>
        <w:tc>
          <w:tcPr>
            <w:tcW w:w="397"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850"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 (injection directe seulement)</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p>
        </w:tc>
        <w:tc>
          <w:tcPr>
            <w:tcW w:w="96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 xml:space="preserve">Oui </w:t>
            </w:r>
            <w:r w:rsidR="00D62005" w:rsidRPr="00913FB6">
              <w:rPr>
                <w:rFonts w:asciiTheme="majorBidi" w:hAnsiTheme="majorBidi" w:cstheme="majorBidi"/>
                <w:sz w:val="14"/>
                <w:szCs w:val="14"/>
              </w:rPr>
              <w:br/>
            </w:r>
            <w:r w:rsidRPr="00913FB6">
              <w:rPr>
                <w:rFonts w:asciiTheme="majorBidi" w:hAnsiTheme="majorBidi" w:cstheme="majorBidi"/>
                <w:sz w:val="14"/>
                <w:szCs w:val="14"/>
              </w:rPr>
              <w:t>(injection directe seulement)</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 (injection directe seulement)</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r w:rsidRPr="00913FB6">
              <w:rPr>
                <w:rFonts w:asciiTheme="majorBidi" w:hAnsiTheme="majorBidi" w:cstheme="majorBidi"/>
                <w:i/>
                <w:iCs/>
                <w:sz w:val="14"/>
                <w:szCs w:val="14"/>
                <w:vertAlign w:val="superscript"/>
              </w:rPr>
              <w:t>2</w:t>
            </w:r>
          </w:p>
        </w:tc>
        <w:tc>
          <w:tcPr>
            <w:tcW w:w="102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 xml:space="preserve">Oui </w:t>
            </w:r>
            <w:r w:rsidR="00D62005" w:rsidRPr="00913FB6">
              <w:rPr>
                <w:rFonts w:asciiTheme="majorBidi" w:hAnsiTheme="majorBidi" w:cstheme="majorBidi"/>
                <w:sz w:val="14"/>
                <w:szCs w:val="14"/>
              </w:rPr>
              <w:br/>
            </w:r>
            <w:r w:rsidRPr="00913FB6">
              <w:rPr>
                <w:rFonts w:asciiTheme="majorBidi" w:hAnsiTheme="majorBidi" w:cstheme="majorBidi"/>
                <w:sz w:val="14"/>
                <w:szCs w:val="14"/>
              </w:rPr>
              <w:t>(injection directe seulement)</w:t>
            </w:r>
            <w:r w:rsidR="00E01DC6" w:rsidRPr="00913FB6">
              <w:rPr>
                <w:rFonts w:asciiTheme="majorBidi" w:hAnsiTheme="majorBidi" w:cstheme="majorBidi"/>
                <w:sz w:val="14"/>
                <w:szCs w:val="14"/>
              </w:rPr>
              <w:t xml:space="preserve"> </w:t>
            </w:r>
            <w:r w:rsidR="00E01DC6" w:rsidRPr="00913FB6">
              <w:rPr>
                <w:rFonts w:asciiTheme="majorBidi" w:hAnsiTheme="majorBidi" w:cstheme="majorBidi"/>
                <w:sz w:val="14"/>
                <w:szCs w:val="14"/>
              </w:rPr>
              <w:br/>
            </w:r>
            <w:r w:rsidRPr="00913FB6">
              <w:rPr>
                <w:rFonts w:asciiTheme="majorBidi" w:hAnsiTheme="majorBidi" w:cstheme="majorBidi"/>
                <w:sz w:val="14"/>
                <w:szCs w:val="14"/>
              </w:rPr>
              <w:t>(les deux carburants)</w:t>
            </w:r>
          </w:p>
        </w:tc>
        <w:tc>
          <w:tcPr>
            <w:tcW w:w="96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 xml:space="preserve">Oui </w:t>
            </w:r>
            <w:r w:rsidR="00D62005" w:rsidRPr="00913FB6">
              <w:rPr>
                <w:rFonts w:asciiTheme="majorBidi" w:hAnsiTheme="majorBidi" w:cstheme="majorBidi"/>
                <w:sz w:val="14"/>
                <w:szCs w:val="14"/>
              </w:rPr>
              <w:br/>
            </w:r>
            <w:r w:rsidRPr="00913FB6">
              <w:rPr>
                <w:rFonts w:asciiTheme="majorBidi" w:hAnsiTheme="majorBidi" w:cstheme="majorBidi"/>
                <w:sz w:val="14"/>
                <w:szCs w:val="14"/>
              </w:rPr>
              <w:t>(B5/B7 seulement)</w:t>
            </w:r>
            <w:r w:rsidRPr="00913FB6">
              <w:rPr>
                <w:rFonts w:asciiTheme="majorBidi" w:hAnsiTheme="majorBidi" w:cstheme="majorBidi"/>
                <w:i/>
                <w:iCs/>
                <w:sz w:val="14"/>
                <w:szCs w:val="14"/>
                <w:vertAlign w:val="superscript"/>
              </w:rPr>
              <w:t>2</w:t>
            </w:r>
            <w:r w:rsidRPr="00913FB6">
              <w:rPr>
                <w:rFonts w:asciiTheme="majorBidi" w:hAnsiTheme="majorBidi" w:cstheme="majorBidi"/>
                <w:sz w:val="14"/>
                <w:szCs w:val="14"/>
                <w:vertAlign w:val="superscript"/>
              </w:rPr>
              <w:t>,</w:t>
            </w:r>
            <w:r w:rsidRPr="00913FB6">
              <w:rPr>
                <w:rFonts w:asciiTheme="majorBidi" w:hAnsiTheme="majorBidi" w:cstheme="majorBidi"/>
                <w:i/>
                <w:iCs/>
                <w:sz w:val="14"/>
                <w:szCs w:val="14"/>
                <w:vertAlign w:val="superscript"/>
              </w:rPr>
              <w:t>4</w:t>
            </w:r>
          </w:p>
        </w:tc>
        <w:tc>
          <w:tcPr>
            <w:tcW w:w="102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r>
      <w:tr w:rsidR="00913FB6" w:rsidRPr="00913FB6" w:rsidTr="0052722F">
        <w:tc>
          <w:tcPr>
            <w:tcW w:w="1247" w:type="dxa"/>
            <w:shd w:val="clear" w:color="auto" w:fill="auto"/>
          </w:tcPr>
          <w:p w:rsidR="00EF3867" w:rsidRPr="00913FB6" w:rsidRDefault="00737D79"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Nombre de </w:t>
            </w:r>
            <w:r w:rsidR="00EF3867" w:rsidRPr="00913FB6">
              <w:rPr>
                <w:rFonts w:asciiTheme="majorBidi" w:hAnsiTheme="majorBidi" w:cstheme="majorBidi"/>
                <w:sz w:val="14"/>
                <w:szCs w:val="14"/>
              </w:rPr>
              <w:t xml:space="preserve">particules </w:t>
            </w:r>
            <w:r w:rsidRPr="00913FB6">
              <w:rPr>
                <w:rFonts w:asciiTheme="majorBidi" w:hAnsiTheme="majorBidi" w:cstheme="majorBidi"/>
                <w:sz w:val="14"/>
                <w:szCs w:val="14"/>
              </w:rPr>
              <w:br/>
            </w:r>
            <w:r w:rsidR="00EF3867" w:rsidRPr="00913FB6">
              <w:rPr>
                <w:rFonts w:asciiTheme="majorBidi" w:hAnsiTheme="majorBidi" w:cstheme="majorBidi"/>
                <w:sz w:val="14"/>
                <w:szCs w:val="14"/>
              </w:rPr>
              <w:t>(essai du type I)</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397"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85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964"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794"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1020"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96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 xml:space="preserve">Oui </w:t>
            </w:r>
            <w:r w:rsidR="00D62005" w:rsidRPr="00913FB6">
              <w:rPr>
                <w:rFonts w:asciiTheme="majorBidi" w:hAnsiTheme="majorBidi" w:cstheme="majorBidi"/>
                <w:sz w:val="14"/>
                <w:szCs w:val="14"/>
              </w:rPr>
              <w:br/>
            </w:r>
            <w:r w:rsidRPr="00913FB6">
              <w:rPr>
                <w:rFonts w:asciiTheme="majorBidi" w:hAnsiTheme="majorBidi" w:cstheme="majorBidi"/>
                <w:sz w:val="14"/>
                <w:szCs w:val="14"/>
              </w:rPr>
              <w:t>(B5/B7 seulement)</w:t>
            </w:r>
            <w:r w:rsidRPr="00913FB6">
              <w:rPr>
                <w:rFonts w:asciiTheme="majorBidi" w:hAnsiTheme="majorBidi" w:cstheme="majorBidi"/>
                <w:i/>
                <w:iCs/>
                <w:sz w:val="14"/>
                <w:szCs w:val="14"/>
                <w:vertAlign w:val="superscript"/>
              </w:rPr>
              <w:t>2</w:t>
            </w:r>
            <w:r w:rsidRPr="00913FB6">
              <w:rPr>
                <w:rFonts w:asciiTheme="majorBidi" w:hAnsiTheme="majorBidi" w:cstheme="majorBidi"/>
                <w:sz w:val="14"/>
                <w:szCs w:val="14"/>
                <w:vertAlign w:val="superscript"/>
              </w:rPr>
              <w:t>,</w:t>
            </w:r>
            <w:r w:rsidRPr="00913FB6">
              <w:rPr>
                <w:rFonts w:asciiTheme="majorBidi" w:hAnsiTheme="majorBidi" w:cstheme="majorBidi"/>
                <w:i/>
                <w:iCs/>
                <w:sz w:val="14"/>
                <w:szCs w:val="14"/>
                <w:vertAlign w:val="superscript"/>
              </w:rPr>
              <w:t>4</w:t>
            </w:r>
          </w:p>
        </w:tc>
        <w:tc>
          <w:tcPr>
            <w:tcW w:w="102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r>
      <w:tr w:rsidR="00913FB6" w:rsidRPr="00913FB6" w:rsidTr="0052722F">
        <w:tc>
          <w:tcPr>
            <w:tcW w:w="1247"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Émissions au</w:t>
            </w:r>
            <w:r w:rsidR="00737D79" w:rsidRPr="00913FB6">
              <w:rPr>
                <w:rFonts w:asciiTheme="majorBidi" w:hAnsiTheme="majorBidi" w:cstheme="majorBidi"/>
                <w:sz w:val="14"/>
                <w:szCs w:val="14"/>
              </w:rPr>
              <w:t> </w:t>
            </w:r>
            <w:r w:rsidRPr="00913FB6">
              <w:rPr>
                <w:rFonts w:asciiTheme="majorBidi" w:hAnsiTheme="majorBidi" w:cstheme="majorBidi"/>
                <w:sz w:val="14"/>
                <w:szCs w:val="14"/>
              </w:rPr>
              <w:t xml:space="preserve">ralenti </w:t>
            </w:r>
            <w:r w:rsidR="00737D79" w:rsidRPr="00913FB6">
              <w:rPr>
                <w:rFonts w:asciiTheme="majorBidi" w:hAnsiTheme="majorBidi" w:cstheme="majorBidi"/>
                <w:sz w:val="14"/>
                <w:szCs w:val="14"/>
              </w:rPr>
              <w:br/>
            </w:r>
            <w:r w:rsidRPr="00913FB6">
              <w:rPr>
                <w:rFonts w:asciiTheme="majorBidi" w:hAnsiTheme="majorBidi" w:cstheme="majorBidi"/>
                <w:sz w:val="14"/>
                <w:szCs w:val="14"/>
              </w:rPr>
              <w:t>(essai</w:t>
            </w:r>
            <w:r w:rsidR="00E01DC6" w:rsidRPr="00913FB6">
              <w:rPr>
                <w:rFonts w:asciiTheme="majorBidi" w:hAnsiTheme="majorBidi" w:cstheme="majorBidi"/>
                <w:sz w:val="14"/>
                <w:szCs w:val="14"/>
              </w:rPr>
              <w:t xml:space="preserve"> </w:t>
            </w:r>
            <w:r w:rsidRPr="00913FB6">
              <w:rPr>
                <w:rFonts w:asciiTheme="majorBidi" w:hAnsiTheme="majorBidi" w:cstheme="majorBidi"/>
                <w:sz w:val="14"/>
                <w:szCs w:val="14"/>
              </w:rPr>
              <w:t>du type II)</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397"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85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(les deux carburants)</w:t>
            </w:r>
          </w:p>
        </w:tc>
        <w:tc>
          <w:tcPr>
            <w:tcW w:w="96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(les deux carburants)</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r w:rsidRPr="00913FB6">
              <w:rPr>
                <w:rFonts w:asciiTheme="majorBidi" w:hAnsiTheme="majorBidi" w:cstheme="majorBidi"/>
                <w:i/>
                <w:iCs/>
                <w:sz w:val="14"/>
                <w:szCs w:val="14"/>
                <w:vertAlign w:val="superscript"/>
              </w:rPr>
              <w:t>2</w:t>
            </w:r>
          </w:p>
        </w:tc>
        <w:tc>
          <w:tcPr>
            <w:tcW w:w="102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(les deux carburants)</w:t>
            </w:r>
          </w:p>
        </w:tc>
        <w:tc>
          <w:tcPr>
            <w:tcW w:w="964"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1020"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r>
      <w:tr w:rsidR="00913FB6" w:rsidRPr="00913FB6" w:rsidTr="0052722F">
        <w:tc>
          <w:tcPr>
            <w:tcW w:w="1247"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Émissions du</w:t>
            </w:r>
            <w:r w:rsidR="00E01DC6" w:rsidRPr="00913FB6">
              <w:rPr>
                <w:rFonts w:asciiTheme="majorBidi" w:hAnsiTheme="majorBidi" w:cstheme="majorBidi"/>
                <w:sz w:val="14"/>
                <w:szCs w:val="14"/>
              </w:rPr>
              <w:t xml:space="preserve"> </w:t>
            </w:r>
            <w:r w:rsidRPr="00913FB6">
              <w:rPr>
                <w:rFonts w:asciiTheme="majorBidi" w:hAnsiTheme="majorBidi" w:cstheme="majorBidi"/>
                <w:sz w:val="14"/>
                <w:szCs w:val="14"/>
              </w:rPr>
              <w:t>carter (essai du</w:t>
            </w:r>
            <w:r w:rsidR="00E01DC6" w:rsidRPr="00913FB6">
              <w:rPr>
                <w:rFonts w:asciiTheme="majorBidi" w:hAnsiTheme="majorBidi" w:cstheme="majorBidi"/>
                <w:sz w:val="14"/>
                <w:szCs w:val="14"/>
              </w:rPr>
              <w:t xml:space="preserve"> </w:t>
            </w:r>
            <w:r w:rsidRPr="00913FB6">
              <w:rPr>
                <w:rFonts w:asciiTheme="majorBidi" w:hAnsiTheme="majorBidi" w:cstheme="majorBidi"/>
                <w:sz w:val="14"/>
                <w:szCs w:val="14"/>
              </w:rPr>
              <w:t>type III)</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397"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85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p>
        </w:tc>
        <w:tc>
          <w:tcPr>
            <w:tcW w:w="96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r w:rsidRPr="00913FB6">
              <w:rPr>
                <w:rFonts w:asciiTheme="majorBidi" w:hAnsiTheme="majorBidi" w:cstheme="majorBidi"/>
                <w:i/>
                <w:iCs/>
                <w:sz w:val="14"/>
                <w:szCs w:val="14"/>
                <w:vertAlign w:val="superscript"/>
              </w:rPr>
              <w:t>2</w:t>
            </w:r>
          </w:p>
        </w:tc>
        <w:tc>
          <w:tcPr>
            <w:tcW w:w="102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w:t>
            </w:r>
          </w:p>
        </w:tc>
        <w:tc>
          <w:tcPr>
            <w:tcW w:w="964"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1020"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r>
      <w:tr w:rsidR="00913FB6" w:rsidRPr="00913FB6" w:rsidTr="0052722F">
        <w:tc>
          <w:tcPr>
            <w:tcW w:w="1247" w:type="dxa"/>
            <w:shd w:val="clear" w:color="auto" w:fill="auto"/>
          </w:tcPr>
          <w:p w:rsidR="00EF3867" w:rsidRPr="00913FB6" w:rsidRDefault="00737D79"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Émissions par </w:t>
            </w:r>
            <w:r w:rsidR="00EF3867" w:rsidRPr="00913FB6">
              <w:rPr>
                <w:rFonts w:asciiTheme="majorBidi" w:hAnsiTheme="majorBidi" w:cstheme="majorBidi"/>
                <w:sz w:val="14"/>
                <w:szCs w:val="14"/>
              </w:rPr>
              <w:t>évaporation</w:t>
            </w:r>
            <w:r w:rsidR="00E01DC6" w:rsidRPr="00913FB6">
              <w:rPr>
                <w:rFonts w:asciiTheme="majorBidi" w:hAnsiTheme="majorBidi" w:cstheme="majorBidi"/>
                <w:sz w:val="14"/>
                <w:szCs w:val="14"/>
              </w:rPr>
              <w:t xml:space="preserve"> </w:t>
            </w:r>
            <w:r w:rsidR="00E01DC6" w:rsidRPr="00913FB6">
              <w:rPr>
                <w:rFonts w:asciiTheme="majorBidi" w:hAnsiTheme="majorBidi" w:cstheme="majorBidi"/>
                <w:sz w:val="14"/>
                <w:szCs w:val="14"/>
              </w:rPr>
              <w:br/>
            </w:r>
            <w:r w:rsidR="00EF3867" w:rsidRPr="00913FB6">
              <w:rPr>
                <w:rFonts w:asciiTheme="majorBidi" w:hAnsiTheme="majorBidi" w:cstheme="majorBidi"/>
                <w:sz w:val="14"/>
                <w:szCs w:val="14"/>
              </w:rPr>
              <w:t>(essai du type IV)</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397"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850"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p>
        </w:tc>
        <w:tc>
          <w:tcPr>
            <w:tcW w:w="96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r w:rsidRPr="00913FB6">
              <w:rPr>
                <w:rFonts w:asciiTheme="majorBidi" w:hAnsiTheme="majorBidi" w:cstheme="majorBidi"/>
                <w:i/>
                <w:iCs/>
                <w:sz w:val="14"/>
                <w:szCs w:val="14"/>
                <w:vertAlign w:val="superscript"/>
              </w:rPr>
              <w:t>2</w:t>
            </w:r>
          </w:p>
        </w:tc>
        <w:tc>
          <w:tcPr>
            <w:tcW w:w="102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w:t>
            </w:r>
          </w:p>
        </w:tc>
        <w:tc>
          <w:tcPr>
            <w:tcW w:w="964"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1020"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r>
      <w:tr w:rsidR="00913FB6" w:rsidRPr="00913FB6" w:rsidTr="0052722F">
        <w:tc>
          <w:tcPr>
            <w:tcW w:w="1247"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Durabilité</w:t>
            </w:r>
            <w:r w:rsidR="00E01DC6" w:rsidRPr="00913FB6">
              <w:rPr>
                <w:rFonts w:asciiTheme="majorBidi" w:hAnsiTheme="majorBidi" w:cstheme="majorBidi"/>
                <w:sz w:val="14"/>
                <w:szCs w:val="14"/>
              </w:rPr>
              <w:br/>
            </w:r>
            <w:r w:rsidRPr="00913FB6">
              <w:rPr>
                <w:rFonts w:asciiTheme="majorBidi" w:hAnsiTheme="majorBidi" w:cstheme="majorBidi"/>
                <w:sz w:val="14"/>
                <w:szCs w:val="14"/>
              </w:rPr>
              <w:t>(essai du type V)</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397"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85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p>
        </w:tc>
        <w:tc>
          <w:tcPr>
            <w:tcW w:w="96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r w:rsidRPr="00913FB6">
              <w:rPr>
                <w:rFonts w:asciiTheme="majorBidi" w:hAnsiTheme="majorBidi" w:cstheme="majorBidi"/>
                <w:i/>
                <w:iCs/>
                <w:sz w:val="14"/>
                <w:szCs w:val="14"/>
                <w:vertAlign w:val="superscript"/>
              </w:rPr>
              <w:t>2</w:t>
            </w:r>
          </w:p>
        </w:tc>
        <w:tc>
          <w:tcPr>
            <w:tcW w:w="102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w:t>
            </w:r>
          </w:p>
        </w:tc>
        <w:tc>
          <w:tcPr>
            <w:tcW w:w="96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 (B5/B7 seulement)</w:t>
            </w:r>
            <w:r w:rsidRPr="00913FB6">
              <w:rPr>
                <w:rFonts w:asciiTheme="majorBidi" w:hAnsiTheme="majorBidi" w:cstheme="majorBidi"/>
                <w:i/>
                <w:iCs/>
                <w:sz w:val="14"/>
                <w:szCs w:val="14"/>
                <w:vertAlign w:val="superscript"/>
              </w:rPr>
              <w:t>2</w:t>
            </w:r>
            <w:r w:rsidRPr="00913FB6">
              <w:rPr>
                <w:rFonts w:asciiTheme="majorBidi" w:hAnsiTheme="majorBidi" w:cstheme="majorBidi"/>
                <w:sz w:val="14"/>
                <w:szCs w:val="14"/>
                <w:vertAlign w:val="superscript"/>
              </w:rPr>
              <w:t>,</w:t>
            </w:r>
            <w:r w:rsidRPr="00913FB6">
              <w:rPr>
                <w:rFonts w:asciiTheme="majorBidi" w:hAnsiTheme="majorBidi" w:cstheme="majorBidi"/>
                <w:i/>
                <w:iCs/>
                <w:sz w:val="14"/>
                <w:szCs w:val="14"/>
                <w:vertAlign w:val="superscript"/>
              </w:rPr>
              <w:t>4</w:t>
            </w:r>
          </w:p>
        </w:tc>
        <w:tc>
          <w:tcPr>
            <w:tcW w:w="102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r>
      <w:tr w:rsidR="00913FB6" w:rsidRPr="00913FB6" w:rsidTr="0052722F">
        <w:tc>
          <w:tcPr>
            <w:tcW w:w="1247"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lastRenderedPageBreak/>
              <w:t>Émissions à basse température</w:t>
            </w:r>
            <w:r w:rsidR="00E01DC6" w:rsidRPr="00913FB6">
              <w:rPr>
                <w:rFonts w:asciiTheme="majorBidi" w:hAnsiTheme="majorBidi" w:cstheme="majorBidi"/>
                <w:sz w:val="14"/>
                <w:szCs w:val="14"/>
              </w:rPr>
              <w:br/>
            </w:r>
            <w:r w:rsidRPr="00913FB6">
              <w:rPr>
                <w:rFonts w:asciiTheme="majorBidi" w:hAnsiTheme="majorBidi" w:cstheme="majorBidi"/>
                <w:sz w:val="14"/>
                <w:szCs w:val="14"/>
              </w:rPr>
              <w:t>(essai du type VI)</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397"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850"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p>
        </w:tc>
        <w:tc>
          <w:tcPr>
            <w:tcW w:w="96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p>
        </w:tc>
        <w:tc>
          <w:tcPr>
            <w:tcW w:w="794"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r w:rsidRPr="00913FB6">
              <w:rPr>
                <w:rFonts w:asciiTheme="majorBidi" w:hAnsiTheme="majorBidi" w:cstheme="majorBidi"/>
                <w:i/>
                <w:iCs/>
                <w:sz w:val="14"/>
                <w:szCs w:val="14"/>
                <w:vertAlign w:val="superscript"/>
              </w:rPr>
              <w:t>2</w:t>
            </w:r>
          </w:p>
        </w:tc>
        <w:tc>
          <w:tcPr>
            <w:tcW w:w="1020" w:type="dxa"/>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(les deux carburants)</w:t>
            </w:r>
            <w:r w:rsidRPr="00913FB6">
              <w:rPr>
                <w:rFonts w:asciiTheme="majorBidi" w:hAnsiTheme="majorBidi" w:cstheme="majorBidi"/>
                <w:i/>
                <w:iCs/>
                <w:sz w:val="14"/>
                <w:szCs w:val="14"/>
                <w:vertAlign w:val="superscript"/>
              </w:rPr>
              <w:t>3</w:t>
            </w:r>
          </w:p>
        </w:tc>
        <w:tc>
          <w:tcPr>
            <w:tcW w:w="964"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c>
          <w:tcPr>
            <w:tcW w:w="1020" w:type="dxa"/>
            <w:shd w:val="clear" w:color="auto" w:fill="auto"/>
          </w:tcPr>
          <w:p w:rsidR="00EF3867" w:rsidRPr="00913FB6" w:rsidRDefault="00E01DC6"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w:t>
            </w:r>
          </w:p>
        </w:tc>
      </w:tr>
      <w:tr w:rsidR="00913FB6" w:rsidRPr="00913FB6" w:rsidTr="0052722F">
        <w:tc>
          <w:tcPr>
            <w:tcW w:w="1247" w:type="dxa"/>
            <w:tcBorders>
              <w:bottom w:val="single" w:sz="2" w:space="0" w:color="auto"/>
            </w:tcBorders>
            <w:shd w:val="clear" w:color="auto" w:fill="auto"/>
          </w:tcPr>
          <w:p w:rsidR="00EF3867" w:rsidRPr="00913FB6" w:rsidRDefault="00737D79"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Conformité en </w:t>
            </w:r>
            <w:r w:rsidR="00EF3867" w:rsidRPr="00913FB6">
              <w:rPr>
                <w:rFonts w:asciiTheme="majorBidi" w:hAnsiTheme="majorBidi" w:cstheme="majorBidi"/>
                <w:sz w:val="14"/>
                <w:szCs w:val="14"/>
              </w:rPr>
              <w:t>service</w:t>
            </w:r>
          </w:p>
        </w:tc>
        <w:tc>
          <w:tcPr>
            <w:tcW w:w="794" w:type="dxa"/>
            <w:tcBorders>
              <w:bottom w:val="single" w:sz="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397" w:type="dxa"/>
            <w:tcBorders>
              <w:bottom w:val="single" w:sz="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850" w:type="dxa"/>
            <w:tcBorders>
              <w:bottom w:val="single" w:sz="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794" w:type="dxa"/>
            <w:tcBorders>
              <w:bottom w:val="single" w:sz="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tcBorders>
              <w:bottom w:val="single" w:sz="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(les deux carburants)</w:t>
            </w:r>
          </w:p>
        </w:tc>
        <w:tc>
          <w:tcPr>
            <w:tcW w:w="964" w:type="dxa"/>
            <w:tcBorders>
              <w:bottom w:val="single" w:sz="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(les deux carburants)</w:t>
            </w:r>
          </w:p>
        </w:tc>
        <w:tc>
          <w:tcPr>
            <w:tcW w:w="794" w:type="dxa"/>
            <w:tcBorders>
              <w:bottom w:val="single" w:sz="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(essence seulement)</w:t>
            </w:r>
            <w:r w:rsidRPr="00913FB6">
              <w:rPr>
                <w:rFonts w:asciiTheme="majorBidi" w:hAnsiTheme="majorBidi" w:cstheme="majorBidi"/>
                <w:i/>
                <w:iCs/>
                <w:sz w:val="14"/>
                <w:szCs w:val="14"/>
                <w:vertAlign w:val="superscript"/>
              </w:rPr>
              <w:t>2</w:t>
            </w:r>
          </w:p>
        </w:tc>
        <w:tc>
          <w:tcPr>
            <w:tcW w:w="1020" w:type="dxa"/>
            <w:tcBorders>
              <w:bottom w:val="single" w:sz="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r w:rsidR="00E01DC6" w:rsidRPr="00913FB6">
              <w:rPr>
                <w:rFonts w:asciiTheme="majorBidi" w:hAnsiTheme="majorBidi" w:cstheme="majorBidi"/>
                <w:sz w:val="14"/>
                <w:szCs w:val="14"/>
              </w:rPr>
              <w:br/>
            </w:r>
            <w:r w:rsidRPr="00913FB6">
              <w:rPr>
                <w:rFonts w:asciiTheme="majorBidi" w:hAnsiTheme="majorBidi" w:cstheme="majorBidi"/>
                <w:sz w:val="14"/>
                <w:szCs w:val="14"/>
              </w:rPr>
              <w:t>(les deux carburants)</w:t>
            </w:r>
          </w:p>
        </w:tc>
        <w:tc>
          <w:tcPr>
            <w:tcW w:w="964" w:type="dxa"/>
            <w:tcBorders>
              <w:bottom w:val="single" w:sz="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 (B5/B7 seulement)</w:t>
            </w:r>
            <w:r w:rsidRPr="00913FB6">
              <w:rPr>
                <w:rFonts w:asciiTheme="majorBidi" w:hAnsiTheme="majorBidi" w:cstheme="majorBidi"/>
                <w:i/>
                <w:iCs/>
                <w:sz w:val="14"/>
                <w:szCs w:val="14"/>
                <w:vertAlign w:val="superscript"/>
              </w:rPr>
              <w:t>2</w:t>
            </w:r>
            <w:r w:rsidRPr="00913FB6">
              <w:rPr>
                <w:rFonts w:asciiTheme="majorBidi" w:hAnsiTheme="majorBidi" w:cstheme="majorBidi"/>
                <w:sz w:val="14"/>
                <w:szCs w:val="14"/>
                <w:vertAlign w:val="superscript"/>
              </w:rPr>
              <w:t>,</w:t>
            </w:r>
            <w:r w:rsidRPr="00913FB6">
              <w:rPr>
                <w:rFonts w:asciiTheme="majorBidi" w:hAnsiTheme="majorBidi" w:cstheme="majorBidi"/>
                <w:i/>
                <w:iCs/>
                <w:sz w:val="14"/>
                <w:szCs w:val="14"/>
                <w:vertAlign w:val="superscript"/>
              </w:rPr>
              <w:t>4</w:t>
            </w:r>
          </w:p>
        </w:tc>
        <w:tc>
          <w:tcPr>
            <w:tcW w:w="1020" w:type="dxa"/>
            <w:tcBorders>
              <w:bottom w:val="single" w:sz="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r>
      <w:tr w:rsidR="00913FB6" w:rsidRPr="00913FB6" w:rsidTr="0052722F">
        <w:tc>
          <w:tcPr>
            <w:tcW w:w="1247" w:type="dxa"/>
            <w:tcBorders>
              <w:bottom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Diagnostics</w:t>
            </w:r>
            <w:r w:rsidR="00E01DC6" w:rsidRPr="00913FB6">
              <w:rPr>
                <w:rFonts w:asciiTheme="majorBidi" w:hAnsiTheme="majorBidi" w:cstheme="majorBidi"/>
                <w:sz w:val="14"/>
                <w:szCs w:val="14"/>
              </w:rPr>
              <w:t xml:space="preserve"> </w:t>
            </w:r>
            <w:r w:rsidRPr="00913FB6">
              <w:rPr>
                <w:rFonts w:asciiTheme="majorBidi" w:hAnsiTheme="majorBidi" w:cstheme="majorBidi"/>
                <w:sz w:val="14"/>
                <w:szCs w:val="14"/>
              </w:rPr>
              <w:t>embarqués</w:t>
            </w:r>
          </w:p>
        </w:tc>
        <w:tc>
          <w:tcPr>
            <w:tcW w:w="794" w:type="dxa"/>
            <w:tcBorders>
              <w:bottom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397" w:type="dxa"/>
            <w:tcBorders>
              <w:bottom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850" w:type="dxa"/>
            <w:tcBorders>
              <w:bottom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794" w:type="dxa"/>
            <w:tcBorders>
              <w:bottom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p>
        </w:tc>
        <w:tc>
          <w:tcPr>
            <w:tcW w:w="794" w:type="dxa"/>
            <w:tcBorders>
              <w:bottom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964" w:type="dxa"/>
            <w:tcBorders>
              <w:bottom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794" w:type="dxa"/>
            <w:tcBorders>
              <w:bottom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1020" w:type="dxa"/>
            <w:tcBorders>
              <w:bottom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964" w:type="dxa"/>
            <w:tcBorders>
              <w:bottom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c>
          <w:tcPr>
            <w:tcW w:w="1020" w:type="dxa"/>
            <w:tcBorders>
              <w:bottom w:val="single" w:sz="12" w:space="0" w:color="auto"/>
            </w:tcBorders>
            <w:shd w:val="clear" w:color="auto" w:fill="auto"/>
          </w:tcPr>
          <w:p w:rsidR="00EF3867" w:rsidRPr="00913FB6" w:rsidRDefault="00EF3867" w:rsidP="00737D79">
            <w:pPr>
              <w:widowControl w:val="0"/>
              <w:suppressAutoHyphens w:val="0"/>
              <w:spacing w:before="60" w:after="60" w:line="200" w:lineRule="atLeast"/>
              <w:ind w:left="57" w:right="57"/>
              <w:rPr>
                <w:rFonts w:asciiTheme="majorBidi" w:hAnsiTheme="majorBidi" w:cstheme="majorBidi"/>
                <w:sz w:val="14"/>
                <w:szCs w:val="14"/>
              </w:rPr>
            </w:pPr>
            <w:r w:rsidRPr="00913FB6">
              <w:rPr>
                <w:rFonts w:asciiTheme="majorBidi" w:hAnsiTheme="majorBidi" w:cstheme="majorBidi"/>
                <w:sz w:val="14"/>
                <w:szCs w:val="14"/>
              </w:rPr>
              <w:t>Oui</w:t>
            </w:r>
          </w:p>
        </w:tc>
      </w:tr>
    </w:tbl>
    <w:p w:rsidR="00F812D4" w:rsidRPr="00913FB6" w:rsidRDefault="00E01DC6" w:rsidP="0025768C">
      <w:pPr>
        <w:pStyle w:val="FootnoteText"/>
        <w:spacing w:before="120"/>
        <w:ind w:left="0" w:right="0" w:firstLine="170"/>
      </w:pPr>
      <w:r w:rsidRPr="00913FB6">
        <w:rPr>
          <w:vertAlign w:val="superscript"/>
        </w:rPr>
        <w:t>1</w:t>
      </w:r>
      <w:r w:rsidR="00F812D4" w:rsidRPr="00913FB6">
        <w:t xml:space="preserve">  Lorsqu’un véhicule bicarburant est combiné à un véhicule polycarburant, les deux prescriptions d’essai s’appliquent.</w:t>
      </w:r>
    </w:p>
    <w:p w:rsidR="00F812D4" w:rsidRPr="00913FB6" w:rsidRDefault="00F812D4" w:rsidP="0025768C">
      <w:pPr>
        <w:pStyle w:val="FootnoteText"/>
        <w:ind w:left="0" w:right="0" w:firstLine="170"/>
      </w:pPr>
      <w:r w:rsidRPr="00913FB6">
        <w:rPr>
          <w:vertAlign w:val="superscript"/>
        </w:rPr>
        <w:t>2</w:t>
      </w:r>
      <w:r w:rsidRPr="00913FB6">
        <w:t xml:space="preserve">  Cette prescription est provisoire. D’autres prescriptions pour le biogazole et l’hydrogène seront proposées ultérieurement.</w:t>
      </w:r>
    </w:p>
    <w:p w:rsidR="00F812D4" w:rsidRPr="00913FB6" w:rsidRDefault="00F812D4" w:rsidP="0025768C">
      <w:pPr>
        <w:pStyle w:val="FootnoteText"/>
        <w:ind w:left="0" w:right="0" w:firstLine="170"/>
      </w:pPr>
      <w:r w:rsidRPr="00913FB6">
        <w:rPr>
          <w:vertAlign w:val="superscript"/>
        </w:rPr>
        <w:t>3</w:t>
      </w:r>
      <w:r w:rsidRPr="00913FB6">
        <w:t xml:space="preserve">  Le carburant de référence E75 prescrit à l’annexe 10 doit être utilisé.</w:t>
      </w:r>
    </w:p>
    <w:p w:rsidR="00F812D4" w:rsidRPr="00913FB6" w:rsidRDefault="00F812D4" w:rsidP="0025768C">
      <w:pPr>
        <w:pStyle w:val="FootnoteText"/>
        <w:spacing w:after="240"/>
        <w:ind w:left="0" w:right="0" w:firstLine="170"/>
      </w:pPr>
      <w:r w:rsidRPr="00913FB6">
        <w:rPr>
          <w:vertAlign w:val="superscript"/>
        </w:rPr>
        <w:t>4</w:t>
      </w:r>
      <w:r w:rsidRPr="00913FB6">
        <w:t xml:space="preserve">  Au choix du fabricant. Les véhicules à moteurs à allumage commandé et à allumage par compression peuvent être essayés avec soit les carburants E5 ou E10, soit les carburants B5 ou B7, respectivement.</w:t>
      </w:r>
      <w:r w:rsidRPr="00913FB6">
        <w:rPr>
          <w:sz w:val="20"/>
        </w:rPr>
        <w:t>».</w:t>
      </w:r>
    </w:p>
    <w:p w:rsidR="00EF3867" w:rsidRPr="00913FB6" w:rsidRDefault="00EF3867" w:rsidP="00F812D4">
      <w:pPr>
        <w:pStyle w:val="SingleTxtG"/>
        <w:keepNext/>
      </w:pPr>
      <w:r w:rsidRPr="00913FB6">
        <w:rPr>
          <w:i/>
          <w:iCs/>
        </w:rPr>
        <w:t>Paragraphe 5.3.7.3</w:t>
      </w:r>
      <w:r w:rsidRPr="00913FB6">
        <w:t xml:space="preserve">, modifier comme suit: </w:t>
      </w:r>
    </w:p>
    <w:p w:rsidR="00EF3867" w:rsidRPr="00913FB6" w:rsidRDefault="00EF3867" w:rsidP="00C60A6D">
      <w:pPr>
        <w:pStyle w:val="SingleTxtG"/>
        <w:ind w:left="2268" w:hanging="1134"/>
        <w:rPr>
          <w:rFonts w:asciiTheme="majorBidi" w:hAnsiTheme="majorBidi" w:cstheme="majorBidi"/>
          <w:szCs w:val="24"/>
        </w:rPr>
      </w:pPr>
      <w:r w:rsidRPr="00913FB6">
        <w:rPr>
          <w:rFonts w:asciiTheme="majorBidi" w:hAnsiTheme="majorBidi" w:cstheme="majorBidi"/>
          <w:szCs w:val="24"/>
        </w:rPr>
        <w:t>«5.3.7.3</w:t>
      </w:r>
      <w:r w:rsidRPr="00913FB6">
        <w:rPr>
          <w:rFonts w:asciiTheme="majorBidi" w:hAnsiTheme="majorBidi" w:cstheme="majorBidi"/>
          <w:szCs w:val="24"/>
        </w:rPr>
        <w:tab/>
        <w:t>…</w:t>
      </w:r>
    </w:p>
    <w:p w:rsidR="00EF3867" w:rsidRPr="00913FB6" w:rsidRDefault="00737D79" w:rsidP="00F812D4">
      <w:pPr>
        <w:pStyle w:val="SingleTxtG"/>
        <w:ind w:left="2268"/>
        <w:rPr>
          <w:i/>
          <w:szCs w:val="24"/>
        </w:rPr>
      </w:pPr>
      <w:r w:rsidRPr="00913FB6">
        <w:rPr>
          <w:position w:val="-52"/>
        </w:rPr>
        <w:object w:dxaOrig="5480"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05pt;height:84.9pt" o:ole="">
            <v:imagedata r:id="rId9" o:title=""/>
          </v:shape>
          <o:OLEObject Type="Embed" ProgID="Equation.3" ShapeID="_x0000_i1025" DrawAspect="Content" ObjectID="_1493725703" r:id="rId10"/>
        </w:object>
      </w:r>
    </w:p>
    <w:p w:rsidR="00EF3867" w:rsidRPr="00913FB6" w:rsidRDefault="00EF3867" w:rsidP="007E2C27">
      <w:pPr>
        <w:pStyle w:val="SingleTxtG"/>
        <w:ind w:left="2268"/>
      </w:pPr>
      <w:r w:rsidRPr="00913FB6">
        <w:t>Où:</w:t>
      </w:r>
    </w:p>
    <w:p w:rsidR="00F812D4" w:rsidRPr="00913FB6" w:rsidRDefault="00F812D4" w:rsidP="00600BA6">
      <w:pPr>
        <w:pStyle w:val="SingleTxtG"/>
        <w:tabs>
          <w:tab w:val="left" w:pos="2608"/>
          <w:tab w:val="left" w:pos="2835"/>
        </w:tabs>
        <w:ind w:left="3402" w:hanging="1134"/>
        <w:rPr>
          <w:rFonts w:asciiTheme="majorBidi" w:hAnsiTheme="majorBidi" w:cstheme="majorBidi"/>
          <w:szCs w:val="24"/>
        </w:rPr>
      </w:pPr>
      <w:r w:rsidRPr="00913FB6">
        <w:rPr>
          <w:rFonts w:asciiTheme="majorBidi" w:hAnsiTheme="majorBidi" w:cstheme="majorBidi"/>
          <w:szCs w:val="24"/>
        </w:rPr>
        <w:t>[ ]</w:t>
      </w:r>
      <w:r w:rsidRPr="00913FB6">
        <w:rPr>
          <w:rFonts w:asciiTheme="majorBidi" w:hAnsiTheme="majorBidi" w:cstheme="majorBidi"/>
          <w:szCs w:val="24"/>
        </w:rPr>
        <w:tab/>
      </w:r>
      <w:r w:rsidR="00600BA6" w:rsidRPr="00913FB6">
        <w:rPr>
          <w:rFonts w:asciiTheme="majorBidi" w:hAnsiTheme="majorBidi" w:cstheme="majorBidi"/>
          <w:szCs w:val="24"/>
        </w:rPr>
        <w:t>=</w:t>
      </w:r>
      <w:r w:rsidRPr="00913FB6">
        <w:rPr>
          <w:rFonts w:asciiTheme="majorBidi" w:hAnsiTheme="majorBidi" w:cstheme="majorBidi"/>
          <w:szCs w:val="24"/>
        </w:rPr>
        <w:tab/>
        <w:t>concentration en % vol,</w:t>
      </w:r>
    </w:p>
    <w:p w:rsidR="00F812D4" w:rsidRPr="00913FB6" w:rsidRDefault="00F812D4" w:rsidP="00604883">
      <w:pPr>
        <w:pStyle w:val="SingleTxtG"/>
        <w:tabs>
          <w:tab w:val="left" w:pos="2608"/>
          <w:tab w:val="left" w:pos="2835"/>
        </w:tabs>
        <w:ind w:left="2835" w:hanging="567"/>
        <w:rPr>
          <w:rFonts w:asciiTheme="majorBidi" w:hAnsiTheme="majorBidi" w:cstheme="majorBidi"/>
          <w:szCs w:val="24"/>
        </w:rPr>
      </w:pPr>
      <w:r w:rsidRPr="00913FB6">
        <w:rPr>
          <w:rFonts w:asciiTheme="majorBidi" w:hAnsiTheme="majorBidi" w:cstheme="majorBidi"/>
          <w:szCs w:val="24"/>
        </w:rPr>
        <w:t>K1</w:t>
      </w:r>
      <w:r w:rsidR="00604883" w:rsidRPr="00913FB6">
        <w:rPr>
          <w:rFonts w:asciiTheme="majorBidi" w:hAnsiTheme="majorBidi" w:cstheme="majorBidi"/>
          <w:szCs w:val="24"/>
        </w:rPr>
        <w:tab/>
      </w:r>
      <w:r w:rsidRPr="00913FB6">
        <w:rPr>
          <w:rFonts w:asciiTheme="majorBidi" w:hAnsiTheme="majorBidi" w:cstheme="majorBidi"/>
          <w:szCs w:val="24"/>
        </w:rPr>
        <w:t>=</w:t>
      </w:r>
      <w:r w:rsidRPr="00913FB6">
        <w:rPr>
          <w:rFonts w:asciiTheme="majorBidi" w:hAnsiTheme="majorBidi" w:cstheme="majorBidi"/>
          <w:szCs w:val="24"/>
        </w:rPr>
        <w:tab/>
        <w:t>facteur de conversion de la mesure au moyen d’un analyseur de gaz infrarouge non dispersif (NDIR) dans la mesure au moyen d’un détecteur à ionisation de flamme (FID) (communiqué par le fabricant de l’appareillage de mesure),</w:t>
      </w:r>
    </w:p>
    <w:p w:rsidR="00F812D4" w:rsidRPr="00913FB6" w:rsidRDefault="00F812D4" w:rsidP="00604883">
      <w:pPr>
        <w:pStyle w:val="SingleTxtG"/>
        <w:tabs>
          <w:tab w:val="left" w:pos="2608"/>
          <w:tab w:val="left" w:pos="2835"/>
        </w:tabs>
        <w:ind w:left="3402" w:hanging="1134"/>
        <w:rPr>
          <w:rFonts w:asciiTheme="majorBidi" w:hAnsiTheme="majorBidi" w:cstheme="majorBidi"/>
          <w:szCs w:val="24"/>
        </w:rPr>
      </w:pPr>
      <w:r w:rsidRPr="00913FB6">
        <w:rPr>
          <w:rFonts w:asciiTheme="majorBidi" w:hAnsiTheme="majorBidi" w:cstheme="majorBidi"/>
          <w:szCs w:val="24"/>
        </w:rPr>
        <w:t>H</w:t>
      </w:r>
      <w:r w:rsidRPr="00913FB6">
        <w:rPr>
          <w:rFonts w:asciiTheme="majorBidi" w:hAnsiTheme="majorBidi" w:cstheme="majorBidi"/>
          <w:szCs w:val="24"/>
          <w:vertAlign w:val="subscript"/>
        </w:rPr>
        <w:t>cv</w:t>
      </w:r>
      <w:r w:rsidRPr="00913FB6">
        <w:rPr>
          <w:rFonts w:asciiTheme="majorBidi" w:hAnsiTheme="majorBidi" w:cstheme="majorBidi"/>
          <w:szCs w:val="24"/>
          <w:vertAlign w:val="subscript"/>
        </w:rPr>
        <w:tab/>
      </w:r>
      <w:r w:rsidRPr="00913FB6">
        <w:rPr>
          <w:rFonts w:asciiTheme="majorBidi" w:hAnsiTheme="majorBidi" w:cstheme="majorBidi"/>
          <w:szCs w:val="24"/>
        </w:rPr>
        <w:t>=</w:t>
      </w:r>
      <w:r w:rsidRPr="00913FB6">
        <w:rPr>
          <w:rFonts w:asciiTheme="majorBidi" w:hAnsiTheme="majorBidi" w:cstheme="majorBidi"/>
          <w:szCs w:val="24"/>
          <w:vertAlign w:val="subscript"/>
        </w:rPr>
        <w:tab/>
      </w:r>
      <w:r w:rsidRPr="00913FB6">
        <w:rPr>
          <w:rFonts w:asciiTheme="majorBidi" w:hAnsiTheme="majorBidi" w:cstheme="majorBidi"/>
          <w:szCs w:val="24"/>
        </w:rPr>
        <w:t>rapport atomique hydrogène/carbone:</w:t>
      </w:r>
    </w:p>
    <w:p w:rsidR="00F812D4" w:rsidRPr="00913FB6" w:rsidRDefault="00F812D4" w:rsidP="00604883">
      <w:pPr>
        <w:pStyle w:val="SingleTxtG"/>
        <w:ind w:left="2835"/>
      </w:pPr>
      <w:r w:rsidRPr="00913FB6">
        <w:t>a) pour l’essence (E5) 1,89;</w:t>
      </w:r>
    </w:p>
    <w:p w:rsidR="00F812D4" w:rsidRPr="00913FB6" w:rsidRDefault="00F812D4" w:rsidP="00604883">
      <w:pPr>
        <w:pStyle w:val="SingleTxtG"/>
        <w:ind w:left="2835"/>
      </w:pPr>
      <w:r w:rsidRPr="00913FB6">
        <w:t>b) pour l’essence (E10) 1,93;</w:t>
      </w:r>
    </w:p>
    <w:p w:rsidR="00F812D4" w:rsidRPr="00913FB6" w:rsidRDefault="00F812D4" w:rsidP="00604883">
      <w:pPr>
        <w:pStyle w:val="SingleTxtG"/>
        <w:ind w:left="2835"/>
      </w:pPr>
      <w:r w:rsidRPr="00913FB6">
        <w:t>c) pour le GPL 2,53;</w:t>
      </w:r>
    </w:p>
    <w:p w:rsidR="00F812D4" w:rsidRPr="00913FB6" w:rsidRDefault="00F812D4" w:rsidP="00604883">
      <w:pPr>
        <w:pStyle w:val="SingleTxtG"/>
        <w:ind w:left="2835"/>
      </w:pPr>
      <w:r w:rsidRPr="00913FB6">
        <w:t>d) pour le GN/biométhane 4,00;</w:t>
      </w:r>
    </w:p>
    <w:p w:rsidR="00F812D4" w:rsidRPr="00913FB6" w:rsidRDefault="00F812D4" w:rsidP="00604883">
      <w:pPr>
        <w:pStyle w:val="SingleTxtG"/>
        <w:ind w:left="2835"/>
      </w:pPr>
      <w:r w:rsidRPr="00913FB6">
        <w:t>e) pour l’éthanol (E85) 2,74;</w:t>
      </w:r>
    </w:p>
    <w:p w:rsidR="00F812D4" w:rsidRPr="00913FB6" w:rsidRDefault="00604883" w:rsidP="00604883">
      <w:pPr>
        <w:pStyle w:val="SingleTxtG"/>
        <w:ind w:left="2835"/>
      </w:pPr>
      <w:r w:rsidRPr="00913FB6">
        <w:t>f) pour l’éthanol (E75) 2,61,</w:t>
      </w:r>
    </w:p>
    <w:p w:rsidR="00F812D4" w:rsidRPr="00913FB6" w:rsidRDefault="00604883" w:rsidP="00604883">
      <w:pPr>
        <w:pStyle w:val="SingleTxtG"/>
        <w:tabs>
          <w:tab w:val="left" w:pos="2608"/>
          <w:tab w:val="left" w:pos="2835"/>
        </w:tabs>
        <w:ind w:left="3402" w:hanging="1134"/>
        <w:rPr>
          <w:rFonts w:asciiTheme="majorBidi" w:hAnsiTheme="majorBidi" w:cstheme="majorBidi"/>
          <w:szCs w:val="24"/>
        </w:rPr>
      </w:pPr>
      <w:r w:rsidRPr="00913FB6">
        <w:rPr>
          <w:rFonts w:asciiTheme="majorBidi" w:hAnsiTheme="majorBidi" w:cstheme="majorBidi"/>
          <w:szCs w:val="24"/>
        </w:rPr>
        <w:t>O</w:t>
      </w:r>
      <w:r w:rsidRPr="00913FB6">
        <w:rPr>
          <w:rFonts w:asciiTheme="majorBidi" w:hAnsiTheme="majorBidi" w:cstheme="majorBidi"/>
          <w:szCs w:val="24"/>
          <w:vertAlign w:val="subscript"/>
        </w:rPr>
        <w:t>cv</w:t>
      </w:r>
      <w:r w:rsidRPr="00913FB6">
        <w:rPr>
          <w:rFonts w:asciiTheme="majorBidi" w:hAnsiTheme="majorBidi" w:cstheme="majorBidi"/>
          <w:szCs w:val="24"/>
          <w:vertAlign w:val="subscript"/>
        </w:rPr>
        <w:tab/>
      </w:r>
      <w:r w:rsidRPr="00913FB6">
        <w:rPr>
          <w:rFonts w:asciiTheme="majorBidi" w:hAnsiTheme="majorBidi" w:cstheme="majorBidi"/>
          <w:szCs w:val="24"/>
        </w:rPr>
        <w:t>=</w:t>
      </w:r>
      <w:r w:rsidRPr="00913FB6">
        <w:rPr>
          <w:rFonts w:asciiTheme="majorBidi" w:hAnsiTheme="majorBidi" w:cstheme="majorBidi"/>
          <w:szCs w:val="24"/>
        </w:rPr>
        <w:tab/>
        <w:t>rapport atomique oxygène/carbone:</w:t>
      </w:r>
    </w:p>
    <w:p w:rsidR="00604883" w:rsidRPr="00913FB6" w:rsidRDefault="00604883" w:rsidP="00604883">
      <w:pPr>
        <w:pStyle w:val="SingleTxtG"/>
        <w:ind w:left="2835"/>
        <w:rPr>
          <w:rFonts w:asciiTheme="majorBidi" w:hAnsiTheme="majorBidi" w:cstheme="majorBidi"/>
          <w:szCs w:val="24"/>
        </w:rPr>
      </w:pPr>
      <w:r w:rsidRPr="00913FB6">
        <w:rPr>
          <w:rFonts w:asciiTheme="majorBidi" w:hAnsiTheme="majorBidi" w:cstheme="majorBidi"/>
          <w:szCs w:val="24"/>
        </w:rPr>
        <w:t>a) pour l’essence (E5) 0,016;</w:t>
      </w:r>
    </w:p>
    <w:p w:rsidR="00604883" w:rsidRPr="00913FB6" w:rsidRDefault="00604883" w:rsidP="00604883">
      <w:pPr>
        <w:pStyle w:val="SingleTxtG"/>
        <w:ind w:left="2835"/>
        <w:rPr>
          <w:rFonts w:asciiTheme="majorBidi" w:hAnsiTheme="majorBidi" w:cstheme="majorBidi"/>
          <w:szCs w:val="24"/>
        </w:rPr>
      </w:pPr>
      <w:r w:rsidRPr="00913FB6">
        <w:rPr>
          <w:rFonts w:asciiTheme="majorBidi" w:hAnsiTheme="majorBidi" w:cstheme="majorBidi"/>
          <w:szCs w:val="24"/>
        </w:rPr>
        <w:t>b) pour l’essence (E10) 0,033;</w:t>
      </w:r>
    </w:p>
    <w:p w:rsidR="00604883" w:rsidRPr="00913FB6" w:rsidRDefault="00604883" w:rsidP="00604883">
      <w:pPr>
        <w:pStyle w:val="SingleTxtG"/>
        <w:ind w:left="2835"/>
        <w:rPr>
          <w:rFonts w:asciiTheme="majorBidi" w:hAnsiTheme="majorBidi" w:cstheme="majorBidi"/>
          <w:szCs w:val="24"/>
        </w:rPr>
      </w:pPr>
      <w:r w:rsidRPr="00913FB6">
        <w:rPr>
          <w:rFonts w:asciiTheme="majorBidi" w:hAnsiTheme="majorBidi" w:cstheme="majorBidi"/>
          <w:szCs w:val="24"/>
        </w:rPr>
        <w:t>c) pour le GPL 0,00;</w:t>
      </w:r>
    </w:p>
    <w:p w:rsidR="00604883" w:rsidRPr="00913FB6" w:rsidRDefault="00604883" w:rsidP="00604883">
      <w:pPr>
        <w:pStyle w:val="SingleTxtG"/>
        <w:ind w:left="2835"/>
        <w:rPr>
          <w:rFonts w:asciiTheme="majorBidi" w:hAnsiTheme="majorBidi" w:cstheme="majorBidi"/>
          <w:szCs w:val="24"/>
        </w:rPr>
      </w:pPr>
      <w:r w:rsidRPr="00913FB6">
        <w:rPr>
          <w:rFonts w:asciiTheme="majorBidi" w:hAnsiTheme="majorBidi" w:cstheme="majorBidi"/>
          <w:szCs w:val="24"/>
        </w:rPr>
        <w:lastRenderedPageBreak/>
        <w:t>d) pour le GN/biométhane 0,00;</w:t>
      </w:r>
    </w:p>
    <w:p w:rsidR="00604883" w:rsidRPr="00913FB6" w:rsidRDefault="00604883" w:rsidP="00604883">
      <w:pPr>
        <w:pStyle w:val="SingleTxtG"/>
        <w:ind w:left="2835"/>
        <w:rPr>
          <w:rFonts w:asciiTheme="majorBidi" w:hAnsiTheme="majorBidi" w:cstheme="majorBidi"/>
          <w:szCs w:val="24"/>
        </w:rPr>
      </w:pPr>
      <w:r w:rsidRPr="00913FB6">
        <w:rPr>
          <w:rFonts w:asciiTheme="majorBidi" w:hAnsiTheme="majorBidi" w:cstheme="majorBidi"/>
          <w:szCs w:val="24"/>
        </w:rPr>
        <w:t>e) pour l’éthanol (E85) 0,39;</w:t>
      </w:r>
    </w:p>
    <w:p w:rsidR="00604883" w:rsidRPr="00913FB6" w:rsidRDefault="00604883" w:rsidP="00604883">
      <w:pPr>
        <w:pStyle w:val="SingleTxtG"/>
        <w:ind w:left="2835"/>
        <w:rPr>
          <w:rFonts w:asciiTheme="majorBidi" w:hAnsiTheme="majorBidi" w:cstheme="majorBidi"/>
          <w:szCs w:val="24"/>
        </w:rPr>
      </w:pPr>
      <w:r w:rsidRPr="00913FB6">
        <w:rPr>
          <w:rFonts w:asciiTheme="majorBidi" w:hAnsiTheme="majorBidi" w:cstheme="majorBidi"/>
          <w:szCs w:val="24"/>
        </w:rPr>
        <w:t>f) pour l’éthanol (E75) 0,329.».</w:t>
      </w:r>
    </w:p>
    <w:p w:rsidR="00EF3867" w:rsidRPr="00913FB6" w:rsidRDefault="00EF3867" w:rsidP="007E2C27">
      <w:pPr>
        <w:pStyle w:val="SingleTxtG"/>
        <w:keepNext/>
        <w:rPr>
          <w:rFonts w:asciiTheme="majorBidi" w:hAnsiTheme="majorBidi" w:cstheme="majorBidi"/>
          <w:i/>
          <w:szCs w:val="24"/>
        </w:rPr>
      </w:pPr>
      <w:r w:rsidRPr="00913FB6">
        <w:rPr>
          <w:rFonts w:asciiTheme="majorBidi" w:hAnsiTheme="majorBidi" w:cstheme="majorBidi"/>
          <w:i/>
          <w:szCs w:val="24"/>
        </w:rPr>
        <w:t xml:space="preserve">Annexe </w:t>
      </w:r>
      <w:r w:rsidRPr="00913FB6">
        <w:rPr>
          <w:i/>
          <w:iCs/>
        </w:rPr>
        <w:t>4A</w:t>
      </w:r>
      <w:r w:rsidR="00F812D4" w:rsidRPr="00913FB6">
        <w:t>,</w:t>
      </w:r>
    </w:p>
    <w:p w:rsidR="00EF3867" w:rsidRPr="00913FB6" w:rsidRDefault="00EF3867" w:rsidP="00C60A6D">
      <w:pPr>
        <w:pStyle w:val="SingleTxtG"/>
        <w:rPr>
          <w:rFonts w:asciiTheme="majorBidi" w:hAnsiTheme="majorBidi" w:cstheme="majorBidi"/>
          <w:szCs w:val="24"/>
        </w:rPr>
      </w:pPr>
      <w:r w:rsidRPr="00913FB6">
        <w:rPr>
          <w:rFonts w:asciiTheme="majorBidi" w:hAnsiTheme="majorBidi" w:cstheme="majorBidi"/>
          <w:i/>
          <w:szCs w:val="24"/>
        </w:rPr>
        <w:t>Paragraphe 6.6.2</w:t>
      </w:r>
      <w:r w:rsidRPr="00913FB6">
        <w:rPr>
          <w:rFonts w:asciiTheme="majorBidi" w:hAnsiTheme="majorBidi" w:cstheme="majorBidi"/>
          <w:szCs w:val="24"/>
        </w:rPr>
        <w:t xml:space="preserve">, modifier comme </w:t>
      </w:r>
      <w:r w:rsidRPr="00913FB6">
        <w:t>suit</w:t>
      </w:r>
      <w:r w:rsidRPr="00913FB6">
        <w:rPr>
          <w:rFonts w:asciiTheme="majorBidi" w:hAnsiTheme="majorBidi" w:cstheme="majorBidi"/>
          <w:szCs w:val="24"/>
        </w:rPr>
        <w:t xml:space="preserve">: </w:t>
      </w:r>
    </w:p>
    <w:p w:rsidR="00EF3867" w:rsidRPr="00913FB6" w:rsidRDefault="00EF3867" w:rsidP="00C60A6D">
      <w:pPr>
        <w:pStyle w:val="SingleTxtG"/>
        <w:ind w:left="2268" w:hanging="1134"/>
        <w:rPr>
          <w:rFonts w:asciiTheme="majorBidi" w:hAnsiTheme="majorBidi" w:cstheme="majorBidi"/>
          <w:szCs w:val="24"/>
        </w:rPr>
      </w:pPr>
      <w:r w:rsidRPr="00913FB6">
        <w:rPr>
          <w:rFonts w:asciiTheme="majorBidi" w:hAnsiTheme="majorBidi" w:cstheme="majorBidi"/>
          <w:szCs w:val="24"/>
        </w:rPr>
        <w:t>«6.6.2</w:t>
      </w:r>
      <w:r w:rsidRPr="00913FB6">
        <w:rPr>
          <w:rFonts w:asciiTheme="majorBidi" w:hAnsiTheme="majorBidi" w:cstheme="majorBidi"/>
          <w:szCs w:val="24"/>
        </w:rPr>
        <w:tab/>
      </w:r>
      <w:r w:rsidRPr="00913FB6">
        <w:t>Masse</w:t>
      </w:r>
      <w:r w:rsidRPr="00913FB6">
        <w:rPr>
          <w:rFonts w:asciiTheme="majorBidi" w:hAnsiTheme="majorBidi" w:cstheme="majorBidi"/>
          <w:szCs w:val="24"/>
        </w:rPr>
        <w:t xml:space="preserve"> totale de gaz polluants et de particules polluantes émis</w:t>
      </w:r>
    </w:p>
    <w:p w:rsidR="00EF3867" w:rsidRPr="00913FB6" w:rsidRDefault="00EF3867" w:rsidP="007E2C27">
      <w:pPr>
        <w:pStyle w:val="SingleTxtG"/>
        <w:ind w:left="2268"/>
      </w:pPr>
      <w:r w:rsidRPr="00913FB6">
        <w:t>La masse M de chaque polluant émis par le véhicule au cours de l’essai doit être déterminée en calculant le produit de la concentration volumique et du volume de gaz considéré en se fondant sur les valeurs de masse volumique suivantes dans les conditions de référence précitées:</w:t>
      </w:r>
    </w:p>
    <w:p w:rsidR="00EF3867" w:rsidRPr="00913FB6" w:rsidRDefault="00EF3867" w:rsidP="00604883">
      <w:pPr>
        <w:pStyle w:val="SingleTxtG"/>
        <w:tabs>
          <w:tab w:val="left" w:pos="5387"/>
        </w:tabs>
        <w:ind w:left="2268"/>
        <w:rPr>
          <w:rFonts w:asciiTheme="majorBidi" w:hAnsiTheme="majorBidi" w:cstheme="majorBidi"/>
          <w:szCs w:val="24"/>
        </w:rPr>
      </w:pPr>
      <w:r w:rsidRPr="00913FB6">
        <w:rPr>
          <w:rFonts w:asciiTheme="majorBidi" w:hAnsiTheme="majorBidi" w:cstheme="majorBidi"/>
          <w:szCs w:val="24"/>
        </w:rPr>
        <w:t xml:space="preserve">Pour le </w:t>
      </w:r>
      <w:r w:rsidRPr="00913FB6">
        <w:t>monoxyde</w:t>
      </w:r>
      <w:r w:rsidRPr="00913FB6">
        <w:rPr>
          <w:rFonts w:asciiTheme="majorBidi" w:hAnsiTheme="majorBidi" w:cstheme="majorBidi"/>
          <w:szCs w:val="24"/>
        </w:rPr>
        <w:t xml:space="preserve"> de carbone (CO):</w:t>
      </w:r>
      <w:r w:rsidRPr="00913FB6">
        <w:rPr>
          <w:rFonts w:asciiTheme="majorBidi" w:hAnsiTheme="majorBidi" w:cstheme="majorBidi"/>
          <w:szCs w:val="24"/>
        </w:rPr>
        <w:tab/>
        <w:t>d = 1,25 g/l</w:t>
      </w:r>
    </w:p>
    <w:p w:rsidR="00EF3867" w:rsidRPr="00913FB6" w:rsidRDefault="00EF3867" w:rsidP="00604883">
      <w:pPr>
        <w:pStyle w:val="SingleTxtG"/>
        <w:tabs>
          <w:tab w:val="left" w:pos="5387"/>
        </w:tabs>
        <w:ind w:left="2268"/>
        <w:rPr>
          <w:rFonts w:asciiTheme="majorBidi" w:hAnsiTheme="majorBidi" w:cstheme="majorBidi"/>
        </w:rPr>
      </w:pPr>
      <w:r w:rsidRPr="00913FB6">
        <w:rPr>
          <w:rFonts w:asciiTheme="majorBidi" w:hAnsiTheme="majorBidi" w:cstheme="majorBidi"/>
        </w:rPr>
        <w:t xml:space="preserve">Pour les </w:t>
      </w:r>
      <w:r w:rsidRPr="00913FB6">
        <w:t>hydrocarbures</w:t>
      </w:r>
      <w:r w:rsidRPr="00913FB6">
        <w:rPr>
          <w:rFonts w:asciiTheme="majorBidi" w:hAnsiTheme="majorBidi" w:cstheme="majorBidi"/>
        </w:rPr>
        <w:t>:</w:t>
      </w:r>
    </w:p>
    <w:p w:rsidR="00EF3867" w:rsidRPr="00913FB6" w:rsidRDefault="00EF3867" w:rsidP="00604883">
      <w:pPr>
        <w:pStyle w:val="SingleTxtG"/>
        <w:tabs>
          <w:tab w:val="left" w:pos="5387"/>
        </w:tabs>
        <w:ind w:left="2268"/>
        <w:rPr>
          <w:rFonts w:asciiTheme="majorBidi" w:hAnsiTheme="majorBidi" w:cstheme="majorBidi"/>
        </w:rPr>
      </w:pPr>
      <w:r w:rsidRPr="00913FB6">
        <w:rPr>
          <w:rFonts w:asciiTheme="majorBidi" w:hAnsiTheme="majorBidi" w:cstheme="majorBidi"/>
        </w:rPr>
        <w:t xml:space="preserve">Pour </w:t>
      </w:r>
      <w:r w:rsidRPr="00913FB6">
        <w:t>l’essence</w:t>
      </w:r>
      <w:r w:rsidRPr="00913FB6">
        <w:rPr>
          <w:rFonts w:asciiTheme="majorBidi" w:hAnsiTheme="majorBidi" w:cstheme="majorBidi"/>
        </w:rPr>
        <w:t xml:space="preserve"> (E5) (C</w:t>
      </w:r>
      <w:r w:rsidRPr="00913FB6">
        <w:rPr>
          <w:rFonts w:asciiTheme="majorBidi" w:hAnsiTheme="majorBidi" w:cstheme="majorBidi"/>
          <w:vertAlign w:val="subscript"/>
        </w:rPr>
        <w:t>1</w:t>
      </w:r>
      <w:r w:rsidRPr="00913FB6">
        <w:rPr>
          <w:rFonts w:asciiTheme="majorBidi" w:hAnsiTheme="majorBidi" w:cstheme="majorBidi"/>
        </w:rPr>
        <w:t>H</w:t>
      </w:r>
      <w:r w:rsidRPr="00913FB6">
        <w:rPr>
          <w:rFonts w:asciiTheme="majorBidi" w:hAnsiTheme="majorBidi" w:cstheme="majorBidi"/>
          <w:vertAlign w:val="subscript"/>
        </w:rPr>
        <w:t>1,89</w:t>
      </w:r>
      <w:r w:rsidRPr="00913FB6">
        <w:rPr>
          <w:rFonts w:asciiTheme="majorBidi" w:hAnsiTheme="majorBidi" w:cstheme="majorBidi"/>
        </w:rPr>
        <w:t>O</w:t>
      </w:r>
      <w:r w:rsidRPr="00913FB6">
        <w:rPr>
          <w:rFonts w:asciiTheme="majorBidi" w:hAnsiTheme="majorBidi" w:cstheme="majorBidi"/>
          <w:vertAlign w:val="subscript"/>
        </w:rPr>
        <w:t>0,016</w:t>
      </w:r>
      <w:r w:rsidRPr="00913FB6">
        <w:rPr>
          <w:rFonts w:asciiTheme="majorBidi" w:hAnsiTheme="majorBidi" w:cstheme="majorBidi"/>
        </w:rPr>
        <w:t>)</w:t>
      </w:r>
      <w:r w:rsidRPr="00913FB6">
        <w:rPr>
          <w:rFonts w:asciiTheme="majorBidi" w:hAnsiTheme="majorBidi" w:cstheme="majorBidi"/>
        </w:rPr>
        <w:tab/>
        <w:t>d = 0,631 g/1</w:t>
      </w:r>
    </w:p>
    <w:p w:rsidR="00EF3867" w:rsidRPr="00913FB6" w:rsidRDefault="00EF3867" w:rsidP="00604883">
      <w:pPr>
        <w:pStyle w:val="SingleTxtG"/>
        <w:tabs>
          <w:tab w:val="left" w:pos="5387"/>
        </w:tabs>
        <w:ind w:left="2268"/>
        <w:rPr>
          <w:rFonts w:asciiTheme="majorBidi" w:hAnsiTheme="majorBidi" w:cstheme="majorBidi"/>
        </w:rPr>
      </w:pPr>
      <w:r w:rsidRPr="00913FB6">
        <w:rPr>
          <w:rFonts w:asciiTheme="majorBidi" w:hAnsiTheme="majorBidi" w:cstheme="majorBidi"/>
        </w:rPr>
        <w:t xml:space="preserve">Pour </w:t>
      </w:r>
      <w:r w:rsidRPr="00913FB6">
        <w:t>l’essence</w:t>
      </w:r>
      <w:r w:rsidRPr="00913FB6">
        <w:rPr>
          <w:rFonts w:asciiTheme="majorBidi" w:hAnsiTheme="majorBidi" w:cstheme="majorBidi"/>
        </w:rPr>
        <w:t xml:space="preserve"> (E10) (C</w:t>
      </w:r>
      <w:r w:rsidRPr="00913FB6">
        <w:rPr>
          <w:rFonts w:asciiTheme="majorBidi" w:hAnsiTheme="majorBidi" w:cstheme="majorBidi"/>
          <w:vertAlign w:val="subscript"/>
        </w:rPr>
        <w:t>1</w:t>
      </w:r>
      <w:r w:rsidRPr="00913FB6">
        <w:rPr>
          <w:rFonts w:asciiTheme="majorBidi" w:hAnsiTheme="majorBidi" w:cstheme="majorBidi"/>
        </w:rPr>
        <w:t>H</w:t>
      </w:r>
      <w:r w:rsidR="00D62005" w:rsidRPr="00913FB6">
        <w:rPr>
          <w:rFonts w:asciiTheme="majorBidi" w:hAnsiTheme="majorBidi" w:cstheme="majorBidi"/>
          <w:vertAlign w:val="subscript"/>
        </w:rPr>
        <w:t>1,</w:t>
      </w:r>
      <w:r w:rsidRPr="00913FB6">
        <w:rPr>
          <w:rFonts w:asciiTheme="majorBidi" w:hAnsiTheme="majorBidi" w:cstheme="majorBidi"/>
          <w:vertAlign w:val="subscript"/>
        </w:rPr>
        <w:t>93</w:t>
      </w:r>
      <w:r w:rsidRPr="00913FB6">
        <w:rPr>
          <w:rFonts w:asciiTheme="majorBidi" w:hAnsiTheme="majorBidi" w:cstheme="majorBidi"/>
        </w:rPr>
        <w:t>O</w:t>
      </w:r>
      <w:r w:rsidRPr="00913FB6">
        <w:rPr>
          <w:rFonts w:asciiTheme="majorBidi" w:hAnsiTheme="majorBidi" w:cstheme="majorBidi"/>
          <w:vertAlign w:val="subscript"/>
        </w:rPr>
        <w:t>0,033</w:t>
      </w:r>
      <w:r w:rsidRPr="00913FB6">
        <w:rPr>
          <w:rFonts w:asciiTheme="majorBidi" w:hAnsiTheme="majorBidi" w:cstheme="majorBidi"/>
        </w:rPr>
        <w:t>)</w:t>
      </w:r>
      <w:r w:rsidRPr="00913FB6">
        <w:rPr>
          <w:rFonts w:asciiTheme="majorBidi" w:hAnsiTheme="majorBidi" w:cstheme="majorBidi"/>
        </w:rPr>
        <w:tab/>
        <w:t>d = 0,645 g/1</w:t>
      </w:r>
    </w:p>
    <w:p w:rsidR="00EF3867" w:rsidRPr="00913FB6" w:rsidRDefault="00EF3867" w:rsidP="00604883">
      <w:pPr>
        <w:pStyle w:val="SingleTxtG"/>
        <w:tabs>
          <w:tab w:val="left" w:pos="5387"/>
        </w:tabs>
        <w:ind w:left="2268"/>
        <w:rPr>
          <w:rFonts w:asciiTheme="majorBidi" w:hAnsiTheme="majorBidi" w:cstheme="majorBidi"/>
        </w:rPr>
      </w:pPr>
      <w:r w:rsidRPr="00913FB6">
        <w:rPr>
          <w:rFonts w:asciiTheme="majorBidi" w:hAnsiTheme="majorBidi" w:cstheme="majorBidi"/>
        </w:rPr>
        <w:t xml:space="preserve">Pour le </w:t>
      </w:r>
      <w:r w:rsidRPr="00913FB6">
        <w:t>gazole</w:t>
      </w:r>
      <w:r w:rsidRPr="00913FB6">
        <w:rPr>
          <w:rFonts w:asciiTheme="majorBidi" w:hAnsiTheme="majorBidi" w:cstheme="majorBidi"/>
        </w:rPr>
        <w:t xml:space="preserve"> (B5) (C</w:t>
      </w:r>
      <w:r w:rsidRPr="00913FB6">
        <w:rPr>
          <w:rFonts w:asciiTheme="majorBidi" w:hAnsiTheme="majorBidi" w:cstheme="majorBidi"/>
          <w:vertAlign w:val="subscript"/>
        </w:rPr>
        <w:t>1</w:t>
      </w:r>
      <w:r w:rsidRPr="00913FB6">
        <w:rPr>
          <w:rFonts w:asciiTheme="majorBidi" w:hAnsiTheme="majorBidi" w:cstheme="majorBidi"/>
        </w:rPr>
        <w:t>H</w:t>
      </w:r>
      <w:r w:rsidRPr="00913FB6">
        <w:rPr>
          <w:rFonts w:asciiTheme="majorBidi" w:hAnsiTheme="majorBidi" w:cstheme="majorBidi"/>
          <w:vertAlign w:val="subscript"/>
        </w:rPr>
        <w:t>l,86</w:t>
      </w:r>
      <w:r w:rsidRPr="00913FB6">
        <w:rPr>
          <w:rFonts w:asciiTheme="majorBidi" w:hAnsiTheme="majorBidi" w:cstheme="majorBidi"/>
        </w:rPr>
        <w:t>O</w:t>
      </w:r>
      <w:r w:rsidRPr="00913FB6">
        <w:rPr>
          <w:rFonts w:asciiTheme="majorBidi" w:hAnsiTheme="majorBidi" w:cstheme="majorBidi"/>
          <w:vertAlign w:val="subscript"/>
        </w:rPr>
        <w:t>0,005</w:t>
      </w:r>
      <w:r w:rsidRPr="00913FB6">
        <w:rPr>
          <w:rFonts w:asciiTheme="majorBidi" w:hAnsiTheme="majorBidi" w:cstheme="majorBidi"/>
        </w:rPr>
        <w:t>)</w:t>
      </w:r>
      <w:r w:rsidRPr="00913FB6">
        <w:rPr>
          <w:rFonts w:asciiTheme="majorBidi" w:hAnsiTheme="majorBidi" w:cstheme="majorBidi"/>
        </w:rPr>
        <w:tab/>
        <w:t>d = 0,622 g/1</w:t>
      </w:r>
    </w:p>
    <w:p w:rsidR="00EF3867" w:rsidRPr="00913FB6" w:rsidRDefault="00EF3867" w:rsidP="00604883">
      <w:pPr>
        <w:pStyle w:val="SingleTxtG"/>
        <w:tabs>
          <w:tab w:val="left" w:pos="5387"/>
        </w:tabs>
        <w:ind w:left="2268"/>
        <w:rPr>
          <w:rFonts w:asciiTheme="majorBidi" w:hAnsiTheme="majorBidi" w:cstheme="majorBidi"/>
        </w:rPr>
      </w:pPr>
      <w:r w:rsidRPr="00913FB6">
        <w:rPr>
          <w:rFonts w:asciiTheme="majorBidi" w:hAnsiTheme="majorBidi" w:cstheme="majorBidi"/>
        </w:rPr>
        <w:t xml:space="preserve">Pour le </w:t>
      </w:r>
      <w:r w:rsidRPr="00913FB6">
        <w:t>gazole</w:t>
      </w:r>
      <w:r w:rsidRPr="00913FB6">
        <w:rPr>
          <w:rFonts w:asciiTheme="majorBidi" w:hAnsiTheme="majorBidi" w:cstheme="majorBidi"/>
        </w:rPr>
        <w:t xml:space="preserve"> (B7) (C</w:t>
      </w:r>
      <w:r w:rsidRPr="00913FB6">
        <w:rPr>
          <w:rFonts w:asciiTheme="majorBidi" w:hAnsiTheme="majorBidi" w:cstheme="majorBidi"/>
          <w:vertAlign w:val="subscript"/>
        </w:rPr>
        <w:t>1</w:t>
      </w:r>
      <w:r w:rsidRPr="00913FB6">
        <w:rPr>
          <w:rFonts w:asciiTheme="majorBidi" w:hAnsiTheme="majorBidi" w:cstheme="majorBidi"/>
        </w:rPr>
        <w:t>H</w:t>
      </w:r>
      <w:r w:rsidRPr="00913FB6">
        <w:rPr>
          <w:rFonts w:asciiTheme="majorBidi" w:hAnsiTheme="majorBidi" w:cstheme="majorBidi"/>
          <w:vertAlign w:val="subscript"/>
        </w:rPr>
        <w:t>l,86</w:t>
      </w:r>
      <w:r w:rsidRPr="00913FB6">
        <w:rPr>
          <w:rFonts w:asciiTheme="majorBidi" w:hAnsiTheme="majorBidi" w:cstheme="majorBidi"/>
        </w:rPr>
        <w:t>O</w:t>
      </w:r>
      <w:r w:rsidRPr="00913FB6">
        <w:rPr>
          <w:rFonts w:asciiTheme="majorBidi" w:hAnsiTheme="majorBidi" w:cstheme="majorBidi"/>
          <w:vertAlign w:val="subscript"/>
        </w:rPr>
        <w:t>0,007</w:t>
      </w:r>
      <w:r w:rsidRPr="00913FB6">
        <w:rPr>
          <w:rFonts w:asciiTheme="majorBidi" w:hAnsiTheme="majorBidi" w:cstheme="majorBidi"/>
        </w:rPr>
        <w:t>)</w:t>
      </w:r>
      <w:r w:rsidRPr="00913FB6">
        <w:rPr>
          <w:rFonts w:asciiTheme="majorBidi" w:hAnsiTheme="majorBidi" w:cstheme="majorBidi"/>
        </w:rPr>
        <w:tab/>
        <w:t>d = 0,623 g/1</w:t>
      </w:r>
    </w:p>
    <w:p w:rsidR="00EF3867" w:rsidRPr="00913FB6" w:rsidRDefault="00EF3867" w:rsidP="00604883">
      <w:pPr>
        <w:pStyle w:val="SingleTxtG"/>
        <w:tabs>
          <w:tab w:val="left" w:pos="5387"/>
        </w:tabs>
        <w:ind w:left="2268"/>
        <w:rPr>
          <w:rFonts w:asciiTheme="majorBidi" w:hAnsiTheme="majorBidi" w:cstheme="majorBidi"/>
        </w:rPr>
      </w:pPr>
      <w:r w:rsidRPr="00913FB6">
        <w:rPr>
          <w:rFonts w:asciiTheme="majorBidi" w:hAnsiTheme="majorBidi" w:cstheme="majorBidi"/>
        </w:rPr>
        <w:t xml:space="preserve">Pour le </w:t>
      </w:r>
      <w:r w:rsidRPr="00913FB6">
        <w:t>GPL</w:t>
      </w:r>
      <w:r w:rsidRPr="00913FB6">
        <w:rPr>
          <w:rFonts w:asciiTheme="majorBidi" w:hAnsiTheme="majorBidi" w:cstheme="majorBidi"/>
        </w:rPr>
        <w:t xml:space="preserve"> (CH</w:t>
      </w:r>
      <w:r w:rsidRPr="00913FB6">
        <w:rPr>
          <w:rFonts w:asciiTheme="majorBidi" w:hAnsiTheme="majorBidi" w:cstheme="majorBidi"/>
          <w:vertAlign w:val="subscript"/>
        </w:rPr>
        <w:t>2,525</w:t>
      </w:r>
      <w:r w:rsidRPr="00913FB6">
        <w:rPr>
          <w:rFonts w:asciiTheme="majorBidi" w:hAnsiTheme="majorBidi" w:cstheme="majorBidi"/>
        </w:rPr>
        <w:t>)</w:t>
      </w:r>
      <w:r w:rsidRPr="00913FB6">
        <w:rPr>
          <w:rFonts w:asciiTheme="majorBidi" w:hAnsiTheme="majorBidi" w:cstheme="majorBidi"/>
        </w:rPr>
        <w:tab/>
        <w:t>d = 0,649 g/l</w:t>
      </w:r>
    </w:p>
    <w:p w:rsidR="00EF3867" w:rsidRPr="00913FB6" w:rsidRDefault="00EF3867" w:rsidP="00604883">
      <w:pPr>
        <w:pStyle w:val="SingleTxtG"/>
        <w:tabs>
          <w:tab w:val="left" w:pos="5387"/>
        </w:tabs>
        <w:ind w:left="2268"/>
        <w:rPr>
          <w:rFonts w:asciiTheme="majorBidi" w:hAnsiTheme="majorBidi" w:cstheme="majorBidi"/>
        </w:rPr>
      </w:pPr>
      <w:r w:rsidRPr="00913FB6">
        <w:rPr>
          <w:rFonts w:asciiTheme="majorBidi" w:hAnsiTheme="majorBidi" w:cstheme="majorBidi"/>
        </w:rPr>
        <w:t xml:space="preserve">Pour le </w:t>
      </w:r>
      <w:r w:rsidRPr="00913FB6">
        <w:t>GN</w:t>
      </w:r>
      <w:r w:rsidRPr="00913FB6">
        <w:rPr>
          <w:rFonts w:asciiTheme="majorBidi" w:hAnsiTheme="majorBidi" w:cstheme="majorBidi"/>
        </w:rPr>
        <w:t>/biométhane (C</w:t>
      </w:r>
      <w:r w:rsidRPr="00913FB6">
        <w:rPr>
          <w:rFonts w:asciiTheme="majorBidi" w:hAnsiTheme="majorBidi" w:cstheme="majorBidi"/>
          <w:vertAlign w:val="subscript"/>
        </w:rPr>
        <w:t>1</w:t>
      </w:r>
      <w:r w:rsidRPr="00913FB6">
        <w:rPr>
          <w:rFonts w:asciiTheme="majorBidi" w:hAnsiTheme="majorBidi" w:cstheme="majorBidi"/>
        </w:rPr>
        <w:t>H</w:t>
      </w:r>
      <w:r w:rsidRPr="00913FB6">
        <w:rPr>
          <w:rFonts w:asciiTheme="majorBidi" w:hAnsiTheme="majorBidi" w:cstheme="majorBidi"/>
          <w:vertAlign w:val="subscript"/>
        </w:rPr>
        <w:t>4</w:t>
      </w:r>
      <w:r w:rsidRPr="00913FB6">
        <w:rPr>
          <w:rFonts w:asciiTheme="majorBidi" w:hAnsiTheme="majorBidi" w:cstheme="majorBidi"/>
        </w:rPr>
        <w:t>)</w:t>
      </w:r>
      <w:r w:rsidRPr="00913FB6">
        <w:rPr>
          <w:rFonts w:asciiTheme="majorBidi" w:hAnsiTheme="majorBidi" w:cstheme="majorBidi"/>
        </w:rPr>
        <w:tab/>
        <w:t>d = 0,714 g/l</w:t>
      </w:r>
    </w:p>
    <w:p w:rsidR="00EF3867" w:rsidRPr="00913FB6" w:rsidRDefault="00EF3867" w:rsidP="00604883">
      <w:pPr>
        <w:pStyle w:val="SingleTxtG"/>
        <w:tabs>
          <w:tab w:val="left" w:pos="5387"/>
        </w:tabs>
        <w:ind w:left="2268"/>
        <w:rPr>
          <w:rFonts w:asciiTheme="majorBidi" w:hAnsiTheme="majorBidi" w:cstheme="majorBidi"/>
        </w:rPr>
      </w:pPr>
      <w:r w:rsidRPr="00913FB6">
        <w:rPr>
          <w:rFonts w:asciiTheme="majorBidi" w:hAnsiTheme="majorBidi" w:cstheme="majorBidi"/>
        </w:rPr>
        <w:t xml:space="preserve">Pour </w:t>
      </w:r>
      <w:r w:rsidRPr="00913FB6">
        <w:t>l’éthanol</w:t>
      </w:r>
      <w:r w:rsidRPr="00913FB6">
        <w:rPr>
          <w:rFonts w:asciiTheme="majorBidi" w:hAnsiTheme="majorBidi" w:cstheme="majorBidi"/>
        </w:rPr>
        <w:t xml:space="preserve"> (E85) (C</w:t>
      </w:r>
      <w:r w:rsidRPr="00913FB6">
        <w:rPr>
          <w:rFonts w:asciiTheme="majorBidi" w:hAnsiTheme="majorBidi" w:cstheme="majorBidi"/>
          <w:vertAlign w:val="subscript"/>
        </w:rPr>
        <w:t>1</w:t>
      </w:r>
      <w:r w:rsidRPr="00913FB6">
        <w:rPr>
          <w:rFonts w:asciiTheme="majorBidi" w:hAnsiTheme="majorBidi" w:cstheme="majorBidi"/>
        </w:rPr>
        <w:t>H</w:t>
      </w:r>
      <w:r w:rsidRPr="00913FB6">
        <w:rPr>
          <w:rFonts w:asciiTheme="majorBidi" w:hAnsiTheme="majorBidi" w:cstheme="majorBidi"/>
          <w:vertAlign w:val="subscript"/>
        </w:rPr>
        <w:t>2,74</w:t>
      </w:r>
      <w:r w:rsidRPr="00913FB6">
        <w:rPr>
          <w:rFonts w:asciiTheme="majorBidi" w:hAnsiTheme="majorBidi" w:cstheme="majorBidi"/>
        </w:rPr>
        <w:t>O</w:t>
      </w:r>
      <w:r w:rsidRPr="00913FB6">
        <w:rPr>
          <w:rFonts w:asciiTheme="majorBidi" w:hAnsiTheme="majorBidi" w:cstheme="majorBidi"/>
          <w:vertAlign w:val="subscript"/>
        </w:rPr>
        <w:t>0,385</w:t>
      </w:r>
      <w:r w:rsidRPr="00913FB6">
        <w:rPr>
          <w:rFonts w:asciiTheme="majorBidi" w:hAnsiTheme="majorBidi" w:cstheme="majorBidi"/>
        </w:rPr>
        <w:t>)</w:t>
      </w:r>
      <w:r w:rsidR="00F812D4" w:rsidRPr="00913FB6">
        <w:rPr>
          <w:rFonts w:asciiTheme="majorBidi" w:hAnsiTheme="majorBidi" w:cstheme="majorBidi"/>
        </w:rPr>
        <w:tab/>
      </w:r>
      <w:r w:rsidRPr="00913FB6">
        <w:rPr>
          <w:rFonts w:asciiTheme="majorBidi" w:hAnsiTheme="majorBidi" w:cstheme="majorBidi"/>
        </w:rPr>
        <w:t>d = 0,932 g/l</w:t>
      </w:r>
    </w:p>
    <w:p w:rsidR="00EF3867" w:rsidRPr="00913FB6" w:rsidRDefault="00EF3867" w:rsidP="00604883">
      <w:pPr>
        <w:pStyle w:val="SingleTxtG"/>
        <w:tabs>
          <w:tab w:val="left" w:pos="5387"/>
        </w:tabs>
        <w:ind w:left="2268"/>
        <w:rPr>
          <w:rFonts w:asciiTheme="majorBidi" w:hAnsiTheme="majorBidi" w:cstheme="majorBidi"/>
        </w:rPr>
      </w:pPr>
      <w:r w:rsidRPr="00913FB6">
        <w:rPr>
          <w:rFonts w:asciiTheme="majorBidi" w:hAnsiTheme="majorBidi" w:cstheme="majorBidi"/>
        </w:rPr>
        <w:t xml:space="preserve">Pour </w:t>
      </w:r>
      <w:r w:rsidRPr="00913FB6">
        <w:t>l’éthanol</w:t>
      </w:r>
      <w:r w:rsidRPr="00913FB6">
        <w:rPr>
          <w:rFonts w:asciiTheme="majorBidi" w:hAnsiTheme="majorBidi" w:cstheme="majorBidi"/>
        </w:rPr>
        <w:t xml:space="preserve"> (E75) (C</w:t>
      </w:r>
      <w:r w:rsidRPr="00913FB6">
        <w:rPr>
          <w:rFonts w:asciiTheme="majorBidi" w:hAnsiTheme="majorBidi" w:cstheme="majorBidi"/>
          <w:vertAlign w:val="subscript"/>
        </w:rPr>
        <w:t>1</w:t>
      </w:r>
      <w:r w:rsidRPr="00913FB6">
        <w:rPr>
          <w:rFonts w:asciiTheme="majorBidi" w:hAnsiTheme="majorBidi" w:cstheme="majorBidi"/>
        </w:rPr>
        <w:t>H</w:t>
      </w:r>
      <w:r w:rsidRPr="00913FB6">
        <w:rPr>
          <w:rFonts w:asciiTheme="majorBidi" w:hAnsiTheme="majorBidi" w:cstheme="majorBidi"/>
          <w:vertAlign w:val="subscript"/>
        </w:rPr>
        <w:t>2,61</w:t>
      </w:r>
      <w:r w:rsidRPr="00913FB6">
        <w:rPr>
          <w:rFonts w:asciiTheme="majorBidi" w:hAnsiTheme="majorBidi" w:cstheme="majorBidi"/>
        </w:rPr>
        <w:t>O</w:t>
      </w:r>
      <w:r w:rsidRPr="00913FB6">
        <w:rPr>
          <w:rFonts w:asciiTheme="majorBidi" w:hAnsiTheme="majorBidi" w:cstheme="majorBidi"/>
          <w:vertAlign w:val="subscript"/>
        </w:rPr>
        <w:t>0,329</w:t>
      </w:r>
      <w:r w:rsidRPr="00913FB6">
        <w:rPr>
          <w:rFonts w:asciiTheme="majorBidi" w:hAnsiTheme="majorBidi" w:cstheme="majorBidi"/>
        </w:rPr>
        <w:t>)</w:t>
      </w:r>
      <w:r w:rsidR="00F812D4" w:rsidRPr="00913FB6">
        <w:rPr>
          <w:rFonts w:asciiTheme="majorBidi" w:hAnsiTheme="majorBidi" w:cstheme="majorBidi"/>
        </w:rPr>
        <w:tab/>
      </w:r>
      <w:r w:rsidRPr="00913FB6">
        <w:rPr>
          <w:rFonts w:asciiTheme="majorBidi" w:hAnsiTheme="majorBidi" w:cstheme="majorBidi"/>
        </w:rPr>
        <w:t>d = 0,886 g/l</w:t>
      </w:r>
    </w:p>
    <w:p w:rsidR="00EF3867" w:rsidRPr="00913FB6" w:rsidRDefault="00EF3867" w:rsidP="00604883">
      <w:pPr>
        <w:pStyle w:val="SingleTxtG"/>
        <w:tabs>
          <w:tab w:val="left" w:pos="5387"/>
        </w:tabs>
        <w:ind w:left="2268"/>
        <w:rPr>
          <w:rFonts w:asciiTheme="majorBidi" w:hAnsiTheme="majorBidi" w:cstheme="majorBidi"/>
          <w:i/>
          <w:szCs w:val="24"/>
        </w:rPr>
      </w:pPr>
      <w:r w:rsidRPr="00913FB6">
        <w:rPr>
          <w:rFonts w:asciiTheme="majorBidi" w:hAnsiTheme="majorBidi" w:cstheme="majorBidi"/>
        </w:rPr>
        <w:t xml:space="preserve">Pour les </w:t>
      </w:r>
      <w:r w:rsidRPr="00913FB6">
        <w:t>oxydes</w:t>
      </w:r>
      <w:r w:rsidRPr="00913FB6">
        <w:rPr>
          <w:rFonts w:asciiTheme="majorBidi" w:hAnsiTheme="majorBidi" w:cstheme="majorBidi"/>
        </w:rPr>
        <w:t xml:space="preserve"> d’azote (NO</w:t>
      </w:r>
      <w:r w:rsidRPr="00913FB6">
        <w:rPr>
          <w:rFonts w:asciiTheme="majorBidi" w:hAnsiTheme="majorBidi" w:cstheme="majorBidi"/>
          <w:vertAlign w:val="subscript"/>
        </w:rPr>
        <w:t>x</w:t>
      </w:r>
      <w:r w:rsidRPr="00913FB6">
        <w:rPr>
          <w:rFonts w:asciiTheme="majorBidi" w:hAnsiTheme="majorBidi" w:cstheme="majorBidi"/>
        </w:rPr>
        <w:t>):</w:t>
      </w:r>
      <w:r w:rsidRPr="00913FB6">
        <w:rPr>
          <w:rFonts w:asciiTheme="majorBidi" w:hAnsiTheme="majorBidi" w:cstheme="majorBidi"/>
        </w:rPr>
        <w:tab/>
        <w:t>d = 2,05 g/1».</w:t>
      </w:r>
    </w:p>
    <w:p w:rsidR="00EF3867" w:rsidRPr="00913FB6" w:rsidRDefault="00EF3867" w:rsidP="00C60A6D">
      <w:pPr>
        <w:pStyle w:val="SingleTxtG"/>
        <w:rPr>
          <w:rFonts w:asciiTheme="majorBidi" w:hAnsiTheme="majorBidi" w:cstheme="majorBidi"/>
          <w:szCs w:val="24"/>
        </w:rPr>
      </w:pPr>
      <w:r w:rsidRPr="00913FB6">
        <w:rPr>
          <w:rFonts w:asciiTheme="majorBidi" w:hAnsiTheme="majorBidi" w:cstheme="majorBidi"/>
          <w:i/>
          <w:szCs w:val="24"/>
        </w:rPr>
        <w:t>Paragraphe 6.6.4</w:t>
      </w:r>
      <w:r w:rsidRPr="00913FB6">
        <w:rPr>
          <w:rFonts w:asciiTheme="majorBidi" w:hAnsiTheme="majorBidi" w:cstheme="majorBidi"/>
          <w:szCs w:val="24"/>
        </w:rPr>
        <w:t xml:space="preserve">, modifier comme </w:t>
      </w:r>
      <w:r w:rsidRPr="00913FB6">
        <w:t>suit</w:t>
      </w:r>
      <w:r w:rsidRPr="00913FB6">
        <w:rPr>
          <w:rFonts w:asciiTheme="majorBidi" w:hAnsiTheme="majorBidi" w:cstheme="majorBidi"/>
          <w:szCs w:val="24"/>
        </w:rPr>
        <w:t>:</w:t>
      </w:r>
    </w:p>
    <w:p w:rsidR="00EF3867" w:rsidRPr="00913FB6" w:rsidRDefault="00EF3867" w:rsidP="00C60A6D">
      <w:pPr>
        <w:pStyle w:val="SingleTxtG"/>
        <w:ind w:left="2268" w:hanging="1134"/>
        <w:rPr>
          <w:rFonts w:asciiTheme="majorBidi" w:hAnsiTheme="majorBidi" w:cstheme="majorBidi"/>
          <w:szCs w:val="24"/>
        </w:rPr>
      </w:pPr>
      <w:r w:rsidRPr="00913FB6">
        <w:rPr>
          <w:rFonts w:asciiTheme="majorBidi" w:hAnsiTheme="majorBidi" w:cstheme="majorBidi"/>
          <w:szCs w:val="24"/>
        </w:rPr>
        <w:t>«6.6.4</w:t>
      </w:r>
      <w:r w:rsidRPr="00913FB6">
        <w:rPr>
          <w:rFonts w:asciiTheme="majorBidi" w:hAnsiTheme="majorBidi" w:cstheme="majorBidi"/>
          <w:szCs w:val="24"/>
        </w:rPr>
        <w:tab/>
        <w:t>…</w:t>
      </w:r>
    </w:p>
    <w:p w:rsidR="00EF3867" w:rsidRPr="00913FB6" w:rsidRDefault="00EF3867" w:rsidP="007E2C27">
      <w:pPr>
        <w:pStyle w:val="SingleTxtG"/>
        <w:ind w:left="2268"/>
        <w:rPr>
          <w:rFonts w:asciiTheme="majorBidi" w:hAnsiTheme="majorBidi" w:cstheme="majorBidi"/>
          <w:szCs w:val="24"/>
        </w:rPr>
      </w:pPr>
      <w:r w:rsidRPr="00913FB6">
        <w:rPr>
          <w:rFonts w:asciiTheme="majorBidi" w:hAnsiTheme="majorBidi" w:cstheme="majorBidi"/>
          <w:szCs w:val="24"/>
        </w:rPr>
        <w:t xml:space="preserve">Les facteurs de dilution pour les carburants de référence visés par le présent Règlement </w:t>
      </w:r>
      <w:r w:rsidRPr="00913FB6">
        <w:t>sont</w:t>
      </w:r>
      <w:r w:rsidRPr="00913FB6">
        <w:rPr>
          <w:rFonts w:asciiTheme="majorBidi" w:hAnsiTheme="majorBidi" w:cstheme="majorBidi"/>
          <w:szCs w:val="24"/>
        </w:rPr>
        <w:t xml:space="preserve"> les suivants:</w:t>
      </w:r>
    </w:p>
    <w:p w:rsidR="00EF3867" w:rsidRPr="00913FB6" w:rsidRDefault="00D62005" w:rsidP="0068116F">
      <w:pPr>
        <w:pStyle w:val="SingleTxtG"/>
        <w:tabs>
          <w:tab w:val="left" w:pos="5103"/>
          <w:tab w:val="left" w:pos="7371"/>
        </w:tabs>
        <w:ind w:left="2268"/>
        <w:rPr>
          <w:rFonts w:asciiTheme="majorBidi" w:hAnsiTheme="majorBidi" w:cstheme="majorBidi"/>
          <w:szCs w:val="24"/>
        </w:rPr>
      </w:pPr>
      <w:r w:rsidRPr="0068116F">
        <w:rPr>
          <w:rFonts w:asciiTheme="majorBidi" w:hAnsiTheme="majorBidi" w:cstheme="majorBidi"/>
          <w:szCs w:val="24"/>
        </w:rPr>
        <w:object w:dxaOrig="2720" w:dyaOrig="600">
          <v:shape id="_x0000_i1026" type="#_x0000_t75" style="width:136.5pt;height:30.65pt" o:ole="" fillcolor="window">
            <v:imagedata r:id="rId11" o:title=""/>
          </v:shape>
          <o:OLEObject Type="Embed" ProgID="Equation.3" ShapeID="_x0000_i1026" DrawAspect="Content" ObjectID="_1493725704" r:id="rId12"/>
        </w:object>
      </w:r>
      <w:r w:rsidR="00EF3867" w:rsidRPr="00913FB6">
        <w:rPr>
          <w:rFonts w:asciiTheme="majorBidi" w:hAnsiTheme="majorBidi" w:cstheme="majorBidi"/>
          <w:szCs w:val="24"/>
        </w:rPr>
        <w:tab/>
        <w:t>pour l’essence (E5)</w:t>
      </w:r>
      <w:r w:rsidR="00EF3867" w:rsidRPr="00913FB6">
        <w:rPr>
          <w:rFonts w:asciiTheme="majorBidi" w:hAnsiTheme="majorBidi" w:cstheme="majorBidi"/>
          <w:szCs w:val="24"/>
        </w:rPr>
        <w:tab/>
        <w:t>(5a)</w:t>
      </w:r>
    </w:p>
    <w:p w:rsidR="00EF3867" w:rsidRPr="00913FB6" w:rsidRDefault="00D62005" w:rsidP="0068116F">
      <w:pPr>
        <w:pStyle w:val="SingleTxtG"/>
        <w:tabs>
          <w:tab w:val="left" w:pos="5103"/>
          <w:tab w:val="left" w:pos="7371"/>
        </w:tabs>
        <w:ind w:left="2268"/>
        <w:rPr>
          <w:rFonts w:asciiTheme="majorBidi" w:hAnsiTheme="majorBidi" w:cstheme="majorBidi"/>
          <w:szCs w:val="24"/>
        </w:rPr>
      </w:pPr>
      <w:r w:rsidRPr="0068116F">
        <w:rPr>
          <w:rFonts w:asciiTheme="majorBidi" w:hAnsiTheme="majorBidi" w:cstheme="majorBidi"/>
          <w:szCs w:val="24"/>
        </w:rPr>
        <w:object w:dxaOrig="2740" w:dyaOrig="600">
          <v:shape id="_x0000_i1027" type="#_x0000_t75" style="width:137pt;height:30.65pt" o:ole="" fillcolor="window">
            <v:imagedata r:id="rId13" o:title=""/>
          </v:shape>
          <o:OLEObject Type="Embed" ProgID="Equation.3" ShapeID="_x0000_i1027" DrawAspect="Content" ObjectID="_1493725705" r:id="rId14"/>
        </w:object>
      </w:r>
      <w:r w:rsidR="00EF3867" w:rsidRPr="00913FB6">
        <w:rPr>
          <w:rFonts w:asciiTheme="majorBidi" w:hAnsiTheme="majorBidi" w:cstheme="majorBidi"/>
          <w:szCs w:val="24"/>
        </w:rPr>
        <w:tab/>
        <w:t>pour l’essence (E10)</w:t>
      </w:r>
      <w:r w:rsidR="00EF3867" w:rsidRPr="00913FB6">
        <w:rPr>
          <w:rFonts w:asciiTheme="majorBidi" w:hAnsiTheme="majorBidi" w:cstheme="majorBidi"/>
          <w:szCs w:val="24"/>
        </w:rPr>
        <w:tab/>
        <w:t>(5b)</w:t>
      </w:r>
    </w:p>
    <w:p w:rsidR="00EF3867" w:rsidRPr="00913FB6" w:rsidRDefault="0025768C" w:rsidP="0068116F">
      <w:pPr>
        <w:pStyle w:val="SingleTxtG"/>
        <w:tabs>
          <w:tab w:val="left" w:pos="5103"/>
          <w:tab w:val="left" w:pos="7371"/>
        </w:tabs>
        <w:ind w:left="2268"/>
        <w:rPr>
          <w:rFonts w:asciiTheme="majorBidi" w:hAnsiTheme="majorBidi" w:cstheme="majorBidi"/>
          <w:szCs w:val="24"/>
        </w:rPr>
      </w:pPr>
      <w:r w:rsidRPr="0068116F">
        <w:rPr>
          <w:rFonts w:asciiTheme="majorBidi" w:hAnsiTheme="majorBidi" w:cstheme="majorBidi"/>
          <w:szCs w:val="24"/>
        </w:rPr>
        <w:object w:dxaOrig="2740" w:dyaOrig="600">
          <v:shape id="_x0000_i1028" type="#_x0000_t75" style="width:137pt;height:30.65pt" o:ole="" fillcolor="window">
            <v:imagedata r:id="rId15" o:title=""/>
          </v:shape>
          <o:OLEObject Type="Embed" ProgID="Equation.3" ShapeID="_x0000_i1028" DrawAspect="Content" ObjectID="_1493725706" r:id="rId16"/>
        </w:object>
      </w:r>
      <w:r w:rsidR="00EF3867" w:rsidRPr="00913FB6">
        <w:rPr>
          <w:rFonts w:asciiTheme="majorBidi" w:hAnsiTheme="majorBidi" w:cstheme="majorBidi"/>
          <w:szCs w:val="24"/>
        </w:rPr>
        <w:tab/>
        <w:t>pour le gazole (B5)</w:t>
      </w:r>
      <w:r w:rsidR="00EF3867" w:rsidRPr="00913FB6">
        <w:rPr>
          <w:rFonts w:asciiTheme="majorBidi" w:hAnsiTheme="majorBidi" w:cstheme="majorBidi"/>
          <w:szCs w:val="24"/>
        </w:rPr>
        <w:tab/>
        <w:t>(5c)</w:t>
      </w:r>
    </w:p>
    <w:p w:rsidR="00EF3867" w:rsidRPr="00913FB6" w:rsidRDefault="0025768C" w:rsidP="0068116F">
      <w:pPr>
        <w:pStyle w:val="SingleTxtG"/>
        <w:tabs>
          <w:tab w:val="left" w:pos="5103"/>
          <w:tab w:val="left" w:pos="7371"/>
        </w:tabs>
        <w:ind w:left="2268"/>
        <w:rPr>
          <w:rFonts w:asciiTheme="majorBidi" w:hAnsiTheme="majorBidi" w:cstheme="majorBidi"/>
          <w:szCs w:val="24"/>
        </w:rPr>
      </w:pPr>
      <w:r w:rsidRPr="0068116F">
        <w:rPr>
          <w:rFonts w:asciiTheme="majorBidi" w:hAnsiTheme="majorBidi" w:cstheme="majorBidi"/>
          <w:szCs w:val="24"/>
        </w:rPr>
        <w:object w:dxaOrig="2740" w:dyaOrig="600">
          <v:shape id="_x0000_i1029" type="#_x0000_t75" style="width:137pt;height:30.65pt" o:ole="" fillcolor="window">
            <v:imagedata r:id="rId17" o:title=""/>
          </v:shape>
          <o:OLEObject Type="Embed" ProgID="Equation.3" ShapeID="_x0000_i1029" DrawAspect="Content" ObjectID="_1493725707" r:id="rId18"/>
        </w:object>
      </w:r>
      <w:r w:rsidR="00EF3867" w:rsidRPr="00913FB6">
        <w:rPr>
          <w:rFonts w:asciiTheme="majorBidi" w:hAnsiTheme="majorBidi" w:cstheme="majorBidi"/>
          <w:szCs w:val="24"/>
        </w:rPr>
        <w:tab/>
        <w:t>pour le gazole (B7)</w:t>
      </w:r>
      <w:r w:rsidR="00EF3867" w:rsidRPr="00913FB6">
        <w:rPr>
          <w:rFonts w:asciiTheme="majorBidi" w:hAnsiTheme="majorBidi" w:cstheme="majorBidi"/>
          <w:szCs w:val="24"/>
        </w:rPr>
        <w:tab/>
        <w:t>(5d)</w:t>
      </w:r>
    </w:p>
    <w:p w:rsidR="00EF3867" w:rsidRPr="0068116F" w:rsidRDefault="0025768C" w:rsidP="0068116F">
      <w:pPr>
        <w:pStyle w:val="SingleTxtG"/>
        <w:tabs>
          <w:tab w:val="left" w:pos="5103"/>
          <w:tab w:val="left" w:pos="7371"/>
        </w:tabs>
        <w:ind w:left="2268"/>
        <w:rPr>
          <w:rFonts w:asciiTheme="majorBidi" w:hAnsiTheme="majorBidi" w:cstheme="majorBidi"/>
          <w:szCs w:val="24"/>
        </w:rPr>
      </w:pPr>
      <w:r w:rsidRPr="0068116F">
        <w:rPr>
          <w:rFonts w:asciiTheme="majorBidi" w:hAnsiTheme="majorBidi" w:cstheme="majorBidi"/>
          <w:szCs w:val="24"/>
        </w:rPr>
        <w:object w:dxaOrig="2780" w:dyaOrig="600">
          <v:shape id="_x0000_i1030" type="#_x0000_t75" style="width:139.15pt;height:29.55pt" o:ole="" fillcolor="window">
            <v:imagedata r:id="rId19" o:title=""/>
          </v:shape>
          <o:OLEObject Type="Embed" ProgID="Equation.3" ShapeID="_x0000_i1030" DrawAspect="Content" ObjectID="_1493725708" r:id="rId20"/>
        </w:object>
      </w:r>
      <w:r w:rsidR="00EF3867" w:rsidRPr="0068116F">
        <w:rPr>
          <w:rFonts w:asciiTheme="majorBidi" w:hAnsiTheme="majorBidi" w:cstheme="majorBidi"/>
          <w:szCs w:val="24"/>
        </w:rPr>
        <w:tab/>
        <w:t>pour le GPL</w:t>
      </w:r>
      <w:r w:rsidR="00EF3867" w:rsidRPr="0068116F">
        <w:rPr>
          <w:rFonts w:asciiTheme="majorBidi" w:hAnsiTheme="majorBidi" w:cstheme="majorBidi"/>
          <w:szCs w:val="24"/>
        </w:rPr>
        <w:tab/>
        <w:t>(5e)</w:t>
      </w:r>
    </w:p>
    <w:p w:rsidR="00EF3867" w:rsidRPr="00913FB6" w:rsidRDefault="0025768C" w:rsidP="0068116F">
      <w:pPr>
        <w:pStyle w:val="SingleTxtG"/>
        <w:tabs>
          <w:tab w:val="left" w:pos="5103"/>
          <w:tab w:val="left" w:pos="7371"/>
        </w:tabs>
        <w:ind w:left="2268"/>
        <w:rPr>
          <w:rFonts w:asciiTheme="majorBidi" w:hAnsiTheme="majorBidi" w:cstheme="majorBidi"/>
          <w:szCs w:val="24"/>
        </w:rPr>
      </w:pPr>
      <w:r w:rsidRPr="0068116F">
        <w:rPr>
          <w:rFonts w:asciiTheme="majorBidi" w:hAnsiTheme="majorBidi" w:cstheme="majorBidi"/>
          <w:szCs w:val="24"/>
        </w:rPr>
        <w:object w:dxaOrig="2740" w:dyaOrig="600">
          <v:shape id="_x0000_i1031" type="#_x0000_t75" style="width:137pt;height:30.65pt" o:ole="" fillcolor="window">
            <v:imagedata r:id="rId21" o:title=""/>
          </v:shape>
          <o:OLEObject Type="Embed" ProgID="Equation.3" ShapeID="_x0000_i1031" DrawAspect="Content" ObjectID="_1493725709" r:id="rId22"/>
        </w:object>
      </w:r>
      <w:r w:rsidR="00EF3867" w:rsidRPr="00913FB6">
        <w:rPr>
          <w:rFonts w:asciiTheme="majorBidi" w:hAnsiTheme="majorBidi" w:cstheme="majorBidi"/>
          <w:szCs w:val="24"/>
        </w:rPr>
        <w:tab/>
        <w:t>pour le GN/biométhane</w:t>
      </w:r>
      <w:r w:rsidR="00EF3867" w:rsidRPr="00913FB6">
        <w:rPr>
          <w:rFonts w:asciiTheme="majorBidi" w:hAnsiTheme="majorBidi" w:cstheme="majorBidi"/>
          <w:szCs w:val="24"/>
        </w:rPr>
        <w:tab/>
        <w:t>(5f)</w:t>
      </w:r>
    </w:p>
    <w:p w:rsidR="00EF3867" w:rsidRPr="00913FB6" w:rsidRDefault="0025768C" w:rsidP="0068116F">
      <w:pPr>
        <w:pStyle w:val="SingleTxtG"/>
        <w:tabs>
          <w:tab w:val="left" w:pos="5103"/>
          <w:tab w:val="left" w:pos="7371"/>
        </w:tabs>
        <w:ind w:left="2268"/>
        <w:rPr>
          <w:rFonts w:asciiTheme="majorBidi" w:hAnsiTheme="majorBidi" w:cstheme="majorBidi"/>
          <w:szCs w:val="24"/>
        </w:rPr>
      </w:pPr>
      <w:r w:rsidRPr="0068116F">
        <w:rPr>
          <w:rFonts w:asciiTheme="majorBidi" w:hAnsiTheme="majorBidi" w:cstheme="majorBidi"/>
          <w:szCs w:val="24"/>
        </w:rPr>
        <w:object w:dxaOrig="2740" w:dyaOrig="600">
          <v:shape id="_x0000_i1032" type="#_x0000_t75" style="width:137pt;height:30.65pt" o:ole="" fillcolor="window">
            <v:imagedata r:id="rId23" o:title=""/>
          </v:shape>
          <o:OLEObject Type="Embed" ProgID="Equation.3" ShapeID="_x0000_i1032" DrawAspect="Content" ObjectID="_1493725710" r:id="rId24"/>
        </w:object>
      </w:r>
      <w:r w:rsidR="00EF3867" w:rsidRPr="0068116F">
        <w:rPr>
          <w:rFonts w:asciiTheme="majorBidi" w:hAnsiTheme="majorBidi" w:cstheme="majorBidi"/>
          <w:szCs w:val="24"/>
        </w:rPr>
        <w:tab/>
      </w:r>
      <w:r w:rsidR="00EF3867" w:rsidRPr="00913FB6">
        <w:rPr>
          <w:rFonts w:asciiTheme="majorBidi" w:hAnsiTheme="majorBidi" w:cstheme="majorBidi"/>
          <w:szCs w:val="24"/>
        </w:rPr>
        <w:t>l’éthanol (E85)</w:t>
      </w:r>
      <w:r w:rsidR="00EF3867" w:rsidRPr="00913FB6">
        <w:rPr>
          <w:rFonts w:asciiTheme="majorBidi" w:hAnsiTheme="majorBidi" w:cstheme="majorBidi"/>
          <w:szCs w:val="24"/>
        </w:rPr>
        <w:tab/>
        <w:t>(5g)</w:t>
      </w:r>
    </w:p>
    <w:p w:rsidR="00EF3867" w:rsidRPr="0068116F" w:rsidRDefault="0025768C" w:rsidP="0068116F">
      <w:pPr>
        <w:pStyle w:val="SingleTxtG"/>
        <w:tabs>
          <w:tab w:val="left" w:pos="5103"/>
          <w:tab w:val="left" w:pos="7371"/>
        </w:tabs>
        <w:ind w:left="2268"/>
        <w:rPr>
          <w:rFonts w:asciiTheme="majorBidi" w:hAnsiTheme="majorBidi" w:cstheme="majorBidi"/>
          <w:szCs w:val="24"/>
        </w:rPr>
      </w:pPr>
      <w:r w:rsidRPr="0068116F">
        <w:rPr>
          <w:rFonts w:asciiTheme="majorBidi" w:hAnsiTheme="majorBidi" w:cstheme="majorBidi"/>
          <w:szCs w:val="24"/>
        </w:rPr>
        <w:object w:dxaOrig="2740" w:dyaOrig="600">
          <v:shape id="_x0000_i1033" type="#_x0000_t75" style="width:137pt;height:30.65pt" o:ole="" fillcolor="window">
            <v:imagedata r:id="rId25" o:title=""/>
          </v:shape>
          <o:OLEObject Type="Embed" ProgID="Equation.3" ShapeID="_x0000_i1033" DrawAspect="Content" ObjectID="_1493725711" r:id="rId26"/>
        </w:object>
      </w:r>
      <w:r w:rsidR="00EF3867" w:rsidRPr="0068116F">
        <w:rPr>
          <w:rFonts w:asciiTheme="majorBidi" w:hAnsiTheme="majorBidi" w:cstheme="majorBidi"/>
          <w:szCs w:val="24"/>
        </w:rPr>
        <w:tab/>
      </w:r>
      <w:r w:rsidR="00EF3867" w:rsidRPr="00913FB6">
        <w:rPr>
          <w:rFonts w:asciiTheme="majorBidi" w:hAnsiTheme="majorBidi" w:cstheme="majorBidi"/>
          <w:szCs w:val="24"/>
        </w:rPr>
        <w:t>pour l’éthanol (E75)</w:t>
      </w:r>
      <w:r w:rsidR="00EF3867" w:rsidRPr="00913FB6">
        <w:rPr>
          <w:rFonts w:asciiTheme="majorBidi" w:hAnsiTheme="majorBidi" w:cstheme="majorBidi"/>
          <w:szCs w:val="24"/>
        </w:rPr>
        <w:tab/>
        <w:t>(5h)».</w:t>
      </w:r>
    </w:p>
    <w:p w:rsidR="00EF3867" w:rsidRPr="00913FB6" w:rsidRDefault="00EF3867" w:rsidP="00604883">
      <w:pPr>
        <w:pStyle w:val="SingleTxtG"/>
        <w:keepNext/>
        <w:rPr>
          <w:rFonts w:asciiTheme="majorBidi" w:hAnsiTheme="majorBidi" w:cstheme="majorBidi"/>
          <w:i/>
          <w:szCs w:val="24"/>
        </w:rPr>
      </w:pPr>
      <w:r w:rsidRPr="00913FB6">
        <w:rPr>
          <w:rFonts w:asciiTheme="majorBidi" w:hAnsiTheme="majorBidi" w:cstheme="majorBidi"/>
          <w:i/>
          <w:szCs w:val="24"/>
        </w:rPr>
        <w:t>Annexe 10, paragraphe 1.1</w:t>
      </w:r>
      <w:r w:rsidRPr="00913FB6">
        <w:rPr>
          <w:rFonts w:asciiTheme="majorBidi" w:hAnsiTheme="majorBidi" w:cstheme="majorBidi"/>
          <w:szCs w:val="24"/>
        </w:rPr>
        <w:t>, ajouter le tableau suivant entre les tableaux «Type: Essence (E5)» et «Type: Éthanol (E85)»:</w:t>
      </w:r>
    </w:p>
    <w:p w:rsidR="00EF3867" w:rsidRPr="00913FB6" w:rsidRDefault="00EF3867" w:rsidP="007E2C27">
      <w:pPr>
        <w:pStyle w:val="Heading1"/>
        <w:spacing w:after="120"/>
        <w:ind w:left="0"/>
        <w:rPr>
          <w:b/>
          <w:bCs/>
        </w:rPr>
      </w:pPr>
      <w:r w:rsidRPr="00913FB6">
        <w:t>«</w:t>
      </w:r>
      <w:r w:rsidRPr="00913FB6">
        <w:rPr>
          <w:b/>
          <w:bCs/>
        </w:rPr>
        <w:t>Type: Essence (E10)</w:t>
      </w: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78"/>
        <w:gridCol w:w="1077"/>
        <w:gridCol w:w="2154"/>
        <w:gridCol w:w="2155"/>
        <w:gridCol w:w="1474"/>
      </w:tblGrid>
      <w:tr w:rsidR="00250F8C" w:rsidRPr="00913FB6" w:rsidTr="00250F8C">
        <w:trPr>
          <w:trHeight w:val="174"/>
          <w:tblHeader/>
        </w:trPr>
        <w:tc>
          <w:tcPr>
            <w:tcW w:w="2778" w:type="dxa"/>
            <w:vMerge w:val="restart"/>
            <w:vAlign w:val="bottom"/>
          </w:tcPr>
          <w:p w:rsidR="00250F8C" w:rsidRPr="00913FB6" w:rsidRDefault="00250F8C" w:rsidP="00250F8C">
            <w:pPr>
              <w:widowControl w:val="0"/>
              <w:suppressAutoHyphens w:val="0"/>
              <w:spacing w:before="40" w:after="40" w:line="200" w:lineRule="atLeast"/>
              <w:ind w:left="57" w:right="57" w:firstLine="12"/>
              <w:rPr>
                <w:rFonts w:asciiTheme="majorBidi" w:hAnsiTheme="majorBidi" w:cstheme="majorBidi"/>
                <w:i/>
                <w:sz w:val="16"/>
                <w:szCs w:val="16"/>
              </w:rPr>
            </w:pPr>
            <w:r w:rsidRPr="00913FB6">
              <w:rPr>
                <w:rFonts w:asciiTheme="majorBidi" w:hAnsiTheme="majorBidi" w:cstheme="majorBidi"/>
                <w:i/>
                <w:sz w:val="16"/>
                <w:szCs w:val="16"/>
              </w:rPr>
              <w:t>Paramètre</w:t>
            </w:r>
          </w:p>
        </w:tc>
        <w:tc>
          <w:tcPr>
            <w:tcW w:w="1077" w:type="dxa"/>
            <w:vMerge w:val="restart"/>
            <w:vAlign w:val="bottom"/>
          </w:tcPr>
          <w:p w:rsidR="00250F8C" w:rsidRPr="00913FB6" w:rsidRDefault="00250F8C" w:rsidP="00250F8C">
            <w:pPr>
              <w:widowControl w:val="0"/>
              <w:suppressAutoHyphens w:val="0"/>
              <w:spacing w:before="40" w:after="40" w:line="200" w:lineRule="atLeast"/>
              <w:ind w:left="57" w:right="57"/>
              <w:rPr>
                <w:rFonts w:asciiTheme="majorBidi" w:hAnsiTheme="majorBidi" w:cstheme="majorBidi"/>
                <w:i/>
                <w:sz w:val="16"/>
                <w:szCs w:val="16"/>
              </w:rPr>
            </w:pPr>
            <w:r w:rsidRPr="00913FB6">
              <w:rPr>
                <w:rFonts w:asciiTheme="majorBidi" w:hAnsiTheme="majorBidi" w:cstheme="majorBidi"/>
                <w:i/>
                <w:sz w:val="16"/>
                <w:szCs w:val="16"/>
              </w:rPr>
              <w:t>Unité</w:t>
            </w:r>
          </w:p>
        </w:tc>
        <w:tc>
          <w:tcPr>
            <w:tcW w:w="4309" w:type="dxa"/>
            <w:gridSpan w:val="2"/>
            <w:tcBorders>
              <w:bottom w:val="single" w:sz="2" w:space="0" w:color="auto"/>
            </w:tcBorders>
            <w:vAlign w:val="bottom"/>
          </w:tcPr>
          <w:p w:rsidR="00250F8C" w:rsidRPr="00913FB6" w:rsidRDefault="00250F8C" w:rsidP="00250F8C">
            <w:pPr>
              <w:widowControl w:val="0"/>
              <w:suppressAutoHyphens w:val="0"/>
              <w:spacing w:before="40" w:after="40" w:line="200" w:lineRule="atLeast"/>
              <w:ind w:left="57" w:right="57"/>
              <w:jc w:val="center"/>
              <w:rPr>
                <w:rFonts w:asciiTheme="majorBidi" w:hAnsiTheme="majorBidi" w:cstheme="majorBidi"/>
                <w:bCs/>
                <w:i/>
                <w:sz w:val="16"/>
                <w:szCs w:val="16"/>
              </w:rPr>
            </w:pPr>
            <w:r w:rsidRPr="00913FB6">
              <w:rPr>
                <w:rFonts w:asciiTheme="majorBidi" w:hAnsiTheme="majorBidi" w:cstheme="majorBidi"/>
                <w:i/>
                <w:sz w:val="16"/>
                <w:szCs w:val="16"/>
              </w:rPr>
              <w:t>Limites</w:t>
            </w:r>
            <w:r w:rsidRPr="00913FB6">
              <w:rPr>
                <w:rFonts w:asciiTheme="majorBidi" w:hAnsiTheme="majorBidi" w:cstheme="majorBidi"/>
                <w:sz w:val="16"/>
                <w:szCs w:val="16"/>
                <w:vertAlign w:val="superscript"/>
              </w:rPr>
              <w:t>1</w:t>
            </w:r>
          </w:p>
        </w:tc>
        <w:tc>
          <w:tcPr>
            <w:tcW w:w="1474" w:type="dxa"/>
            <w:vMerge w:val="restart"/>
            <w:vAlign w:val="bottom"/>
          </w:tcPr>
          <w:p w:rsidR="00250F8C" w:rsidRPr="00913FB6" w:rsidRDefault="00250F8C" w:rsidP="00250F8C">
            <w:pPr>
              <w:widowControl w:val="0"/>
              <w:suppressAutoHyphens w:val="0"/>
              <w:spacing w:before="40" w:after="40" w:line="200" w:lineRule="atLeast"/>
              <w:ind w:left="57" w:right="57"/>
              <w:jc w:val="center"/>
              <w:rPr>
                <w:rFonts w:asciiTheme="majorBidi" w:hAnsiTheme="majorBidi" w:cstheme="majorBidi"/>
                <w:bCs/>
                <w:i/>
                <w:iCs/>
                <w:sz w:val="16"/>
                <w:szCs w:val="16"/>
              </w:rPr>
            </w:pPr>
            <w:r w:rsidRPr="00913FB6">
              <w:rPr>
                <w:rFonts w:asciiTheme="majorBidi" w:hAnsiTheme="majorBidi" w:cstheme="majorBidi"/>
                <w:i/>
                <w:sz w:val="16"/>
                <w:szCs w:val="16"/>
              </w:rPr>
              <w:t>Méthode d’essai</w:t>
            </w:r>
          </w:p>
        </w:tc>
      </w:tr>
      <w:tr w:rsidR="00250F8C" w:rsidRPr="00913FB6" w:rsidTr="00250F8C">
        <w:trPr>
          <w:trHeight w:val="152"/>
          <w:tblHeader/>
        </w:trPr>
        <w:tc>
          <w:tcPr>
            <w:tcW w:w="2778" w:type="dxa"/>
            <w:vMerge/>
            <w:tcBorders>
              <w:bottom w:val="single" w:sz="12" w:space="0" w:color="auto"/>
            </w:tcBorders>
            <w:vAlign w:val="center"/>
          </w:tcPr>
          <w:p w:rsidR="00250F8C" w:rsidRPr="00913FB6" w:rsidRDefault="00250F8C" w:rsidP="00250F8C">
            <w:pPr>
              <w:widowControl w:val="0"/>
              <w:suppressAutoHyphens w:val="0"/>
              <w:spacing w:before="40" w:after="40" w:line="200" w:lineRule="atLeast"/>
              <w:ind w:left="57" w:right="57"/>
              <w:rPr>
                <w:rFonts w:asciiTheme="majorBidi" w:hAnsiTheme="majorBidi" w:cstheme="majorBidi"/>
                <w:i/>
                <w:sz w:val="18"/>
                <w:szCs w:val="18"/>
              </w:rPr>
            </w:pPr>
          </w:p>
        </w:tc>
        <w:tc>
          <w:tcPr>
            <w:tcW w:w="1077" w:type="dxa"/>
            <w:vMerge/>
            <w:tcBorders>
              <w:bottom w:val="single" w:sz="12" w:space="0" w:color="auto"/>
            </w:tcBorders>
            <w:vAlign w:val="center"/>
          </w:tcPr>
          <w:p w:rsidR="00250F8C" w:rsidRPr="00913FB6" w:rsidRDefault="00250F8C" w:rsidP="00250F8C">
            <w:pPr>
              <w:widowControl w:val="0"/>
              <w:suppressAutoHyphens w:val="0"/>
              <w:spacing w:before="40" w:after="40" w:line="200" w:lineRule="atLeast"/>
              <w:ind w:left="57" w:right="57"/>
              <w:rPr>
                <w:rFonts w:asciiTheme="majorBidi" w:hAnsiTheme="majorBidi" w:cstheme="majorBidi"/>
                <w:i/>
                <w:sz w:val="18"/>
                <w:szCs w:val="18"/>
              </w:rPr>
            </w:pPr>
          </w:p>
        </w:tc>
        <w:tc>
          <w:tcPr>
            <w:tcW w:w="2154" w:type="dxa"/>
            <w:tcBorders>
              <w:bottom w:val="single" w:sz="12" w:space="0" w:color="auto"/>
            </w:tcBorders>
            <w:vAlign w:val="bottom"/>
          </w:tcPr>
          <w:p w:rsidR="00250F8C" w:rsidRPr="00913FB6" w:rsidRDefault="00250F8C" w:rsidP="00250F8C">
            <w:pPr>
              <w:widowControl w:val="0"/>
              <w:suppressAutoHyphens w:val="0"/>
              <w:spacing w:before="40" w:after="40" w:line="200" w:lineRule="atLeast"/>
              <w:ind w:left="57" w:right="57"/>
              <w:jc w:val="center"/>
              <w:rPr>
                <w:rFonts w:asciiTheme="majorBidi" w:hAnsiTheme="majorBidi" w:cstheme="majorBidi"/>
                <w:bCs/>
                <w:i/>
                <w:sz w:val="16"/>
                <w:szCs w:val="16"/>
              </w:rPr>
            </w:pPr>
            <w:r w:rsidRPr="00913FB6">
              <w:rPr>
                <w:rFonts w:asciiTheme="majorBidi" w:hAnsiTheme="majorBidi" w:cstheme="majorBidi"/>
                <w:i/>
                <w:sz w:val="16"/>
                <w:szCs w:val="16"/>
              </w:rPr>
              <w:t>Minimale</w:t>
            </w:r>
          </w:p>
        </w:tc>
        <w:tc>
          <w:tcPr>
            <w:tcW w:w="2155" w:type="dxa"/>
            <w:tcBorders>
              <w:bottom w:val="single" w:sz="12" w:space="0" w:color="auto"/>
            </w:tcBorders>
            <w:vAlign w:val="bottom"/>
          </w:tcPr>
          <w:p w:rsidR="00250F8C" w:rsidRPr="00913FB6" w:rsidRDefault="00250F8C" w:rsidP="00250F8C">
            <w:pPr>
              <w:widowControl w:val="0"/>
              <w:suppressAutoHyphens w:val="0"/>
              <w:spacing w:before="40" w:after="40" w:line="200" w:lineRule="atLeast"/>
              <w:ind w:left="57" w:right="57"/>
              <w:jc w:val="center"/>
              <w:rPr>
                <w:rFonts w:asciiTheme="majorBidi" w:hAnsiTheme="majorBidi" w:cstheme="majorBidi"/>
                <w:bCs/>
                <w:i/>
                <w:sz w:val="16"/>
                <w:szCs w:val="16"/>
              </w:rPr>
            </w:pPr>
            <w:r w:rsidRPr="00913FB6">
              <w:rPr>
                <w:rFonts w:asciiTheme="majorBidi" w:hAnsiTheme="majorBidi" w:cstheme="majorBidi"/>
                <w:i/>
                <w:sz w:val="16"/>
                <w:szCs w:val="16"/>
              </w:rPr>
              <w:t>Maximale</w:t>
            </w:r>
          </w:p>
        </w:tc>
        <w:tc>
          <w:tcPr>
            <w:tcW w:w="1474" w:type="dxa"/>
            <w:vMerge/>
            <w:tcBorders>
              <w:bottom w:val="single" w:sz="12" w:space="0" w:color="auto"/>
            </w:tcBorders>
            <w:vAlign w:val="center"/>
          </w:tcPr>
          <w:p w:rsidR="00250F8C" w:rsidRPr="00913FB6" w:rsidRDefault="00250F8C" w:rsidP="00250F8C">
            <w:pPr>
              <w:widowControl w:val="0"/>
              <w:suppressAutoHyphens w:val="0"/>
              <w:spacing w:before="40" w:after="40" w:line="200" w:lineRule="atLeast"/>
              <w:ind w:left="57" w:right="57"/>
              <w:rPr>
                <w:rFonts w:asciiTheme="majorBidi" w:hAnsiTheme="majorBidi" w:cstheme="majorBidi"/>
                <w:bCs/>
                <w:i/>
                <w:iCs/>
                <w:sz w:val="18"/>
                <w:szCs w:val="18"/>
              </w:rPr>
            </w:pPr>
          </w:p>
        </w:tc>
      </w:tr>
      <w:tr w:rsidR="00EF3867" w:rsidRPr="00913FB6" w:rsidTr="00250F8C">
        <w:trPr>
          <w:trHeight w:val="163"/>
        </w:trPr>
        <w:tc>
          <w:tcPr>
            <w:tcW w:w="2778" w:type="dxa"/>
            <w:tcBorders>
              <w:top w:val="single" w:sz="12" w:space="0" w:color="auto"/>
            </w:tcBorders>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Indice d’octane recherche (IOR)</w:t>
            </w:r>
            <w:r w:rsidRPr="00913FB6">
              <w:rPr>
                <w:rFonts w:asciiTheme="majorBidi" w:hAnsiTheme="majorBidi" w:cstheme="majorBidi"/>
                <w:i/>
                <w:iCs/>
                <w:sz w:val="18"/>
                <w:szCs w:val="18"/>
                <w:vertAlign w:val="superscript"/>
              </w:rPr>
              <w:t>2</w:t>
            </w:r>
          </w:p>
        </w:tc>
        <w:tc>
          <w:tcPr>
            <w:tcW w:w="1077" w:type="dxa"/>
            <w:tcBorders>
              <w:top w:val="single" w:sz="12" w:space="0" w:color="auto"/>
            </w:tcBorders>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Borders>
              <w:top w:val="single" w:sz="12" w:space="0" w:color="auto"/>
            </w:tcBorders>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95,0</w:t>
            </w:r>
          </w:p>
        </w:tc>
        <w:tc>
          <w:tcPr>
            <w:tcW w:w="2155" w:type="dxa"/>
            <w:tcBorders>
              <w:top w:val="single" w:sz="12" w:space="0" w:color="auto"/>
            </w:tcBorders>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98,0</w:t>
            </w:r>
          </w:p>
        </w:tc>
        <w:tc>
          <w:tcPr>
            <w:tcW w:w="1474" w:type="dxa"/>
            <w:tcBorders>
              <w:top w:val="single" w:sz="12" w:space="0" w:color="auto"/>
            </w:tcBorders>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ISO 5164</w:t>
            </w:r>
          </w:p>
        </w:tc>
      </w:tr>
      <w:tr w:rsidR="00EF3867" w:rsidRPr="00913FB6" w:rsidTr="00250F8C">
        <w:trPr>
          <w:trHeight w:val="85"/>
        </w:trPr>
        <w:tc>
          <w:tcPr>
            <w:tcW w:w="2778"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Indice d’octane moteur (IOM)</w:t>
            </w:r>
            <w:r w:rsidRPr="00913FB6">
              <w:rPr>
                <w:rFonts w:asciiTheme="majorBidi" w:hAnsiTheme="majorBidi" w:cstheme="majorBidi"/>
                <w:i/>
                <w:iCs/>
                <w:sz w:val="18"/>
                <w:szCs w:val="18"/>
                <w:vertAlign w:val="superscript"/>
              </w:rPr>
              <w:t>2</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85,0</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89,0</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ISO 5163</w:t>
            </w:r>
          </w:p>
        </w:tc>
      </w:tr>
      <w:tr w:rsidR="00EF3867" w:rsidRPr="00913FB6" w:rsidTr="00250F8C">
        <w:trPr>
          <w:trHeight w:val="141"/>
        </w:trPr>
        <w:tc>
          <w:tcPr>
            <w:tcW w:w="2778"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Densité à 15 °C</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kg/m</w:t>
            </w:r>
            <w:r w:rsidRPr="00913FB6">
              <w:rPr>
                <w:rFonts w:asciiTheme="majorBidi" w:hAnsiTheme="majorBidi" w:cstheme="majorBidi"/>
                <w:sz w:val="18"/>
                <w:szCs w:val="18"/>
                <w:vertAlign w:val="superscript"/>
              </w:rPr>
              <w:t>3</w:t>
            </w:r>
          </w:p>
        </w:tc>
        <w:tc>
          <w:tcPr>
            <w:tcW w:w="2154"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743,0</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756,0</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ISO 12185</w:t>
            </w:r>
          </w:p>
        </w:tc>
      </w:tr>
      <w:tr w:rsidR="00EF3867" w:rsidRPr="00913FB6" w:rsidTr="00250F8C">
        <w:trPr>
          <w:trHeight w:val="85"/>
        </w:trPr>
        <w:tc>
          <w:tcPr>
            <w:tcW w:w="2778"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Pression de vapeur (DVPE)</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kPa</w:t>
            </w:r>
          </w:p>
        </w:tc>
        <w:tc>
          <w:tcPr>
            <w:tcW w:w="2154"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56,0</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60,0</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13016-1</w:t>
            </w:r>
          </w:p>
        </w:tc>
      </w:tr>
      <w:tr w:rsidR="00EF3867" w:rsidRPr="00913FB6" w:rsidTr="00250F8C">
        <w:trPr>
          <w:trHeight w:val="416"/>
        </w:trPr>
        <w:tc>
          <w:tcPr>
            <w:tcW w:w="2778" w:type="dxa"/>
            <w:vAlign w:val="center"/>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Teneur en eau</w:t>
            </w:r>
          </w:p>
        </w:tc>
        <w:tc>
          <w:tcPr>
            <w:tcW w:w="1077" w:type="dxa"/>
            <w:vAlign w:val="center"/>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m/m</w:t>
            </w:r>
          </w:p>
        </w:tc>
        <w:tc>
          <w:tcPr>
            <w:tcW w:w="4309" w:type="dxa"/>
            <w:gridSpan w:val="2"/>
            <w:vAlign w:val="center"/>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0,05 max.</w:t>
            </w:r>
            <w:r w:rsidR="00604883" w:rsidRPr="00913FB6">
              <w:rPr>
                <w:rFonts w:asciiTheme="majorBidi" w:hAnsiTheme="majorBidi" w:cstheme="majorBidi"/>
                <w:sz w:val="18"/>
                <w:szCs w:val="18"/>
              </w:rPr>
              <w:br/>
            </w:r>
            <w:r w:rsidRPr="00913FB6">
              <w:rPr>
                <w:rFonts w:asciiTheme="majorBidi" w:hAnsiTheme="majorBidi" w:cstheme="majorBidi"/>
                <w:sz w:val="18"/>
                <w:szCs w:val="18"/>
              </w:rPr>
              <w:t>Aspect à -7 °C: claire et brillante</w:t>
            </w:r>
          </w:p>
        </w:tc>
        <w:tc>
          <w:tcPr>
            <w:tcW w:w="1474" w:type="dxa"/>
            <w:vAlign w:val="center"/>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12937</w:t>
            </w:r>
          </w:p>
        </w:tc>
      </w:tr>
      <w:tr w:rsidR="00EF3867" w:rsidRPr="00913FB6" w:rsidTr="00250F8C">
        <w:trPr>
          <w:trHeight w:val="123"/>
        </w:trPr>
        <w:tc>
          <w:tcPr>
            <w:tcW w:w="2778" w:type="dxa"/>
          </w:tcPr>
          <w:p w:rsidR="00EF3867" w:rsidRPr="00913FB6" w:rsidRDefault="00EF3867" w:rsidP="00250F8C">
            <w:pPr>
              <w:keepNext/>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Distillation:</w:t>
            </w:r>
          </w:p>
        </w:tc>
        <w:tc>
          <w:tcPr>
            <w:tcW w:w="1077" w:type="dxa"/>
          </w:tcPr>
          <w:p w:rsidR="00EF3867" w:rsidRPr="00913FB6" w:rsidRDefault="00EF3867" w:rsidP="00250F8C">
            <w:pPr>
              <w:keepNext/>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Pr>
          <w:p w:rsidR="00EF3867" w:rsidRPr="00913FB6" w:rsidRDefault="00EF3867" w:rsidP="00250F8C">
            <w:pPr>
              <w:keepNext/>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bCs/>
                <w:sz w:val="18"/>
                <w:szCs w:val="18"/>
              </w:rPr>
              <w:t> </w:t>
            </w:r>
          </w:p>
        </w:tc>
        <w:tc>
          <w:tcPr>
            <w:tcW w:w="2155" w:type="dxa"/>
          </w:tcPr>
          <w:p w:rsidR="00EF3867" w:rsidRPr="00913FB6" w:rsidRDefault="00EF3867" w:rsidP="00250F8C">
            <w:pPr>
              <w:keepNext/>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bCs/>
                <w:sz w:val="18"/>
                <w:szCs w:val="18"/>
              </w:rPr>
              <w:t> </w:t>
            </w:r>
          </w:p>
        </w:tc>
        <w:tc>
          <w:tcPr>
            <w:tcW w:w="1474" w:type="dxa"/>
          </w:tcPr>
          <w:p w:rsidR="00EF3867" w:rsidRPr="00913FB6" w:rsidRDefault="00EF3867" w:rsidP="00250F8C">
            <w:pPr>
              <w:keepNext/>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bCs/>
                <w:sz w:val="18"/>
                <w:szCs w:val="18"/>
              </w:rPr>
              <w:t> </w:t>
            </w:r>
          </w:p>
        </w:tc>
      </w:tr>
      <w:tr w:rsidR="00EF3867" w:rsidRPr="00913FB6" w:rsidTr="00250F8C">
        <w:trPr>
          <w:trHeight w:val="95"/>
        </w:trPr>
        <w:tc>
          <w:tcPr>
            <w:tcW w:w="2778" w:type="dxa"/>
          </w:tcPr>
          <w:p w:rsidR="00EF3867" w:rsidRPr="00913FB6" w:rsidRDefault="00250F8C"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Évaporé à 70 °C</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34,0</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46,0</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ISO 3405</w:t>
            </w:r>
          </w:p>
        </w:tc>
      </w:tr>
      <w:tr w:rsidR="00EF3867" w:rsidRPr="00913FB6" w:rsidTr="00250F8C">
        <w:trPr>
          <w:trHeight w:val="85"/>
        </w:trPr>
        <w:tc>
          <w:tcPr>
            <w:tcW w:w="2778" w:type="dxa"/>
          </w:tcPr>
          <w:p w:rsidR="00EF3867" w:rsidRPr="00913FB6" w:rsidRDefault="00250F8C"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Évaporé à 100 °C</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54,0</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62,0</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ISO 3405</w:t>
            </w:r>
          </w:p>
        </w:tc>
      </w:tr>
      <w:tr w:rsidR="00EF3867" w:rsidRPr="00913FB6" w:rsidTr="00250F8C">
        <w:trPr>
          <w:trHeight w:val="85"/>
        </w:trPr>
        <w:tc>
          <w:tcPr>
            <w:tcW w:w="2778" w:type="dxa"/>
          </w:tcPr>
          <w:p w:rsidR="00EF3867" w:rsidRPr="00913FB6" w:rsidRDefault="00250F8C"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Évaporé à 150 °C</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86,0</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94,0</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ISO 3405</w:t>
            </w:r>
          </w:p>
        </w:tc>
      </w:tr>
      <w:tr w:rsidR="00EF3867" w:rsidRPr="00913FB6" w:rsidTr="00250F8C">
        <w:trPr>
          <w:trHeight w:val="85"/>
        </w:trPr>
        <w:tc>
          <w:tcPr>
            <w:tcW w:w="2778" w:type="dxa"/>
          </w:tcPr>
          <w:p w:rsidR="00EF3867" w:rsidRPr="00913FB6" w:rsidRDefault="00250F8C"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Point d’ébullition final</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°C</w:t>
            </w:r>
          </w:p>
        </w:tc>
        <w:tc>
          <w:tcPr>
            <w:tcW w:w="2154"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170</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195</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ISO 3405</w:t>
            </w:r>
          </w:p>
        </w:tc>
      </w:tr>
      <w:tr w:rsidR="00EF3867" w:rsidRPr="00913FB6" w:rsidTr="00250F8C">
        <w:trPr>
          <w:trHeight w:val="85"/>
        </w:trPr>
        <w:tc>
          <w:tcPr>
            <w:tcW w:w="2778"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Résidus</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A97C8E"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2,0</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ISO 3405</w:t>
            </w:r>
          </w:p>
        </w:tc>
      </w:tr>
      <w:tr w:rsidR="00EF3867" w:rsidRPr="00913FB6" w:rsidTr="00250F8C">
        <w:trPr>
          <w:trHeight w:val="114"/>
        </w:trPr>
        <w:tc>
          <w:tcPr>
            <w:tcW w:w="2778" w:type="dxa"/>
          </w:tcPr>
          <w:p w:rsidR="00EF3867" w:rsidRPr="00913FB6" w:rsidRDefault="00EF3867" w:rsidP="00250F8C">
            <w:pPr>
              <w:keepNext/>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Analyse des hydrocarbures:</w:t>
            </w:r>
          </w:p>
        </w:tc>
        <w:tc>
          <w:tcPr>
            <w:tcW w:w="1077" w:type="dxa"/>
          </w:tcPr>
          <w:p w:rsidR="00EF3867" w:rsidRPr="00913FB6" w:rsidRDefault="00EF3867" w:rsidP="00250F8C">
            <w:pPr>
              <w:keepNext/>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Pr>
          <w:p w:rsidR="00EF3867" w:rsidRPr="00913FB6" w:rsidRDefault="00EF3867" w:rsidP="00250F8C">
            <w:pPr>
              <w:keepNext/>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bCs/>
                <w:sz w:val="18"/>
                <w:szCs w:val="18"/>
              </w:rPr>
              <w:t> </w:t>
            </w:r>
          </w:p>
        </w:tc>
        <w:tc>
          <w:tcPr>
            <w:tcW w:w="2155" w:type="dxa"/>
          </w:tcPr>
          <w:p w:rsidR="00EF3867" w:rsidRPr="00913FB6" w:rsidRDefault="00EF3867" w:rsidP="00250F8C">
            <w:pPr>
              <w:keepNext/>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bCs/>
                <w:sz w:val="18"/>
                <w:szCs w:val="18"/>
              </w:rPr>
              <w:t> </w:t>
            </w:r>
          </w:p>
        </w:tc>
        <w:tc>
          <w:tcPr>
            <w:tcW w:w="1474" w:type="dxa"/>
          </w:tcPr>
          <w:p w:rsidR="00EF3867" w:rsidRPr="00913FB6" w:rsidRDefault="00EF3867" w:rsidP="00250F8C">
            <w:pPr>
              <w:keepNext/>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bCs/>
                <w:sz w:val="18"/>
                <w:szCs w:val="18"/>
              </w:rPr>
              <w:t> </w:t>
            </w:r>
          </w:p>
        </w:tc>
      </w:tr>
      <w:tr w:rsidR="00EF3867" w:rsidRPr="00913FB6" w:rsidTr="00250F8C">
        <w:trPr>
          <w:trHeight w:val="95"/>
        </w:trPr>
        <w:tc>
          <w:tcPr>
            <w:tcW w:w="2778" w:type="dxa"/>
          </w:tcPr>
          <w:p w:rsidR="00EF3867" w:rsidRPr="00913FB6" w:rsidRDefault="00250F8C"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Oléfines</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6,0</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13,0</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22854</w:t>
            </w:r>
          </w:p>
        </w:tc>
      </w:tr>
      <w:tr w:rsidR="00EF3867" w:rsidRPr="00913FB6" w:rsidTr="00250F8C">
        <w:trPr>
          <w:trHeight w:val="85"/>
        </w:trPr>
        <w:tc>
          <w:tcPr>
            <w:tcW w:w="2778" w:type="dxa"/>
          </w:tcPr>
          <w:p w:rsidR="00EF3867" w:rsidRPr="00913FB6" w:rsidRDefault="00250F8C"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Aromatiques</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25,0</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32,0</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22854</w:t>
            </w:r>
          </w:p>
        </w:tc>
      </w:tr>
      <w:tr w:rsidR="00EF3867" w:rsidRPr="00913FB6" w:rsidTr="00250F8C">
        <w:trPr>
          <w:trHeight w:val="85"/>
        </w:trPr>
        <w:tc>
          <w:tcPr>
            <w:tcW w:w="2778" w:type="dxa"/>
          </w:tcPr>
          <w:p w:rsidR="00EF3867" w:rsidRPr="00913FB6" w:rsidRDefault="00250F8C"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Benzène</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A97C8E" w:rsidP="00250F8C">
            <w:pPr>
              <w:widowControl w:val="0"/>
              <w:suppressAutoHyphens w:val="0"/>
              <w:spacing w:before="40" w:after="40" w:line="200" w:lineRule="atLeast"/>
              <w:ind w:left="57" w:right="57"/>
              <w:jc w:val="center"/>
              <w:rPr>
                <w:rFonts w:asciiTheme="majorBidi" w:hAnsiTheme="majorBidi" w:cstheme="majorBidi"/>
                <w:bCs/>
                <w:iCs/>
                <w:strike/>
                <w:sz w:val="18"/>
                <w:szCs w:val="18"/>
              </w:rPr>
            </w:pPr>
            <w:r w:rsidRPr="00913FB6">
              <w:rPr>
                <w:rFonts w:asciiTheme="majorBidi" w:hAnsiTheme="majorBidi" w:cstheme="majorBidi"/>
                <w:sz w:val="18"/>
                <w:szCs w:val="18"/>
              </w:rPr>
              <w:t>-</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1,00</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bCs/>
                <w:sz w:val="18"/>
                <w:szCs w:val="18"/>
              </w:rPr>
              <w:t>EN 22854</w:t>
            </w:r>
            <w:r w:rsidRPr="00913FB6">
              <w:rPr>
                <w:rFonts w:asciiTheme="majorBidi" w:hAnsiTheme="majorBidi" w:cstheme="majorBidi"/>
                <w:bCs/>
                <w:sz w:val="18"/>
                <w:szCs w:val="18"/>
              </w:rPr>
              <w:br/>
              <w:t>EN 238</w:t>
            </w:r>
          </w:p>
        </w:tc>
      </w:tr>
      <w:tr w:rsidR="00EF3867" w:rsidRPr="00913FB6" w:rsidTr="00250F8C">
        <w:trPr>
          <w:trHeight w:val="85"/>
        </w:trPr>
        <w:tc>
          <w:tcPr>
            <w:tcW w:w="2778" w:type="dxa"/>
          </w:tcPr>
          <w:p w:rsidR="00EF3867" w:rsidRPr="00913FB6" w:rsidRDefault="00250F8C"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Saturés</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4309" w:type="dxa"/>
            <w:gridSpan w:val="2"/>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Valeur déclarée</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22854</w:t>
            </w:r>
          </w:p>
        </w:tc>
      </w:tr>
      <w:tr w:rsidR="00EF3867" w:rsidRPr="00913FB6" w:rsidTr="00250F8C">
        <w:trPr>
          <w:trHeight w:val="106"/>
        </w:trPr>
        <w:tc>
          <w:tcPr>
            <w:tcW w:w="2778"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Rapport carbone/hydrogène</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4309" w:type="dxa"/>
            <w:gridSpan w:val="2"/>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Valeur déclarée</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bCs/>
                <w:sz w:val="18"/>
                <w:szCs w:val="18"/>
              </w:rPr>
              <w:t> </w:t>
            </w:r>
          </w:p>
        </w:tc>
      </w:tr>
      <w:tr w:rsidR="00EF3867" w:rsidRPr="00913FB6" w:rsidTr="00250F8C">
        <w:trPr>
          <w:trHeight w:val="85"/>
        </w:trPr>
        <w:tc>
          <w:tcPr>
            <w:tcW w:w="2778"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Rapport carbone/oxygène</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4309" w:type="dxa"/>
            <w:gridSpan w:val="2"/>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Valeur déclarée</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bCs/>
                <w:sz w:val="18"/>
                <w:szCs w:val="18"/>
              </w:rPr>
              <w:t> </w:t>
            </w:r>
          </w:p>
        </w:tc>
      </w:tr>
      <w:tr w:rsidR="00EF3867" w:rsidRPr="00913FB6" w:rsidTr="00250F8C">
        <w:trPr>
          <w:trHeight w:val="98"/>
        </w:trPr>
        <w:tc>
          <w:tcPr>
            <w:tcW w:w="2778"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Période d’induction</w:t>
            </w:r>
            <w:r w:rsidRPr="00913FB6">
              <w:rPr>
                <w:rFonts w:asciiTheme="majorBidi" w:hAnsiTheme="majorBidi" w:cstheme="majorBidi"/>
                <w:i/>
                <w:iCs/>
                <w:sz w:val="18"/>
                <w:szCs w:val="18"/>
                <w:vertAlign w:val="superscript"/>
              </w:rPr>
              <w:t>3</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minutes</w:t>
            </w:r>
          </w:p>
        </w:tc>
        <w:tc>
          <w:tcPr>
            <w:tcW w:w="2154"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480</w:t>
            </w:r>
          </w:p>
        </w:tc>
        <w:tc>
          <w:tcPr>
            <w:tcW w:w="2155" w:type="dxa"/>
          </w:tcPr>
          <w:p w:rsidR="00EF3867" w:rsidRPr="00913FB6" w:rsidRDefault="00A97C8E"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ISO 7536</w:t>
            </w:r>
          </w:p>
        </w:tc>
      </w:tr>
      <w:tr w:rsidR="00EF3867" w:rsidRPr="00913FB6" w:rsidTr="00250F8C">
        <w:trPr>
          <w:trHeight w:val="85"/>
        </w:trPr>
        <w:tc>
          <w:tcPr>
            <w:tcW w:w="2778"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Teneur en oxygène</w:t>
            </w:r>
            <w:r w:rsidRPr="00913FB6">
              <w:rPr>
                <w:rFonts w:asciiTheme="majorBidi" w:hAnsiTheme="majorBidi" w:cstheme="majorBidi"/>
                <w:i/>
                <w:iCs/>
                <w:sz w:val="18"/>
                <w:szCs w:val="18"/>
                <w:vertAlign w:val="superscript"/>
              </w:rPr>
              <w:t>4</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m/m</w:t>
            </w:r>
          </w:p>
        </w:tc>
        <w:tc>
          <w:tcPr>
            <w:tcW w:w="2154"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3,3</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3,7</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22854</w:t>
            </w:r>
          </w:p>
        </w:tc>
      </w:tr>
      <w:tr w:rsidR="00EF3867" w:rsidRPr="00913FB6" w:rsidTr="00250F8C">
        <w:trPr>
          <w:trHeight w:val="218"/>
        </w:trPr>
        <w:tc>
          <w:tcPr>
            <w:tcW w:w="2778"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Gomme lavée avec un solvant (teneur en gomme actuelle)</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mg/100 ml</w:t>
            </w:r>
          </w:p>
        </w:tc>
        <w:tc>
          <w:tcPr>
            <w:tcW w:w="2154" w:type="dxa"/>
          </w:tcPr>
          <w:p w:rsidR="00EF3867" w:rsidRPr="00913FB6" w:rsidRDefault="00A97C8E"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4</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ISO 6246</w:t>
            </w:r>
          </w:p>
        </w:tc>
      </w:tr>
      <w:tr w:rsidR="00EF3867" w:rsidRPr="00913FB6" w:rsidTr="00250F8C">
        <w:trPr>
          <w:trHeight w:val="96"/>
        </w:trPr>
        <w:tc>
          <w:tcPr>
            <w:tcW w:w="2778"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Teneur en soufre</w:t>
            </w:r>
            <w:r w:rsidRPr="00913FB6">
              <w:rPr>
                <w:rFonts w:asciiTheme="majorBidi" w:hAnsiTheme="majorBidi" w:cstheme="majorBidi"/>
                <w:i/>
                <w:iCs/>
                <w:sz w:val="18"/>
                <w:szCs w:val="18"/>
                <w:vertAlign w:val="superscript"/>
              </w:rPr>
              <w:t>5</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mg/kg</w:t>
            </w:r>
          </w:p>
        </w:tc>
        <w:tc>
          <w:tcPr>
            <w:tcW w:w="2154" w:type="dxa"/>
          </w:tcPr>
          <w:p w:rsidR="00EF3867" w:rsidRPr="00913FB6" w:rsidRDefault="00A97C8E"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10</w:t>
            </w:r>
          </w:p>
        </w:tc>
        <w:tc>
          <w:tcPr>
            <w:tcW w:w="1474" w:type="dxa"/>
          </w:tcPr>
          <w:p w:rsidR="00EF3867" w:rsidRPr="00913FB6" w:rsidRDefault="0025768C"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 xml:space="preserve">EN ISO 20846 </w:t>
            </w:r>
            <w:r w:rsidRPr="00913FB6">
              <w:rPr>
                <w:rFonts w:asciiTheme="majorBidi" w:hAnsiTheme="majorBidi" w:cstheme="majorBidi"/>
                <w:sz w:val="18"/>
                <w:szCs w:val="18"/>
              </w:rPr>
              <w:br/>
              <w:t xml:space="preserve">EN </w:t>
            </w:r>
            <w:r w:rsidR="00EF3867" w:rsidRPr="00913FB6">
              <w:rPr>
                <w:rFonts w:asciiTheme="majorBidi" w:hAnsiTheme="majorBidi" w:cstheme="majorBidi"/>
                <w:sz w:val="18"/>
                <w:szCs w:val="18"/>
              </w:rPr>
              <w:t>ISO 20884</w:t>
            </w:r>
          </w:p>
        </w:tc>
      </w:tr>
      <w:tr w:rsidR="00EF3867" w:rsidRPr="00913FB6" w:rsidTr="00250F8C">
        <w:trPr>
          <w:trHeight w:val="85"/>
        </w:trPr>
        <w:tc>
          <w:tcPr>
            <w:tcW w:w="2778"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Corrosion du cuivre 3h, 50 °C</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Pr>
          <w:p w:rsidR="00EF3867" w:rsidRPr="00913FB6" w:rsidRDefault="00A97C8E"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classe 1</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ISO 2160</w:t>
            </w:r>
          </w:p>
        </w:tc>
      </w:tr>
      <w:tr w:rsidR="00EF3867" w:rsidRPr="00913FB6" w:rsidTr="00250F8C">
        <w:trPr>
          <w:trHeight w:val="85"/>
        </w:trPr>
        <w:tc>
          <w:tcPr>
            <w:tcW w:w="2778"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Teneur en plomb</w:t>
            </w:r>
          </w:p>
        </w:tc>
        <w:tc>
          <w:tcPr>
            <w:tcW w:w="1077"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mg/l</w:t>
            </w:r>
          </w:p>
        </w:tc>
        <w:tc>
          <w:tcPr>
            <w:tcW w:w="2154" w:type="dxa"/>
          </w:tcPr>
          <w:p w:rsidR="00EF3867" w:rsidRPr="00913FB6" w:rsidRDefault="00A97C8E"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2155" w:type="dxa"/>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5</w:t>
            </w:r>
          </w:p>
        </w:tc>
        <w:tc>
          <w:tcPr>
            <w:tcW w:w="1474" w:type="dxa"/>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237</w:t>
            </w:r>
          </w:p>
        </w:tc>
      </w:tr>
      <w:tr w:rsidR="00EF3867" w:rsidRPr="00913FB6" w:rsidTr="00250F8C">
        <w:trPr>
          <w:trHeight w:val="85"/>
        </w:trPr>
        <w:tc>
          <w:tcPr>
            <w:tcW w:w="2778" w:type="dxa"/>
            <w:tcBorders>
              <w:bottom w:val="single" w:sz="2" w:space="0" w:color="auto"/>
            </w:tcBorders>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Teneur en phosphore</w:t>
            </w:r>
            <w:r w:rsidRPr="00913FB6">
              <w:rPr>
                <w:rFonts w:asciiTheme="majorBidi" w:hAnsiTheme="majorBidi" w:cstheme="majorBidi"/>
                <w:i/>
                <w:iCs/>
                <w:sz w:val="18"/>
                <w:szCs w:val="18"/>
                <w:vertAlign w:val="superscript"/>
              </w:rPr>
              <w:t>6</w:t>
            </w:r>
          </w:p>
        </w:tc>
        <w:tc>
          <w:tcPr>
            <w:tcW w:w="1077" w:type="dxa"/>
            <w:tcBorders>
              <w:bottom w:val="single" w:sz="2" w:space="0" w:color="auto"/>
            </w:tcBorders>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mg/l</w:t>
            </w:r>
          </w:p>
        </w:tc>
        <w:tc>
          <w:tcPr>
            <w:tcW w:w="2154" w:type="dxa"/>
            <w:tcBorders>
              <w:bottom w:val="single" w:sz="2" w:space="0" w:color="auto"/>
            </w:tcBorders>
          </w:tcPr>
          <w:p w:rsidR="00EF3867" w:rsidRPr="00913FB6" w:rsidRDefault="00A97C8E"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2155" w:type="dxa"/>
            <w:tcBorders>
              <w:bottom w:val="single" w:sz="2" w:space="0" w:color="auto"/>
            </w:tcBorders>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1,3</w:t>
            </w:r>
          </w:p>
        </w:tc>
        <w:tc>
          <w:tcPr>
            <w:tcW w:w="1474" w:type="dxa"/>
            <w:tcBorders>
              <w:bottom w:val="single" w:sz="2" w:space="0" w:color="auto"/>
            </w:tcBorders>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ASTM D 3231</w:t>
            </w:r>
          </w:p>
        </w:tc>
      </w:tr>
      <w:tr w:rsidR="00EF3867" w:rsidRPr="00913FB6" w:rsidTr="00250F8C">
        <w:trPr>
          <w:trHeight w:val="85"/>
        </w:trPr>
        <w:tc>
          <w:tcPr>
            <w:tcW w:w="2778" w:type="dxa"/>
            <w:tcBorders>
              <w:bottom w:val="single" w:sz="12" w:space="0" w:color="auto"/>
            </w:tcBorders>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sz w:val="18"/>
                <w:szCs w:val="18"/>
              </w:rPr>
            </w:pPr>
            <w:r w:rsidRPr="00913FB6">
              <w:rPr>
                <w:rFonts w:asciiTheme="majorBidi" w:hAnsiTheme="majorBidi" w:cstheme="majorBidi"/>
                <w:sz w:val="18"/>
                <w:szCs w:val="18"/>
              </w:rPr>
              <w:t>Éthanol</w:t>
            </w:r>
            <w:r w:rsidRPr="00913FB6">
              <w:rPr>
                <w:rFonts w:asciiTheme="majorBidi" w:hAnsiTheme="majorBidi" w:cstheme="majorBidi"/>
                <w:i/>
                <w:iCs/>
                <w:sz w:val="18"/>
                <w:szCs w:val="18"/>
                <w:vertAlign w:val="superscript"/>
              </w:rPr>
              <w:t>4</w:t>
            </w:r>
          </w:p>
        </w:tc>
        <w:tc>
          <w:tcPr>
            <w:tcW w:w="1077" w:type="dxa"/>
            <w:tcBorders>
              <w:bottom w:val="single" w:sz="12" w:space="0" w:color="auto"/>
            </w:tcBorders>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Borders>
              <w:bottom w:val="single" w:sz="12" w:space="0" w:color="auto"/>
            </w:tcBorders>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9,0</w:t>
            </w:r>
          </w:p>
        </w:tc>
        <w:tc>
          <w:tcPr>
            <w:tcW w:w="2155" w:type="dxa"/>
            <w:tcBorders>
              <w:bottom w:val="single" w:sz="12" w:space="0" w:color="auto"/>
            </w:tcBorders>
          </w:tcPr>
          <w:p w:rsidR="00EF3867" w:rsidRPr="00913FB6" w:rsidRDefault="00EF3867" w:rsidP="00250F8C">
            <w:pPr>
              <w:widowControl w:val="0"/>
              <w:suppressAutoHyphens w:val="0"/>
              <w:spacing w:before="40" w:after="40" w:line="200" w:lineRule="atLeast"/>
              <w:ind w:left="57" w:right="57"/>
              <w:jc w:val="center"/>
              <w:rPr>
                <w:rFonts w:asciiTheme="majorBidi" w:hAnsiTheme="majorBidi" w:cstheme="majorBidi"/>
                <w:bCs/>
                <w:sz w:val="18"/>
                <w:szCs w:val="18"/>
              </w:rPr>
            </w:pPr>
            <w:r w:rsidRPr="00913FB6">
              <w:rPr>
                <w:rFonts w:asciiTheme="majorBidi" w:hAnsiTheme="majorBidi" w:cstheme="majorBidi"/>
                <w:sz w:val="18"/>
                <w:szCs w:val="18"/>
              </w:rPr>
              <w:t>10,0</w:t>
            </w:r>
          </w:p>
        </w:tc>
        <w:tc>
          <w:tcPr>
            <w:tcW w:w="1474" w:type="dxa"/>
            <w:tcBorders>
              <w:bottom w:val="single" w:sz="12" w:space="0" w:color="auto"/>
            </w:tcBorders>
          </w:tcPr>
          <w:p w:rsidR="00EF3867" w:rsidRPr="00913FB6" w:rsidRDefault="00EF3867" w:rsidP="00250F8C">
            <w:pPr>
              <w:widowControl w:val="0"/>
              <w:suppressAutoHyphens w:val="0"/>
              <w:spacing w:before="40" w:after="40" w:line="200" w:lineRule="atLeast"/>
              <w:ind w:left="57" w:right="57"/>
              <w:rPr>
                <w:rFonts w:asciiTheme="majorBidi" w:hAnsiTheme="majorBidi" w:cstheme="majorBidi"/>
                <w:bCs/>
                <w:sz w:val="18"/>
                <w:szCs w:val="18"/>
              </w:rPr>
            </w:pPr>
            <w:r w:rsidRPr="00913FB6">
              <w:rPr>
                <w:rFonts w:asciiTheme="majorBidi" w:hAnsiTheme="majorBidi" w:cstheme="majorBidi"/>
                <w:sz w:val="18"/>
                <w:szCs w:val="18"/>
              </w:rPr>
              <w:t>EN 22854</w:t>
            </w:r>
          </w:p>
        </w:tc>
      </w:tr>
    </w:tbl>
    <w:p w:rsidR="00604883" w:rsidRPr="00913FB6" w:rsidRDefault="00604883" w:rsidP="0025768C">
      <w:pPr>
        <w:pStyle w:val="FootnoteText"/>
        <w:spacing w:before="120"/>
        <w:ind w:left="0" w:right="0" w:firstLine="170"/>
      </w:pPr>
      <w:r w:rsidRPr="00913FB6">
        <w:rPr>
          <w:vertAlign w:val="superscript"/>
        </w:rPr>
        <w:lastRenderedPageBreak/>
        <w:t>1</w:t>
      </w:r>
      <w:r w:rsidR="00A97C8E" w:rsidRPr="00913FB6">
        <w:t xml:space="preserve">  </w:t>
      </w:r>
      <w:r w:rsidRPr="00913FB6">
        <w:t xml:space="preserve">Les valeurs mentionnées dans les spécifications sont des </w:t>
      </w:r>
      <w:r w:rsidR="009F1A12" w:rsidRPr="00913FB6">
        <w:t>“</w:t>
      </w:r>
      <w:r w:rsidRPr="00913FB6">
        <w:t>valeurs vraies</w:t>
      </w:r>
      <w:r w:rsidR="009F1A12" w:rsidRPr="00913FB6">
        <w:t>”</w:t>
      </w:r>
      <w:r w:rsidRPr="00913FB6">
        <w:t xml:space="preserve">. Les valeurs limites ont été déterminées conformément à la norme ISO 4259 intitulée </w:t>
      </w:r>
      <w:r w:rsidR="00CE51B6" w:rsidRPr="00913FB6">
        <w:t>“</w:t>
      </w:r>
      <w:r w:rsidRPr="00913FB6">
        <w:t>Produits pétroliers − Détermination et application des valeurs de fidélité relatives aux méthodes d’essai</w:t>
      </w:r>
      <w:r w:rsidR="00CE51B6" w:rsidRPr="00913FB6">
        <w:t>”</w:t>
      </w:r>
      <w:r w:rsidRPr="00913FB6">
        <w:t>. Pour la fixation d’un minimum, une différence minimale de 2R par rapport à la valeur zéro a été prise en compte; pour la fixation d’un maximum et d’un minimum, la différence minimale entre ces valeurs est de 4R (R = reproductibilité).</w:t>
      </w:r>
    </w:p>
    <w:p w:rsidR="00604883" w:rsidRPr="00913FB6" w:rsidRDefault="00604883" w:rsidP="0025768C">
      <w:pPr>
        <w:pStyle w:val="FootnoteText"/>
        <w:ind w:left="0" w:right="0" w:firstLine="170"/>
      </w:pPr>
      <w:r w:rsidRPr="00913FB6">
        <w:rPr>
          <w:vertAlign w:val="superscript"/>
        </w:rPr>
        <w:t>2</w:t>
      </w:r>
      <w:r w:rsidR="00A97C8E" w:rsidRPr="00913FB6">
        <w:t xml:space="preserve">  </w:t>
      </w:r>
      <w:r w:rsidRPr="00913FB6">
        <w:t>Malgré cette mesure, qui est nécessaire pour des raisons techniques, le fabricant de carburant doit viser la valeur zéro lorsque la valeur maximale indiquée est de 2R, ou la valeur moyenne lorsqu’il existe un minimum et un maximum. Au cas où il serait nécessaire de vérifier le respect des spécifications pour un carburant, les dispositions de la norme ISO 4259 doivent être appliquées.</w:t>
      </w:r>
    </w:p>
    <w:p w:rsidR="00604883" w:rsidRPr="00913FB6" w:rsidRDefault="00604883" w:rsidP="0025768C">
      <w:pPr>
        <w:pStyle w:val="FootnoteText"/>
        <w:ind w:left="0" w:right="0" w:firstLine="170"/>
      </w:pPr>
      <w:r w:rsidRPr="00913FB6">
        <w:rPr>
          <w:vertAlign w:val="superscript"/>
        </w:rPr>
        <w:t>3</w:t>
      </w:r>
      <w:r w:rsidR="00A97C8E" w:rsidRPr="00913FB6">
        <w:t xml:space="preserve">  </w:t>
      </w:r>
      <w:r w:rsidRPr="00913FB6">
        <w:t>Un facteur de correction de 0,2 pour IOR et IOM doit être soustrait pour le calcul du résultat final conformément à la spécification EN 228:2008.</w:t>
      </w:r>
    </w:p>
    <w:p w:rsidR="00604883" w:rsidRPr="00913FB6" w:rsidRDefault="00604883" w:rsidP="0025768C">
      <w:pPr>
        <w:pStyle w:val="FootnoteText"/>
        <w:ind w:left="0" w:right="0" w:firstLine="170"/>
      </w:pPr>
      <w:r w:rsidRPr="00913FB6">
        <w:rPr>
          <w:vertAlign w:val="superscript"/>
        </w:rPr>
        <w:t>4</w:t>
      </w:r>
      <w:r w:rsidR="00A97C8E" w:rsidRPr="00913FB6">
        <w:t xml:space="preserve">  </w:t>
      </w:r>
      <w:r w:rsidRPr="00913FB6">
        <w:t>Le carburant peut contenir des additifs antioxydants et des inhibiteurs de catalyse métallique normalement utilisés pour stabiliser les flux d’essence en raffinerie; il ne faut cependant pas y ajouter d’additifs détergents ou dispersants ni d’huiles solvantes.</w:t>
      </w:r>
    </w:p>
    <w:p w:rsidR="00604883" w:rsidRPr="00913FB6" w:rsidRDefault="00604883" w:rsidP="0025768C">
      <w:pPr>
        <w:pStyle w:val="FootnoteText"/>
        <w:ind w:left="0" w:right="0" w:firstLine="170"/>
      </w:pPr>
      <w:r w:rsidRPr="00913FB6">
        <w:rPr>
          <w:vertAlign w:val="superscript"/>
        </w:rPr>
        <w:t>5</w:t>
      </w:r>
      <w:r w:rsidR="00A97C8E" w:rsidRPr="00913FB6">
        <w:t xml:space="preserve">  </w:t>
      </w:r>
      <w:r w:rsidRPr="00913FB6">
        <w:t>Le seul oxygénant pouvant être ajouté délibérément au carburant de référence est l’éthanol conforme à la norme EN 15376.</w:t>
      </w:r>
    </w:p>
    <w:p w:rsidR="00604883" w:rsidRPr="00913FB6" w:rsidRDefault="00604883" w:rsidP="0025768C">
      <w:pPr>
        <w:pStyle w:val="FootnoteText"/>
        <w:ind w:left="0" w:right="0" w:firstLine="170"/>
      </w:pPr>
      <w:r w:rsidRPr="00913FB6">
        <w:rPr>
          <w:vertAlign w:val="superscript"/>
        </w:rPr>
        <w:t>6</w:t>
      </w:r>
      <w:r w:rsidR="00A97C8E" w:rsidRPr="00913FB6">
        <w:t xml:space="preserve">  </w:t>
      </w:r>
      <w:r w:rsidRPr="00913FB6">
        <w:t>Il convient de communiquer la teneur en soufre effective du carburant utilisé pour les essais du type 1.</w:t>
      </w:r>
    </w:p>
    <w:p w:rsidR="00604883" w:rsidRPr="00913FB6" w:rsidRDefault="00604883" w:rsidP="0025768C">
      <w:pPr>
        <w:pStyle w:val="FootnoteText"/>
        <w:tabs>
          <w:tab w:val="clear" w:pos="1021"/>
        </w:tabs>
        <w:spacing w:after="240"/>
        <w:ind w:left="0" w:right="0" w:firstLine="170"/>
        <w:rPr>
          <w:i/>
          <w:szCs w:val="24"/>
        </w:rPr>
      </w:pPr>
      <w:r w:rsidRPr="00913FB6">
        <w:rPr>
          <w:vertAlign w:val="superscript"/>
        </w:rPr>
        <w:t>7</w:t>
      </w:r>
      <w:r w:rsidR="00A97C8E" w:rsidRPr="00913FB6">
        <w:t xml:space="preserve">  </w:t>
      </w:r>
      <w:r w:rsidRPr="00913FB6">
        <w:t>Aucun composant contenant du phosphore, du fer, du manganèse ou du plomb ne doit être ajouté délibérément au carburant de référence.</w:t>
      </w:r>
      <w:r w:rsidRPr="00913FB6">
        <w:rPr>
          <w:sz w:val="20"/>
        </w:rPr>
        <w:t>».</w:t>
      </w:r>
    </w:p>
    <w:p w:rsidR="00EF3867" w:rsidRPr="00913FB6" w:rsidRDefault="00EF3867" w:rsidP="007E2C27">
      <w:pPr>
        <w:pStyle w:val="SingleTxtG"/>
        <w:keepNext/>
        <w:rPr>
          <w:rFonts w:asciiTheme="majorBidi" w:hAnsiTheme="majorBidi" w:cstheme="majorBidi"/>
          <w:szCs w:val="24"/>
        </w:rPr>
      </w:pPr>
      <w:r w:rsidRPr="00913FB6">
        <w:rPr>
          <w:rFonts w:asciiTheme="majorBidi" w:hAnsiTheme="majorBidi" w:cstheme="majorBidi"/>
          <w:i/>
          <w:szCs w:val="24"/>
        </w:rPr>
        <w:t>Annexe 10, paragraphe 1.1</w:t>
      </w:r>
      <w:r w:rsidRPr="00913FB6">
        <w:rPr>
          <w:rFonts w:asciiTheme="majorBidi" w:hAnsiTheme="majorBidi" w:cstheme="majorBidi"/>
          <w:szCs w:val="24"/>
        </w:rPr>
        <w:t xml:space="preserve">, ajouter le </w:t>
      </w:r>
      <w:r w:rsidRPr="00913FB6">
        <w:t>tableau</w:t>
      </w:r>
      <w:r w:rsidRPr="00913FB6">
        <w:rPr>
          <w:rFonts w:asciiTheme="majorBidi" w:hAnsiTheme="majorBidi" w:cstheme="majorBidi"/>
          <w:szCs w:val="24"/>
        </w:rPr>
        <w:t xml:space="preserve"> suivant après le tableau «Type: Gazole (B5)»:</w:t>
      </w:r>
    </w:p>
    <w:p w:rsidR="00EF3867" w:rsidRPr="00913FB6" w:rsidRDefault="00EF3867" w:rsidP="007E2C27">
      <w:pPr>
        <w:pStyle w:val="Heading1"/>
        <w:spacing w:after="120"/>
        <w:ind w:left="0"/>
        <w:rPr>
          <w:b/>
          <w:bCs/>
        </w:rPr>
      </w:pPr>
      <w:r w:rsidRPr="00913FB6">
        <w:t>«</w:t>
      </w:r>
      <w:r w:rsidRPr="00913FB6">
        <w:rPr>
          <w:b/>
          <w:bCs/>
        </w:rPr>
        <w:t>Type: Gazole (B7)</w:t>
      </w: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78"/>
        <w:gridCol w:w="1077"/>
        <w:gridCol w:w="2154"/>
        <w:gridCol w:w="2155"/>
        <w:gridCol w:w="1474"/>
      </w:tblGrid>
      <w:tr w:rsidR="00913FB6" w:rsidRPr="00913FB6" w:rsidTr="0025768C">
        <w:trPr>
          <w:cantSplit/>
          <w:trHeight w:val="280"/>
          <w:tblHeader/>
        </w:trPr>
        <w:tc>
          <w:tcPr>
            <w:tcW w:w="2778" w:type="dxa"/>
            <w:vMerge w:val="restart"/>
            <w:vAlign w:val="bottom"/>
          </w:tcPr>
          <w:p w:rsidR="0025768C" w:rsidRPr="00913FB6" w:rsidRDefault="0025768C" w:rsidP="00250F8C">
            <w:pPr>
              <w:widowControl w:val="0"/>
              <w:suppressAutoHyphens w:val="0"/>
              <w:spacing w:before="40" w:after="40" w:line="200" w:lineRule="exact"/>
              <w:ind w:left="57" w:right="57"/>
              <w:rPr>
                <w:rFonts w:asciiTheme="majorBidi" w:hAnsiTheme="majorBidi" w:cstheme="majorBidi"/>
                <w:i/>
                <w:sz w:val="16"/>
                <w:szCs w:val="16"/>
              </w:rPr>
            </w:pPr>
            <w:r w:rsidRPr="00913FB6">
              <w:rPr>
                <w:rFonts w:asciiTheme="majorBidi" w:hAnsiTheme="majorBidi" w:cstheme="majorBidi"/>
                <w:i/>
                <w:sz w:val="16"/>
                <w:szCs w:val="16"/>
              </w:rPr>
              <w:t>Paramètre</w:t>
            </w:r>
          </w:p>
        </w:tc>
        <w:tc>
          <w:tcPr>
            <w:tcW w:w="1077" w:type="dxa"/>
            <w:vMerge w:val="restart"/>
            <w:vAlign w:val="bottom"/>
          </w:tcPr>
          <w:p w:rsidR="0025768C" w:rsidRPr="00913FB6" w:rsidRDefault="0025768C" w:rsidP="00250F8C">
            <w:pPr>
              <w:widowControl w:val="0"/>
              <w:suppressAutoHyphens w:val="0"/>
              <w:spacing w:before="40" w:after="40" w:line="200" w:lineRule="exact"/>
              <w:ind w:left="57" w:right="57"/>
              <w:jc w:val="center"/>
              <w:rPr>
                <w:rFonts w:asciiTheme="majorBidi" w:hAnsiTheme="majorBidi" w:cstheme="majorBidi"/>
                <w:i/>
                <w:sz w:val="16"/>
                <w:szCs w:val="16"/>
              </w:rPr>
            </w:pPr>
            <w:r w:rsidRPr="00913FB6">
              <w:rPr>
                <w:rFonts w:asciiTheme="majorBidi" w:hAnsiTheme="majorBidi" w:cstheme="majorBidi"/>
                <w:i/>
                <w:sz w:val="16"/>
                <w:szCs w:val="16"/>
              </w:rPr>
              <w:t>Unité</w:t>
            </w:r>
          </w:p>
        </w:tc>
        <w:tc>
          <w:tcPr>
            <w:tcW w:w="4309" w:type="dxa"/>
            <w:gridSpan w:val="2"/>
            <w:tcBorders>
              <w:bottom w:val="single" w:sz="2" w:space="0" w:color="auto"/>
            </w:tcBorders>
            <w:vAlign w:val="bottom"/>
          </w:tcPr>
          <w:p w:rsidR="0025768C" w:rsidRPr="00913FB6" w:rsidRDefault="0025768C" w:rsidP="00250F8C">
            <w:pPr>
              <w:widowControl w:val="0"/>
              <w:suppressAutoHyphens w:val="0"/>
              <w:spacing w:before="40" w:after="40" w:line="200" w:lineRule="exact"/>
              <w:ind w:left="57" w:right="57"/>
              <w:jc w:val="center"/>
              <w:rPr>
                <w:rFonts w:asciiTheme="majorBidi" w:hAnsiTheme="majorBidi" w:cstheme="majorBidi"/>
                <w:i/>
                <w:sz w:val="16"/>
                <w:szCs w:val="16"/>
              </w:rPr>
            </w:pPr>
            <w:r w:rsidRPr="00913FB6">
              <w:rPr>
                <w:rFonts w:asciiTheme="majorBidi" w:hAnsiTheme="majorBidi" w:cstheme="majorBidi"/>
                <w:i/>
                <w:sz w:val="16"/>
                <w:szCs w:val="16"/>
              </w:rPr>
              <w:t>Limites</w:t>
            </w:r>
            <w:r w:rsidRPr="00913FB6">
              <w:rPr>
                <w:rFonts w:asciiTheme="majorBidi" w:hAnsiTheme="majorBidi" w:cstheme="majorBidi"/>
                <w:sz w:val="16"/>
                <w:szCs w:val="16"/>
                <w:vertAlign w:val="superscript"/>
              </w:rPr>
              <w:t>1</w:t>
            </w:r>
          </w:p>
        </w:tc>
        <w:tc>
          <w:tcPr>
            <w:tcW w:w="1474" w:type="dxa"/>
            <w:vMerge w:val="restart"/>
            <w:vAlign w:val="bottom"/>
          </w:tcPr>
          <w:p w:rsidR="0025768C" w:rsidRPr="00913FB6" w:rsidRDefault="0025768C" w:rsidP="00250F8C">
            <w:pPr>
              <w:widowControl w:val="0"/>
              <w:suppressAutoHyphens w:val="0"/>
              <w:spacing w:before="40" w:after="40" w:line="200" w:lineRule="exact"/>
              <w:ind w:left="57" w:right="57"/>
              <w:rPr>
                <w:rFonts w:asciiTheme="majorBidi" w:hAnsiTheme="majorBidi" w:cstheme="majorBidi"/>
                <w:i/>
                <w:sz w:val="16"/>
                <w:szCs w:val="16"/>
              </w:rPr>
            </w:pPr>
            <w:r w:rsidRPr="00913FB6">
              <w:rPr>
                <w:rFonts w:asciiTheme="majorBidi" w:hAnsiTheme="majorBidi" w:cstheme="majorBidi"/>
                <w:i/>
                <w:sz w:val="16"/>
                <w:szCs w:val="16"/>
              </w:rPr>
              <w:t>Méthode d’essai</w:t>
            </w:r>
          </w:p>
        </w:tc>
      </w:tr>
      <w:tr w:rsidR="00913FB6" w:rsidRPr="00913FB6" w:rsidTr="0025768C">
        <w:trPr>
          <w:cantSplit/>
          <w:trHeight w:val="280"/>
          <w:tblHeader/>
        </w:trPr>
        <w:tc>
          <w:tcPr>
            <w:tcW w:w="2778" w:type="dxa"/>
            <w:vMerge/>
            <w:tcBorders>
              <w:bottom w:val="single" w:sz="12" w:space="0" w:color="auto"/>
            </w:tcBorders>
            <w:vAlign w:val="center"/>
          </w:tcPr>
          <w:p w:rsidR="0025768C" w:rsidRPr="00913FB6" w:rsidRDefault="0025768C" w:rsidP="00250F8C">
            <w:pPr>
              <w:widowControl w:val="0"/>
              <w:suppressAutoHyphens w:val="0"/>
              <w:spacing w:before="40" w:after="40" w:line="200" w:lineRule="exact"/>
              <w:ind w:left="57" w:right="57"/>
              <w:rPr>
                <w:rFonts w:asciiTheme="majorBidi" w:hAnsiTheme="majorBidi" w:cstheme="majorBidi"/>
                <w:i/>
                <w:sz w:val="16"/>
                <w:szCs w:val="16"/>
              </w:rPr>
            </w:pPr>
          </w:p>
        </w:tc>
        <w:tc>
          <w:tcPr>
            <w:tcW w:w="1077" w:type="dxa"/>
            <w:vMerge/>
            <w:tcBorders>
              <w:bottom w:val="single" w:sz="12" w:space="0" w:color="auto"/>
            </w:tcBorders>
            <w:vAlign w:val="center"/>
          </w:tcPr>
          <w:p w:rsidR="0025768C" w:rsidRPr="00913FB6" w:rsidRDefault="0025768C" w:rsidP="00250F8C">
            <w:pPr>
              <w:widowControl w:val="0"/>
              <w:suppressAutoHyphens w:val="0"/>
              <w:spacing w:before="40" w:after="40" w:line="200" w:lineRule="exact"/>
              <w:ind w:left="57" w:right="57"/>
              <w:rPr>
                <w:rFonts w:asciiTheme="majorBidi" w:hAnsiTheme="majorBidi" w:cstheme="majorBidi"/>
                <w:i/>
                <w:sz w:val="16"/>
                <w:szCs w:val="16"/>
              </w:rPr>
            </w:pPr>
          </w:p>
        </w:tc>
        <w:tc>
          <w:tcPr>
            <w:tcW w:w="2154" w:type="dxa"/>
            <w:tcBorders>
              <w:bottom w:val="single" w:sz="12" w:space="0" w:color="auto"/>
            </w:tcBorders>
            <w:vAlign w:val="bottom"/>
          </w:tcPr>
          <w:p w:rsidR="0025768C" w:rsidRPr="00913FB6" w:rsidRDefault="0025768C" w:rsidP="00250F8C">
            <w:pPr>
              <w:widowControl w:val="0"/>
              <w:suppressAutoHyphens w:val="0"/>
              <w:spacing w:before="40" w:after="40" w:line="200" w:lineRule="exact"/>
              <w:ind w:left="57" w:right="57"/>
              <w:jc w:val="center"/>
              <w:rPr>
                <w:rFonts w:asciiTheme="majorBidi" w:hAnsiTheme="majorBidi" w:cstheme="majorBidi"/>
                <w:i/>
                <w:sz w:val="16"/>
                <w:szCs w:val="16"/>
              </w:rPr>
            </w:pPr>
            <w:r w:rsidRPr="00913FB6">
              <w:rPr>
                <w:rFonts w:asciiTheme="majorBidi" w:hAnsiTheme="majorBidi" w:cstheme="majorBidi"/>
                <w:i/>
                <w:sz w:val="16"/>
                <w:szCs w:val="16"/>
              </w:rPr>
              <w:t>Minimale</w:t>
            </w:r>
          </w:p>
        </w:tc>
        <w:tc>
          <w:tcPr>
            <w:tcW w:w="2155" w:type="dxa"/>
            <w:tcBorders>
              <w:bottom w:val="single" w:sz="12" w:space="0" w:color="auto"/>
            </w:tcBorders>
            <w:vAlign w:val="bottom"/>
          </w:tcPr>
          <w:p w:rsidR="0025768C" w:rsidRPr="00913FB6" w:rsidRDefault="0025768C" w:rsidP="00250F8C">
            <w:pPr>
              <w:widowControl w:val="0"/>
              <w:suppressAutoHyphens w:val="0"/>
              <w:spacing w:before="40" w:after="40" w:line="200" w:lineRule="exact"/>
              <w:ind w:left="57" w:right="57"/>
              <w:jc w:val="center"/>
              <w:rPr>
                <w:rFonts w:asciiTheme="majorBidi" w:hAnsiTheme="majorBidi" w:cstheme="majorBidi"/>
                <w:i/>
                <w:sz w:val="16"/>
                <w:szCs w:val="16"/>
              </w:rPr>
            </w:pPr>
            <w:r w:rsidRPr="00913FB6">
              <w:rPr>
                <w:rFonts w:asciiTheme="majorBidi" w:hAnsiTheme="majorBidi" w:cstheme="majorBidi"/>
                <w:i/>
                <w:sz w:val="16"/>
                <w:szCs w:val="16"/>
              </w:rPr>
              <w:t>Maximale</w:t>
            </w:r>
          </w:p>
        </w:tc>
        <w:tc>
          <w:tcPr>
            <w:tcW w:w="1474" w:type="dxa"/>
            <w:vMerge/>
            <w:tcBorders>
              <w:bottom w:val="single" w:sz="12" w:space="0" w:color="auto"/>
            </w:tcBorders>
            <w:vAlign w:val="center"/>
          </w:tcPr>
          <w:p w:rsidR="0025768C" w:rsidRPr="00913FB6" w:rsidRDefault="0025768C" w:rsidP="00250F8C">
            <w:pPr>
              <w:widowControl w:val="0"/>
              <w:suppressAutoHyphens w:val="0"/>
              <w:spacing w:before="40" w:after="40" w:line="200" w:lineRule="exact"/>
              <w:ind w:left="57" w:right="57"/>
              <w:rPr>
                <w:rFonts w:asciiTheme="majorBidi" w:hAnsiTheme="majorBidi" w:cstheme="majorBidi"/>
                <w:sz w:val="18"/>
                <w:szCs w:val="18"/>
              </w:rPr>
            </w:pPr>
          </w:p>
        </w:tc>
      </w:tr>
      <w:tr w:rsidR="00913FB6" w:rsidRPr="00913FB6" w:rsidTr="0025768C">
        <w:trPr>
          <w:cantSplit/>
          <w:trHeight w:val="163"/>
        </w:trPr>
        <w:tc>
          <w:tcPr>
            <w:tcW w:w="2778" w:type="dxa"/>
            <w:tcBorders>
              <w:top w:val="single" w:sz="12" w:space="0" w:color="auto"/>
            </w:tcBorders>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Cétane calculé</w:t>
            </w:r>
          </w:p>
        </w:tc>
        <w:tc>
          <w:tcPr>
            <w:tcW w:w="1077" w:type="dxa"/>
            <w:tcBorders>
              <w:top w:val="single" w:sz="12" w:space="0" w:color="auto"/>
            </w:tcBorders>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Borders>
              <w:top w:val="single" w:sz="12" w:space="0" w:color="auto"/>
            </w:tcBorders>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46,0</w:t>
            </w:r>
          </w:p>
        </w:tc>
        <w:tc>
          <w:tcPr>
            <w:tcW w:w="2155" w:type="dxa"/>
            <w:tcBorders>
              <w:top w:val="single" w:sz="12" w:space="0" w:color="auto"/>
            </w:tcBorders>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1474" w:type="dxa"/>
            <w:tcBorders>
              <w:top w:val="single" w:sz="12" w:space="0" w:color="auto"/>
            </w:tcBorders>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ISO 4264</w:t>
            </w:r>
          </w:p>
        </w:tc>
      </w:tr>
      <w:tr w:rsidR="00913FB6" w:rsidRPr="00913FB6" w:rsidTr="0025768C">
        <w:trPr>
          <w:cantSplit/>
          <w:trHeight w:val="222"/>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Cétane mesuré</w:t>
            </w:r>
            <w:r w:rsidRPr="00913FB6">
              <w:rPr>
                <w:rFonts w:asciiTheme="majorBidi" w:hAnsiTheme="majorBidi" w:cstheme="majorBidi"/>
                <w:i/>
                <w:iCs/>
                <w:sz w:val="18"/>
                <w:szCs w:val="18"/>
                <w:vertAlign w:val="superscript"/>
              </w:rPr>
              <w:t>2</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52,0</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56,0</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ISO 5165</w:t>
            </w:r>
          </w:p>
        </w:tc>
      </w:tr>
      <w:tr w:rsidR="00913FB6" w:rsidRPr="00913FB6" w:rsidTr="0025768C">
        <w:trPr>
          <w:cantSplit/>
          <w:trHeight w:val="141"/>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Densité à 15 °C</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kg/m</w:t>
            </w:r>
            <w:r w:rsidRPr="00913FB6">
              <w:rPr>
                <w:rFonts w:asciiTheme="majorBidi" w:hAnsiTheme="majorBidi" w:cstheme="majorBidi"/>
                <w:sz w:val="18"/>
                <w:szCs w:val="18"/>
                <w:vertAlign w:val="superscript"/>
              </w:rPr>
              <w:t>3</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833,0</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837,0</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ISO 12185</w:t>
            </w:r>
          </w:p>
        </w:tc>
      </w:tr>
      <w:tr w:rsidR="00913FB6" w:rsidRPr="00913FB6" w:rsidTr="0025768C">
        <w:trPr>
          <w:cantSplit/>
          <w:trHeight w:val="201"/>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Distillation:</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 </w:t>
            </w:r>
          </w:p>
        </w:tc>
      </w:tr>
      <w:tr w:rsidR="00913FB6" w:rsidRPr="00913FB6" w:rsidTr="0025768C">
        <w:trPr>
          <w:cantSplit/>
          <w:trHeight w:val="74"/>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 Point 50</w:t>
            </w:r>
            <w:r w:rsidR="00C0013A" w:rsidRPr="00913FB6">
              <w:rPr>
                <w:rFonts w:asciiTheme="majorBidi" w:hAnsiTheme="majorBidi" w:cstheme="majorBidi"/>
                <w:sz w:val="18"/>
                <w:szCs w:val="18"/>
              </w:rPr>
              <w:t xml:space="preserve"> </w:t>
            </w:r>
            <w:r w:rsidRPr="00913FB6">
              <w:rPr>
                <w:rFonts w:asciiTheme="majorBidi" w:hAnsiTheme="majorBidi" w:cstheme="majorBidi"/>
                <w:sz w:val="18"/>
                <w:szCs w:val="18"/>
              </w:rPr>
              <w:t>%</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°C</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245,0</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ISO 3405</w:t>
            </w:r>
          </w:p>
        </w:tc>
      </w:tr>
      <w:tr w:rsidR="00913FB6" w:rsidRPr="00913FB6" w:rsidTr="0025768C">
        <w:trPr>
          <w:cantSplit/>
          <w:trHeight w:val="122"/>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 Point 95</w:t>
            </w:r>
            <w:r w:rsidR="00C0013A" w:rsidRPr="00913FB6">
              <w:rPr>
                <w:rFonts w:asciiTheme="majorBidi" w:hAnsiTheme="majorBidi" w:cstheme="majorBidi"/>
                <w:sz w:val="18"/>
                <w:szCs w:val="18"/>
              </w:rPr>
              <w:t xml:space="preserve"> </w:t>
            </w:r>
            <w:r w:rsidRPr="00913FB6">
              <w:rPr>
                <w:rFonts w:asciiTheme="majorBidi" w:hAnsiTheme="majorBidi" w:cstheme="majorBidi"/>
                <w:sz w:val="18"/>
                <w:szCs w:val="18"/>
              </w:rPr>
              <w:t>%</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°C</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345,0</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360,0</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ISO 3405</w:t>
            </w:r>
          </w:p>
        </w:tc>
      </w:tr>
      <w:tr w:rsidR="00913FB6" w:rsidRPr="00913FB6" w:rsidTr="0025768C">
        <w:trPr>
          <w:cantSplit/>
          <w:trHeight w:val="64"/>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 Point d’ébullition final</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°C</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370,0</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ISO 3405</w:t>
            </w:r>
          </w:p>
        </w:tc>
      </w:tr>
      <w:tr w:rsidR="00913FB6" w:rsidRPr="00913FB6" w:rsidTr="0025768C">
        <w:trPr>
          <w:cantSplit/>
          <w:trHeight w:val="198"/>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Point d’éclair</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°C</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55</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ISO 2719</w:t>
            </w:r>
          </w:p>
        </w:tc>
      </w:tr>
      <w:tr w:rsidR="00913FB6" w:rsidRPr="00913FB6" w:rsidTr="0025768C">
        <w:trPr>
          <w:cantSplit/>
          <w:trHeight w:val="116"/>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Point de trouble</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°C</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-10</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23015</w:t>
            </w:r>
          </w:p>
        </w:tc>
      </w:tr>
      <w:tr w:rsidR="00913FB6" w:rsidRPr="00913FB6" w:rsidTr="0025768C">
        <w:trPr>
          <w:cantSplit/>
          <w:trHeight w:val="189"/>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Viscosité à 40 °C</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mm</w:t>
            </w:r>
            <w:r w:rsidRPr="00913FB6">
              <w:rPr>
                <w:rFonts w:asciiTheme="majorBidi" w:hAnsiTheme="majorBidi" w:cstheme="majorBidi"/>
                <w:sz w:val="18"/>
                <w:szCs w:val="18"/>
                <w:vertAlign w:val="superscript"/>
              </w:rPr>
              <w:t>2</w:t>
            </w:r>
            <w:r w:rsidRPr="00913FB6">
              <w:rPr>
                <w:rFonts w:asciiTheme="majorBidi" w:hAnsiTheme="majorBidi" w:cstheme="majorBidi"/>
                <w:sz w:val="18"/>
                <w:szCs w:val="18"/>
              </w:rPr>
              <w:t>/s</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2,30</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3,30</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ISO 3104</w:t>
            </w:r>
          </w:p>
        </w:tc>
      </w:tr>
      <w:tr w:rsidR="00913FB6" w:rsidRPr="00913FB6" w:rsidTr="0025768C">
        <w:trPr>
          <w:cantSplit/>
          <w:trHeight w:val="108"/>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Hydrocarbures aromatiques polycycliques</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m/m</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2,0</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4,0</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12916</w:t>
            </w:r>
          </w:p>
        </w:tc>
      </w:tr>
      <w:tr w:rsidR="00913FB6" w:rsidRPr="00913FB6" w:rsidTr="0025768C">
        <w:trPr>
          <w:cantSplit/>
          <w:trHeight w:val="323"/>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Teneur en soufre</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mg/kg</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10,0</w:t>
            </w:r>
          </w:p>
        </w:tc>
        <w:tc>
          <w:tcPr>
            <w:tcW w:w="1474" w:type="dxa"/>
          </w:tcPr>
          <w:p w:rsidR="003A4F3B" w:rsidRPr="00913FB6" w:rsidRDefault="003A4F3B"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w:t>
            </w:r>
            <w:r w:rsidR="00C0013A" w:rsidRPr="00913FB6">
              <w:rPr>
                <w:rFonts w:asciiTheme="majorBidi" w:hAnsiTheme="majorBidi" w:cstheme="majorBidi"/>
                <w:sz w:val="18"/>
                <w:szCs w:val="18"/>
              </w:rPr>
              <w:t xml:space="preserve"> </w:t>
            </w:r>
            <w:r w:rsidRPr="00913FB6">
              <w:rPr>
                <w:rFonts w:asciiTheme="majorBidi" w:hAnsiTheme="majorBidi" w:cstheme="majorBidi"/>
                <w:sz w:val="18"/>
                <w:szCs w:val="18"/>
              </w:rPr>
              <w:t>ISO 20846</w:t>
            </w:r>
            <w:r w:rsidRPr="00913FB6">
              <w:rPr>
                <w:rFonts w:asciiTheme="majorBidi" w:hAnsiTheme="majorBidi" w:cstheme="majorBidi"/>
                <w:sz w:val="18"/>
                <w:szCs w:val="18"/>
              </w:rPr>
              <w:br/>
              <w:t>EN</w:t>
            </w:r>
            <w:r w:rsidR="00C0013A" w:rsidRPr="00913FB6">
              <w:rPr>
                <w:rFonts w:asciiTheme="majorBidi" w:hAnsiTheme="majorBidi" w:cstheme="majorBidi"/>
                <w:sz w:val="18"/>
                <w:szCs w:val="18"/>
              </w:rPr>
              <w:t xml:space="preserve"> </w:t>
            </w:r>
            <w:r w:rsidRPr="00913FB6">
              <w:rPr>
                <w:rFonts w:asciiTheme="majorBidi" w:hAnsiTheme="majorBidi" w:cstheme="majorBidi"/>
                <w:sz w:val="18"/>
                <w:szCs w:val="18"/>
              </w:rPr>
              <w:t>ISO 20884</w:t>
            </w:r>
          </w:p>
        </w:tc>
      </w:tr>
      <w:tr w:rsidR="00913FB6" w:rsidRPr="00913FB6" w:rsidTr="0025768C">
        <w:trPr>
          <w:cantSplit/>
          <w:trHeight w:val="64"/>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Corrosion du cuivre 3 h, 50 °C</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Classe 1</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ISO 2160</w:t>
            </w:r>
          </w:p>
        </w:tc>
      </w:tr>
      <w:tr w:rsidR="00913FB6" w:rsidRPr="00913FB6" w:rsidTr="0025768C">
        <w:trPr>
          <w:cantSplit/>
          <w:trHeight w:val="91"/>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Résidu de carbone Conradson (10 % DR)</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m/m</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0,20</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ISO 10370</w:t>
            </w:r>
          </w:p>
        </w:tc>
      </w:tr>
      <w:tr w:rsidR="00913FB6" w:rsidRPr="00913FB6" w:rsidTr="0025768C">
        <w:trPr>
          <w:cantSplit/>
          <w:trHeight w:val="64"/>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Teneur en cendres</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m/m</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0,010</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ISO 6245</w:t>
            </w:r>
          </w:p>
        </w:tc>
      </w:tr>
      <w:tr w:rsidR="00913FB6" w:rsidRPr="00913FB6" w:rsidTr="0025768C">
        <w:trPr>
          <w:cantSplit/>
          <w:trHeight w:val="98"/>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Contamination totale</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mg/kg</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24</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12662</w:t>
            </w:r>
          </w:p>
        </w:tc>
      </w:tr>
      <w:tr w:rsidR="00913FB6" w:rsidRPr="00913FB6" w:rsidTr="0025768C">
        <w:trPr>
          <w:cantSplit/>
          <w:trHeight w:val="157"/>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Teneur en eau</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mg/kg</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200</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ISO 12937</w:t>
            </w:r>
          </w:p>
        </w:tc>
      </w:tr>
      <w:tr w:rsidR="00913FB6" w:rsidRPr="00913FB6" w:rsidTr="0025768C">
        <w:trPr>
          <w:cantSplit/>
          <w:trHeight w:val="232"/>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Indice d’acide</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mg KOH/g</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0,10</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ISO 6618</w:t>
            </w:r>
          </w:p>
        </w:tc>
      </w:tr>
      <w:tr w:rsidR="00913FB6" w:rsidRPr="00913FB6" w:rsidTr="0025768C">
        <w:trPr>
          <w:cantSplit/>
          <w:trHeight w:val="121"/>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Pouvoir lubrifiant (diamètre de la marque d’usure à l’issue de l’essai HFRR à 60 °C)</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μm</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400</w:t>
            </w:r>
          </w:p>
        </w:tc>
        <w:tc>
          <w:tcPr>
            <w:tcW w:w="1474" w:type="dxa"/>
          </w:tcPr>
          <w:p w:rsidR="003A4F3B" w:rsidRPr="00913FB6" w:rsidRDefault="003A4F3B"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w:t>
            </w:r>
            <w:r w:rsidR="00C0013A" w:rsidRPr="00913FB6">
              <w:rPr>
                <w:rFonts w:asciiTheme="majorBidi" w:hAnsiTheme="majorBidi" w:cstheme="majorBidi"/>
                <w:sz w:val="18"/>
                <w:szCs w:val="18"/>
              </w:rPr>
              <w:t xml:space="preserve"> </w:t>
            </w:r>
            <w:r w:rsidRPr="00913FB6">
              <w:rPr>
                <w:rFonts w:asciiTheme="majorBidi" w:hAnsiTheme="majorBidi" w:cstheme="majorBidi"/>
                <w:sz w:val="18"/>
                <w:szCs w:val="18"/>
              </w:rPr>
              <w:t>ISO 12156</w:t>
            </w:r>
          </w:p>
        </w:tc>
      </w:tr>
      <w:tr w:rsidR="00913FB6" w:rsidRPr="00913FB6" w:rsidTr="0025768C">
        <w:trPr>
          <w:cantSplit/>
          <w:trHeight w:val="64"/>
        </w:trPr>
        <w:tc>
          <w:tcPr>
            <w:tcW w:w="2778"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Stabilité à l’oxydation à 110 °C</w:t>
            </w:r>
            <w:r w:rsidRPr="00913FB6">
              <w:rPr>
                <w:rFonts w:asciiTheme="majorBidi" w:hAnsiTheme="majorBidi" w:cstheme="majorBidi"/>
                <w:i/>
                <w:iCs/>
                <w:sz w:val="18"/>
                <w:szCs w:val="18"/>
                <w:vertAlign w:val="superscript"/>
              </w:rPr>
              <w:t>3</w:t>
            </w:r>
          </w:p>
        </w:tc>
        <w:tc>
          <w:tcPr>
            <w:tcW w:w="1077"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h</w:t>
            </w:r>
          </w:p>
        </w:tc>
        <w:tc>
          <w:tcPr>
            <w:tcW w:w="2154"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20,0</w:t>
            </w:r>
          </w:p>
        </w:tc>
        <w:tc>
          <w:tcPr>
            <w:tcW w:w="2155" w:type="dxa"/>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1474" w:type="dxa"/>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15751</w:t>
            </w:r>
          </w:p>
        </w:tc>
      </w:tr>
      <w:tr w:rsidR="00913FB6" w:rsidRPr="00913FB6" w:rsidTr="0025768C">
        <w:trPr>
          <w:cantSplit/>
          <w:trHeight w:val="114"/>
        </w:trPr>
        <w:tc>
          <w:tcPr>
            <w:tcW w:w="2778" w:type="dxa"/>
            <w:tcBorders>
              <w:bottom w:val="single" w:sz="12" w:space="0" w:color="auto"/>
            </w:tcBorders>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FAME</w:t>
            </w:r>
            <w:r w:rsidRPr="00913FB6">
              <w:rPr>
                <w:rFonts w:asciiTheme="majorBidi" w:hAnsiTheme="majorBidi" w:cstheme="majorBidi"/>
                <w:i/>
                <w:iCs/>
                <w:sz w:val="18"/>
                <w:szCs w:val="18"/>
                <w:vertAlign w:val="superscript"/>
              </w:rPr>
              <w:t>4</w:t>
            </w:r>
          </w:p>
        </w:tc>
        <w:tc>
          <w:tcPr>
            <w:tcW w:w="1077" w:type="dxa"/>
            <w:tcBorders>
              <w:bottom w:val="single" w:sz="12" w:space="0" w:color="auto"/>
            </w:tcBorders>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Borders>
              <w:bottom w:val="single" w:sz="12" w:space="0" w:color="auto"/>
            </w:tcBorders>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6,0</w:t>
            </w:r>
          </w:p>
        </w:tc>
        <w:tc>
          <w:tcPr>
            <w:tcW w:w="2155" w:type="dxa"/>
            <w:tcBorders>
              <w:bottom w:val="single" w:sz="12" w:space="0" w:color="auto"/>
            </w:tcBorders>
          </w:tcPr>
          <w:p w:rsidR="003A4F3B" w:rsidRPr="00913FB6" w:rsidRDefault="003A4F3B" w:rsidP="00250F8C">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7,0</w:t>
            </w:r>
          </w:p>
        </w:tc>
        <w:tc>
          <w:tcPr>
            <w:tcW w:w="1474" w:type="dxa"/>
            <w:tcBorders>
              <w:bottom w:val="single" w:sz="12" w:space="0" w:color="auto"/>
            </w:tcBorders>
          </w:tcPr>
          <w:p w:rsidR="003A4F3B" w:rsidRPr="00913FB6" w:rsidRDefault="003A4F3B" w:rsidP="00250F8C">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EN 14078</w:t>
            </w:r>
          </w:p>
        </w:tc>
      </w:tr>
    </w:tbl>
    <w:p w:rsidR="00A97C8E" w:rsidRPr="00913FB6" w:rsidRDefault="00A97C8E" w:rsidP="0025768C">
      <w:pPr>
        <w:pStyle w:val="FootnoteText"/>
        <w:spacing w:before="120"/>
        <w:ind w:left="0" w:right="0" w:firstLine="170"/>
      </w:pPr>
      <w:r w:rsidRPr="00913FB6">
        <w:rPr>
          <w:vertAlign w:val="superscript"/>
        </w:rPr>
        <w:t>1</w:t>
      </w:r>
      <w:r w:rsidRPr="00913FB6">
        <w:t xml:space="preserve">  Les valeurs mentionnées dans les spécifications sont des </w:t>
      </w:r>
      <w:r w:rsidR="009F1A12" w:rsidRPr="00913FB6">
        <w:t>“</w:t>
      </w:r>
      <w:r w:rsidRPr="00913FB6">
        <w:t>valeurs vraies</w:t>
      </w:r>
      <w:r w:rsidR="009F1A12" w:rsidRPr="00913FB6">
        <w:t>”</w:t>
      </w:r>
      <w:r w:rsidRPr="00913FB6">
        <w:t xml:space="preserve">. Les valeurs limites ont été déterminées conformément à la norme ISO 4259 intitulée </w:t>
      </w:r>
      <w:r w:rsidR="009F1A12" w:rsidRPr="00913FB6">
        <w:t>“</w:t>
      </w:r>
      <w:r w:rsidRPr="00913FB6">
        <w:t xml:space="preserve">Produits pétroliers − Détermination et application des valeurs de fidélité relatives aux méthodes </w:t>
      </w:r>
      <w:r w:rsidRPr="00913FB6">
        <w:lastRenderedPageBreak/>
        <w:t>d’essai</w:t>
      </w:r>
      <w:r w:rsidR="009F1A12" w:rsidRPr="00913FB6">
        <w:t>”</w:t>
      </w:r>
      <w:r w:rsidRPr="00913FB6">
        <w:t>. Pour la fixation d’un minimum, une différence minimale de 2R par rapport à la valeur zéro a été prise en compte; pour la fixation d’un maximum et d’un minimum, la différence minimale entre ces valeurs est de 4R (R = reproductibilité). Malgré cette mesure, qui est nécessaire pour des raisons techniques, le fabricant de carburant doit viser la valeur zéro lorsque la valeur maximale indiquée est de 2R ou la valeur moyenne lorsqu’il existe un minimum et un maximum. Au cas où il serait nécessaire de vérifier le respect des spécifications pour un carburant, les dispositions de la norme ISO 4259 doivent être appliquées.</w:t>
      </w:r>
    </w:p>
    <w:p w:rsidR="00A97C8E" w:rsidRPr="00913FB6" w:rsidRDefault="00A97C8E" w:rsidP="0025768C">
      <w:pPr>
        <w:pStyle w:val="FootnoteText"/>
        <w:ind w:left="0" w:right="0" w:firstLine="170"/>
      </w:pPr>
      <w:r w:rsidRPr="00913FB6">
        <w:rPr>
          <w:vertAlign w:val="superscript"/>
        </w:rPr>
        <w:t>2</w:t>
      </w:r>
      <w:r w:rsidRPr="00913FB6">
        <w:t xml:space="preserve">  L’intervalle indiqué pour l’indice de cétane n’est pas conforme au minimum de 4R. Cependant, en cas de différend entre le fournisseur et l’utilisateur du carburant, c’est la norme ISO 4259 qui doit s’appliquer, à condition qu’un nombre suffisant de mesures soit effectué pour parvenir à la précision nécessaire.</w:t>
      </w:r>
    </w:p>
    <w:p w:rsidR="00A97C8E" w:rsidRPr="00913FB6" w:rsidRDefault="00A97C8E" w:rsidP="0025768C">
      <w:pPr>
        <w:pStyle w:val="FootnoteText"/>
        <w:ind w:left="0" w:right="0" w:firstLine="170"/>
      </w:pPr>
      <w:r w:rsidRPr="00913FB6">
        <w:rPr>
          <w:vertAlign w:val="superscript"/>
        </w:rPr>
        <w:t>3</w:t>
      </w:r>
      <w:r w:rsidRPr="00913FB6">
        <w:t xml:space="preserve">  Bien que la stabilité à l’oxydation soit contrôlée, il est probable que la durée de vie du produit sera limitée. Il est recommandé de demander conseil au fournisseur quant aux conditions de stockage et à la durée de vie.</w:t>
      </w:r>
    </w:p>
    <w:p w:rsidR="00A97C8E" w:rsidRPr="00913FB6" w:rsidRDefault="00A97C8E" w:rsidP="0025768C">
      <w:pPr>
        <w:pStyle w:val="FootnoteText"/>
        <w:spacing w:after="240"/>
        <w:ind w:left="0" w:right="0" w:firstLine="170"/>
      </w:pPr>
      <w:r w:rsidRPr="00913FB6">
        <w:rPr>
          <w:vertAlign w:val="superscript"/>
        </w:rPr>
        <w:t>4</w:t>
      </w:r>
      <w:r w:rsidRPr="00913FB6">
        <w:t xml:space="preserve">  La teneur en FAME doit satisfaire aux spécifications de la norme EN 14214.</w:t>
      </w:r>
      <w:r w:rsidRPr="00913FB6">
        <w:rPr>
          <w:sz w:val="20"/>
        </w:rPr>
        <w:t>».</w:t>
      </w:r>
    </w:p>
    <w:p w:rsidR="00EF3867" w:rsidRPr="00913FB6" w:rsidRDefault="00EF3867" w:rsidP="003A4F3B">
      <w:pPr>
        <w:pStyle w:val="SingleTxtG"/>
        <w:keepNext/>
      </w:pPr>
      <w:r w:rsidRPr="00913FB6">
        <w:rPr>
          <w:i/>
        </w:rPr>
        <w:t>Annexe 10, paragraphe 2</w:t>
      </w:r>
      <w:r w:rsidRPr="00913FB6">
        <w:t>, ajouter le tableau suivant entre les tableaux «Type: Essence</w:t>
      </w:r>
      <w:r w:rsidR="00A97C8E" w:rsidRPr="00913FB6">
        <w:t xml:space="preserve"> (E5)» et «Type: Éthanol (E75)»:</w:t>
      </w:r>
    </w:p>
    <w:p w:rsidR="00EF3867" w:rsidRPr="00913FB6" w:rsidRDefault="00EF3867" w:rsidP="00E01DC6">
      <w:pPr>
        <w:pStyle w:val="Heading1"/>
        <w:spacing w:after="120"/>
        <w:ind w:left="0"/>
        <w:rPr>
          <w:b/>
          <w:bCs/>
        </w:rPr>
      </w:pPr>
      <w:r w:rsidRPr="00913FB6">
        <w:t>«</w:t>
      </w:r>
      <w:r w:rsidRPr="00913FB6">
        <w:rPr>
          <w:b/>
          <w:bCs/>
        </w:rPr>
        <w:t>Type: Essence (E10)</w:t>
      </w: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78"/>
        <w:gridCol w:w="1077"/>
        <w:gridCol w:w="2154"/>
        <w:gridCol w:w="2155"/>
        <w:gridCol w:w="1474"/>
      </w:tblGrid>
      <w:tr w:rsidR="00913FB6" w:rsidRPr="00913FB6" w:rsidTr="00C92541">
        <w:trPr>
          <w:trHeight w:val="280"/>
          <w:tblHeader/>
        </w:trPr>
        <w:tc>
          <w:tcPr>
            <w:tcW w:w="2778" w:type="dxa"/>
            <w:vMerge w:val="restart"/>
            <w:vAlign w:val="bottom"/>
          </w:tcPr>
          <w:p w:rsidR="00737D79" w:rsidRPr="00913FB6" w:rsidRDefault="00737D79" w:rsidP="00C0013A">
            <w:pPr>
              <w:widowControl w:val="0"/>
              <w:tabs>
                <w:tab w:val="left" w:pos="735"/>
                <w:tab w:val="center" w:pos="1345"/>
              </w:tabs>
              <w:suppressAutoHyphens w:val="0"/>
              <w:spacing w:before="40" w:after="40" w:line="200" w:lineRule="exact"/>
              <w:ind w:left="57" w:right="57"/>
              <w:rPr>
                <w:rFonts w:asciiTheme="majorBidi" w:hAnsiTheme="majorBidi" w:cstheme="majorBidi"/>
                <w:i/>
                <w:sz w:val="16"/>
                <w:szCs w:val="16"/>
              </w:rPr>
            </w:pPr>
            <w:r w:rsidRPr="00913FB6">
              <w:rPr>
                <w:rFonts w:asciiTheme="majorBidi" w:hAnsiTheme="majorBidi" w:cstheme="majorBidi"/>
                <w:i/>
                <w:sz w:val="16"/>
                <w:szCs w:val="16"/>
              </w:rPr>
              <w:t>Paramètre</w:t>
            </w:r>
          </w:p>
        </w:tc>
        <w:tc>
          <w:tcPr>
            <w:tcW w:w="1077" w:type="dxa"/>
            <w:vMerge w:val="restart"/>
            <w:vAlign w:val="bottom"/>
          </w:tcPr>
          <w:p w:rsidR="00737D79" w:rsidRPr="00913FB6" w:rsidRDefault="00737D79" w:rsidP="00C0013A">
            <w:pPr>
              <w:widowControl w:val="0"/>
              <w:suppressAutoHyphens w:val="0"/>
              <w:spacing w:before="40" w:after="40" w:line="200" w:lineRule="exact"/>
              <w:ind w:left="57" w:right="57"/>
              <w:jc w:val="center"/>
              <w:rPr>
                <w:rFonts w:asciiTheme="majorBidi" w:hAnsiTheme="majorBidi" w:cstheme="majorBidi"/>
                <w:i/>
                <w:sz w:val="16"/>
                <w:szCs w:val="16"/>
              </w:rPr>
            </w:pPr>
            <w:r w:rsidRPr="00913FB6">
              <w:rPr>
                <w:rFonts w:asciiTheme="majorBidi" w:hAnsiTheme="majorBidi" w:cstheme="majorBidi"/>
                <w:i/>
                <w:sz w:val="16"/>
                <w:szCs w:val="16"/>
              </w:rPr>
              <w:t>Unité</w:t>
            </w:r>
          </w:p>
        </w:tc>
        <w:tc>
          <w:tcPr>
            <w:tcW w:w="4309" w:type="dxa"/>
            <w:gridSpan w:val="2"/>
            <w:tcBorders>
              <w:bottom w:val="single" w:sz="2" w:space="0" w:color="auto"/>
            </w:tcBorders>
            <w:vAlign w:val="bottom"/>
          </w:tcPr>
          <w:p w:rsidR="00737D79" w:rsidRPr="00913FB6" w:rsidRDefault="00737D79" w:rsidP="00C0013A">
            <w:pPr>
              <w:widowControl w:val="0"/>
              <w:suppressAutoHyphens w:val="0"/>
              <w:spacing w:before="40" w:after="40" w:line="200" w:lineRule="exact"/>
              <w:ind w:left="57" w:right="57"/>
              <w:jc w:val="center"/>
              <w:rPr>
                <w:rFonts w:asciiTheme="majorBidi" w:hAnsiTheme="majorBidi" w:cstheme="majorBidi"/>
                <w:bCs/>
                <w:i/>
                <w:sz w:val="16"/>
                <w:szCs w:val="16"/>
              </w:rPr>
            </w:pPr>
            <w:r w:rsidRPr="00913FB6">
              <w:rPr>
                <w:rFonts w:asciiTheme="majorBidi" w:hAnsiTheme="majorBidi" w:cstheme="majorBidi"/>
                <w:i/>
                <w:sz w:val="16"/>
                <w:szCs w:val="16"/>
              </w:rPr>
              <w:t>Limites</w:t>
            </w:r>
            <w:r w:rsidRPr="00913FB6">
              <w:rPr>
                <w:rFonts w:asciiTheme="majorBidi" w:hAnsiTheme="majorBidi" w:cstheme="majorBidi"/>
                <w:sz w:val="16"/>
                <w:szCs w:val="16"/>
                <w:vertAlign w:val="superscript"/>
              </w:rPr>
              <w:t>1</w:t>
            </w:r>
          </w:p>
        </w:tc>
        <w:tc>
          <w:tcPr>
            <w:tcW w:w="1474" w:type="dxa"/>
            <w:vMerge w:val="restart"/>
            <w:vAlign w:val="bottom"/>
          </w:tcPr>
          <w:p w:rsidR="00737D79" w:rsidRPr="00913FB6" w:rsidRDefault="00737D79" w:rsidP="00C0013A">
            <w:pPr>
              <w:widowControl w:val="0"/>
              <w:suppressAutoHyphens w:val="0"/>
              <w:spacing w:before="40" w:after="40" w:line="200" w:lineRule="exact"/>
              <w:ind w:left="57" w:right="57"/>
              <w:rPr>
                <w:rFonts w:asciiTheme="majorBidi" w:hAnsiTheme="majorBidi" w:cstheme="majorBidi"/>
                <w:bCs/>
                <w:i/>
                <w:iCs/>
                <w:sz w:val="16"/>
                <w:szCs w:val="16"/>
              </w:rPr>
            </w:pPr>
            <w:r w:rsidRPr="00913FB6">
              <w:rPr>
                <w:rFonts w:asciiTheme="majorBidi" w:hAnsiTheme="majorBidi" w:cstheme="majorBidi"/>
                <w:i/>
                <w:sz w:val="16"/>
                <w:szCs w:val="16"/>
              </w:rPr>
              <w:t>Méthode d’essai</w:t>
            </w:r>
          </w:p>
        </w:tc>
      </w:tr>
      <w:tr w:rsidR="00913FB6" w:rsidRPr="00913FB6" w:rsidTr="00737D79">
        <w:trPr>
          <w:trHeight w:val="280"/>
          <w:tblHeader/>
        </w:trPr>
        <w:tc>
          <w:tcPr>
            <w:tcW w:w="2778" w:type="dxa"/>
            <w:vMerge/>
            <w:tcBorders>
              <w:bottom w:val="single" w:sz="12" w:space="0" w:color="auto"/>
            </w:tcBorders>
            <w:vAlign w:val="center"/>
          </w:tcPr>
          <w:p w:rsidR="00737D79" w:rsidRPr="00913FB6" w:rsidRDefault="00737D79" w:rsidP="00C0013A">
            <w:pPr>
              <w:widowControl w:val="0"/>
              <w:suppressAutoHyphens w:val="0"/>
              <w:spacing w:before="40" w:after="40" w:line="200" w:lineRule="exact"/>
              <w:ind w:left="57" w:right="57"/>
              <w:rPr>
                <w:rFonts w:asciiTheme="majorBidi" w:hAnsiTheme="majorBidi" w:cstheme="majorBidi"/>
                <w:i/>
                <w:sz w:val="18"/>
                <w:szCs w:val="18"/>
              </w:rPr>
            </w:pPr>
          </w:p>
        </w:tc>
        <w:tc>
          <w:tcPr>
            <w:tcW w:w="1077" w:type="dxa"/>
            <w:vMerge/>
            <w:tcBorders>
              <w:bottom w:val="single" w:sz="12" w:space="0" w:color="auto"/>
            </w:tcBorders>
            <w:vAlign w:val="center"/>
          </w:tcPr>
          <w:p w:rsidR="00737D79" w:rsidRPr="00913FB6" w:rsidRDefault="00737D79" w:rsidP="00C0013A">
            <w:pPr>
              <w:widowControl w:val="0"/>
              <w:suppressAutoHyphens w:val="0"/>
              <w:spacing w:before="40" w:after="40" w:line="200" w:lineRule="exact"/>
              <w:ind w:left="57" w:right="57"/>
              <w:rPr>
                <w:rFonts w:asciiTheme="majorBidi" w:hAnsiTheme="majorBidi" w:cstheme="majorBidi"/>
                <w:i/>
                <w:sz w:val="18"/>
                <w:szCs w:val="18"/>
              </w:rPr>
            </w:pPr>
          </w:p>
        </w:tc>
        <w:tc>
          <w:tcPr>
            <w:tcW w:w="2154" w:type="dxa"/>
            <w:tcBorders>
              <w:bottom w:val="single" w:sz="12" w:space="0" w:color="auto"/>
            </w:tcBorders>
            <w:vAlign w:val="bottom"/>
          </w:tcPr>
          <w:p w:rsidR="00737D79" w:rsidRPr="00913FB6" w:rsidRDefault="00737D79" w:rsidP="00C0013A">
            <w:pPr>
              <w:widowControl w:val="0"/>
              <w:suppressAutoHyphens w:val="0"/>
              <w:spacing w:before="40" w:after="40" w:line="200" w:lineRule="exact"/>
              <w:ind w:left="57" w:right="57"/>
              <w:jc w:val="center"/>
              <w:rPr>
                <w:rFonts w:asciiTheme="majorBidi" w:hAnsiTheme="majorBidi" w:cstheme="majorBidi"/>
                <w:bCs/>
                <w:i/>
                <w:sz w:val="16"/>
                <w:szCs w:val="16"/>
              </w:rPr>
            </w:pPr>
            <w:r w:rsidRPr="00913FB6">
              <w:rPr>
                <w:rFonts w:asciiTheme="majorBidi" w:hAnsiTheme="majorBidi" w:cstheme="majorBidi"/>
                <w:i/>
                <w:sz w:val="16"/>
                <w:szCs w:val="16"/>
              </w:rPr>
              <w:t>Minimale</w:t>
            </w:r>
          </w:p>
        </w:tc>
        <w:tc>
          <w:tcPr>
            <w:tcW w:w="2155" w:type="dxa"/>
            <w:tcBorders>
              <w:bottom w:val="single" w:sz="12" w:space="0" w:color="auto"/>
            </w:tcBorders>
            <w:vAlign w:val="bottom"/>
          </w:tcPr>
          <w:p w:rsidR="00737D79" w:rsidRPr="00913FB6" w:rsidRDefault="00737D79" w:rsidP="00C0013A">
            <w:pPr>
              <w:widowControl w:val="0"/>
              <w:suppressAutoHyphens w:val="0"/>
              <w:spacing w:before="40" w:after="40" w:line="200" w:lineRule="exact"/>
              <w:ind w:left="57" w:right="57"/>
              <w:jc w:val="center"/>
              <w:rPr>
                <w:rFonts w:asciiTheme="majorBidi" w:hAnsiTheme="majorBidi" w:cstheme="majorBidi"/>
                <w:bCs/>
                <w:i/>
                <w:sz w:val="16"/>
                <w:szCs w:val="16"/>
              </w:rPr>
            </w:pPr>
            <w:r w:rsidRPr="00913FB6">
              <w:rPr>
                <w:rFonts w:asciiTheme="majorBidi" w:hAnsiTheme="majorBidi" w:cstheme="majorBidi"/>
                <w:i/>
                <w:sz w:val="16"/>
                <w:szCs w:val="16"/>
              </w:rPr>
              <w:t>Maximale</w:t>
            </w:r>
          </w:p>
        </w:tc>
        <w:tc>
          <w:tcPr>
            <w:tcW w:w="1474" w:type="dxa"/>
            <w:vMerge/>
            <w:tcBorders>
              <w:bottom w:val="single" w:sz="12" w:space="0" w:color="auto"/>
            </w:tcBorders>
            <w:vAlign w:val="center"/>
          </w:tcPr>
          <w:p w:rsidR="00737D79" w:rsidRPr="00913FB6" w:rsidRDefault="00737D79" w:rsidP="00C0013A">
            <w:pPr>
              <w:widowControl w:val="0"/>
              <w:suppressAutoHyphens w:val="0"/>
              <w:spacing w:before="40" w:after="40" w:line="200" w:lineRule="exact"/>
              <w:ind w:left="57" w:right="57"/>
              <w:rPr>
                <w:rFonts w:asciiTheme="majorBidi" w:hAnsiTheme="majorBidi" w:cstheme="majorBidi"/>
                <w:bCs/>
                <w:i/>
                <w:iCs/>
                <w:sz w:val="16"/>
                <w:szCs w:val="16"/>
              </w:rPr>
            </w:pPr>
          </w:p>
        </w:tc>
      </w:tr>
      <w:tr w:rsidR="00913FB6" w:rsidRPr="00913FB6" w:rsidTr="00737D79">
        <w:trPr>
          <w:trHeight w:val="163"/>
        </w:trPr>
        <w:tc>
          <w:tcPr>
            <w:tcW w:w="2778" w:type="dxa"/>
            <w:tcBorders>
              <w:top w:val="single" w:sz="12" w:space="0" w:color="auto"/>
            </w:tcBorders>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Indice d’octane recherche (IOR)</w:t>
            </w:r>
            <w:r w:rsidRPr="00913FB6">
              <w:rPr>
                <w:rFonts w:asciiTheme="majorBidi" w:hAnsiTheme="majorBidi" w:cstheme="majorBidi"/>
                <w:i/>
                <w:iCs/>
                <w:sz w:val="18"/>
                <w:szCs w:val="18"/>
                <w:vertAlign w:val="superscript"/>
              </w:rPr>
              <w:t>2</w:t>
            </w:r>
          </w:p>
        </w:tc>
        <w:tc>
          <w:tcPr>
            <w:tcW w:w="1077" w:type="dxa"/>
            <w:tcBorders>
              <w:top w:val="single" w:sz="12" w:space="0" w:color="auto"/>
            </w:tcBorders>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Borders>
              <w:top w:val="single" w:sz="12" w:space="0" w:color="auto"/>
            </w:tcBorders>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95,0</w:t>
            </w:r>
          </w:p>
        </w:tc>
        <w:tc>
          <w:tcPr>
            <w:tcW w:w="2155" w:type="dxa"/>
            <w:tcBorders>
              <w:top w:val="single" w:sz="12" w:space="0" w:color="auto"/>
            </w:tcBorders>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98,0</w:t>
            </w:r>
          </w:p>
        </w:tc>
        <w:tc>
          <w:tcPr>
            <w:tcW w:w="1474" w:type="dxa"/>
            <w:tcBorders>
              <w:top w:val="single" w:sz="12" w:space="0" w:color="auto"/>
            </w:tcBorders>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ISO 5164</w:t>
            </w:r>
          </w:p>
        </w:tc>
      </w:tr>
      <w:tr w:rsidR="00913FB6" w:rsidRPr="00913FB6" w:rsidTr="00737D79">
        <w:trPr>
          <w:trHeight w:val="85"/>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Indice d’octane moteur (IOM)</w:t>
            </w:r>
            <w:r w:rsidRPr="00913FB6">
              <w:rPr>
                <w:rFonts w:asciiTheme="majorBidi" w:hAnsiTheme="majorBidi" w:cstheme="majorBidi"/>
                <w:i/>
                <w:iCs/>
                <w:sz w:val="18"/>
                <w:szCs w:val="18"/>
                <w:vertAlign w:val="superscript"/>
              </w:rPr>
              <w:t>2</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85,0</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89,0</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ISO 5163</w:t>
            </w:r>
          </w:p>
        </w:tc>
      </w:tr>
      <w:tr w:rsidR="00913FB6" w:rsidRPr="00913FB6" w:rsidTr="00737D79">
        <w:trPr>
          <w:trHeight w:val="99"/>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Densité à 15 °C</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kg/m</w:t>
            </w:r>
            <w:r w:rsidRPr="00913FB6">
              <w:rPr>
                <w:rFonts w:asciiTheme="majorBidi" w:hAnsiTheme="majorBidi" w:cstheme="majorBidi"/>
                <w:sz w:val="18"/>
                <w:szCs w:val="18"/>
                <w:vertAlign w:val="superscript"/>
              </w:rPr>
              <w:t>3</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743,0</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756,0</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ISO 12185</w:t>
            </w:r>
          </w:p>
        </w:tc>
      </w:tr>
      <w:tr w:rsidR="00913FB6" w:rsidRPr="00913FB6" w:rsidTr="00737D79">
        <w:trPr>
          <w:trHeight w:val="280"/>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Pression de vapeur (DVPE)</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kPa</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56,0</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95,0</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13016-1</w:t>
            </w:r>
          </w:p>
        </w:tc>
      </w:tr>
      <w:tr w:rsidR="00913FB6" w:rsidRPr="00913FB6" w:rsidTr="00737D79">
        <w:trPr>
          <w:trHeight w:val="85"/>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Teneur en eau</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p>
        </w:tc>
        <w:tc>
          <w:tcPr>
            <w:tcW w:w="4309" w:type="dxa"/>
            <w:gridSpan w:val="2"/>
            <w:vAlign w:val="center"/>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0,05 max.</w:t>
            </w:r>
            <w:r w:rsidR="003A4F3B" w:rsidRPr="00913FB6">
              <w:rPr>
                <w:rFonts w:asciiTheme="majorBidi" w:hAnsiTheme="majorBidi" w:cstheme="majorBidi"/>
                <w:sz w:val="18"/>
                <w:szCs w:val="18"/>
              </w:rPr>
              <w:br/>
            </w:r>
            <w:r w:rsidRPr="00913FB6">
              <w:rPr>
                <w:rFonts w:asciiTheme="majorBidi" w:hAnsiTheme="majorBidi" w:cstheme="majorBidi"/>
                <w:sz w:val="18"/>
                <w:szCs w:val="18"/>
              </w:rPr>
              <w:t>Aspect à -7 °C: claire et brillante</w:t>
            </w:r>
          </w:p>
        </w:tc>
        <w:tc>
          <w:tcPr>
            <w:tcW w:w="1474" w:type="dxa"/>
            <w:vAlign w:val="center"/>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12937</w:t>
            </w:r>
          </w:p>
        </w:tc>
      </w:tr>
      <w:tr w:rsidR="00913FB6" w:rsidRPr="00913FB6" w:rsidTr="00737D79">
        <w:trPr>
          <w:trHeight w:val="85"/>
        </w:trPr>
        <w:tc>
          <w:tcPr>
            <w:tcW w:w="2778" w:type="dxa"/>
          </w:tcPr>
          <w:p w:rsidR="00EF3867" w:rsidRPr="00913FB6" w:rsidRDefault="00EF3867" w:rsidP="00C0013A">
            <w:pPr>
              <w:keepNext/>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Distillation:</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bCs/>
                <w:sz w:val="18"/>
                <w:szCs w:val="18"/>
              </w:rPr>
              <w:t> </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bCs/>
                <w:sz w:val="18"/>
                <w:szCs w:val="18"/>
              </w:rPr>
              <w:t> </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bCs/>
                <w:sz w:val="18"/>
                <w:szCs w:val="18"/>
              </w:rPr>
              <w:t> </w:t>
            </w:r>
          </w:p>
        </w:tc>
      </w:tr>
      <w:tr w:rsidR="00913FB6" w:rsidRPr="00913FB6" w:rsidTr="00737D79">
        <w:trPr>
          <w:trHeight w:val="95"/>
        </w:trPr>
        <w:tc>
          <w:tcPr>
            <w:tcW w:w="2778" w:type="dxa"/>
          </w:tcPr>
          <w:p w:rsidR="00EF3867" w:rsidRPr="00913FB6" w:rsidRDefault="00737D79"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Évaporé à 70 °C</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34,0</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46,0</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ISO 3405</w:t>
            </w:r>
          </w:p>
        </w:tc>
      </w:tr>
      <w:tr w:rsidR="00913FB6" w:rsidRPr="00913FB6" w:rsidTr="00737D79">
        <w:trPr>
          <w:trHeight w:val="85"/>
        </w:trPr>
        <w:tc>
          <w:tcPr>
            <w:tcW w:w="2778" w:type="dxa"/>
          </w:tcPr>
          <w:p w:rsidR="00EF3867" w:rsidRPr="00913FB6" w:rsidRDefault="00737D79"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Évaporé à 100 °C</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54,0</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62,0</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ISO 3405</w:t>
            </w:r>
          </w:p>
        </w:tc>
      </w:tr>
      <w:tr w:rsidR="00913FB6" w:rsidRPr="00913FB6" w:rsidTr="00737D79">
        <w:trPr>
          <w:trHeight w:val="236"/>
        </w:trPr>
        <w:tc>
          <w:tcPr>
            <w:tcW w:w="2778" w:type="dxa"/>
          </w:tcPr>
          <w:p w:rsidR="00EF3867" w:rsidRPr="00913FB6" w:rsidRDefault="00737D79"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Évaporé à 150 °C</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86,0</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94,0</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ISO 3405</w:t>
            </w:r>
          </w:p>
        </w:tc>
      </w:tr>
      <w:tr w:rsidR="00913FB6" w:rsidRPr="00913FB6" w:rsidTr="00737D79">
        <w:trPr>
          <w:trHeight w:val="85"/>
        </w:trPr>
        <w:tc>
          <w:tcPr>
            <w:tcW w:w="2778" w:type="dxa"/>
          </w:tcPr>
          <w:p w:rsidR="00EF3867" w:rsidRPr="00913FB6" w:rsidRDefault="00737D79"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Point d’ébullition final</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°C</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170</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195</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ISO 3405</w:t>
            </w:r>
          </w:p>
        </w:tc>
      </w:tr>
      <w:tr w:rsidR="00913FB6" w:rsidRPr="00913FB6" w:rsidTr="00737D79">
        <w:trPr>
          <w:trHeight w:val="280"/>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Résidus</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3A4F3B"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2,0</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ISO 3405</w:t>
            </w:r>
          </w:p>
        </w:tc>
      </w:tr>
      <w:tr w:rsidR="00913FB6" w:rsidRPr="00913FB6" w:rsidTr="00737D79">
        <w:trPr>
          <w:trHeight w:val="149"/>
        </w:trPr>
        <w:tc>
          <w:tcPr>
            <w:tcW w:w="2778" w:type="dxa"/>
          </w:tcPr>
          <w:p w:rsidR="00EF3867" w:rsidRPr="00913FB6" w:rsidRDefault="00EF3867" w:rsidP="00C0013A">
            <w:pPr>
              <w:keepNext/>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Analyse des hydrocarbures:</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bCs/>
                <w:sz w:val="18"/>
                <w:szCs w:val="18"/>
              </w:rPr>
              <w:t> </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bCs/>
                <w:sz w:val="18"/>
                <w:szCs w:val="18"/>
              </w:rPr>
              <w:t> </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bCs/>
                <w:sz w:val="18"/>
                <w:szCs w:val="18"/>
              </w:rPr>
              <w:t> </w:t>
            </w:r>
          </w:p>
        </w:tc>
      </w:tr>
      <w:tr w:rsidR="00913FB6" w:rsidRPr="00913FB6" w:rsidTr="00737D79">
        <w:trPr>
          <w:trHeight w:val="95"/>
        </w:trPr>
        <w:tc>
          <w:tcPr>
            <w:tcW w:w="2778" w:type="dxa"/>
          </w:tcPr>
          <w:p w:rsidR="00EF3867" w:rsidRPr="00913FB6" w:rsidRDefault="00737D79"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Oléfines</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6,0</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13,0</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22854</w:t>
            </w:r>
          </w:p>
        </w:tc>
      </w:tr>
      <w:tr w:rsidR="00913FB6" w:rsidRPr="00913FB6" w:rsidTr="00737D79">
        <w:trPr>
          <w:trHeight w:val="114"/>
        </w:trPr>
        <w:tc>
          <w:tcPr>
            <w:tcW w:w="2778" w:type="dxa"/>
          </w:tcPr>
          <w:p w:rsidR="00EF3867" w:rsidRPr="00913FB6" w:rsidRDefault="00737D79"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Aromatiques</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25,0</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32,0</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22854</w:t>
            </w:r>
          </w:p>
        </w:tc>
      </w:tr>
      <w:tr w:rsidR="00913FB6" w:rsidRPr="00913FB6" w:rsidTr="00737D79">
        <w:trPr>
          <w:trHeight w:val="85"/>
        </w:trPr>
        <w:tc>
          <w:tcPr>
            <w:tcW w:w="2778" w:type="dxa"/>
          </w:tcPr>
          <w:p w:rsidR="00EF3867" w:rsidRPr="00913FB6" w:rsidRDefault="00737D79"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Benzène</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iCs/>
                <w:strike/>
                <w:sz w:val="18"/>
                <w:szCs w:val="18"/>
              </w:rPr>
            </w:pPr>
            <w:r w:rsidRPr="00913FB6">
              <w:rPr>
                <w:rFonts w:asciiTheme="majorBidi" w:hAnsiTheme="majorBidi" w:cstheme="majorBidi"/>
                <w:sz w:val="18"/>
                <w:szCs w:val="18"/>
              </w:rPr>
              <w:t>-</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1,00</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bCs/>
                <w:sz w:val="18"/>
                <w:szCs w:val="18"/>
              </w:rPr>
              <w:t>EN 22854</w:t>
            </w:r>
            <w:r w:rsidRPr="00913FB6">
              <w:rPr>
                <w:rFonts w:asciiTheme="majorBidi" w:hAnsiTheme="majorBidi" w:cstheme="majorBidi"/>
                <w:bCs/>
                <w:sz w:val="18"/>
                <w:szCs w:val="18"/>
              </w:rPr>
              <w:br/>
              <w:t>EN 238</w:t>
            </w:r>
          </w:p>
        </w:tc>
      </w:tr>
      <w:tr w:rsidR="00913FB6" w:rsidRPr="00913FB6" w:rsidTr="00737D79">
        <w:trPr>
          <w:trHeight w:val="110"/>
        </w:trPr>
        <w:tc>
          <w:tcPr>
            <w:tcW w:w="2778" w:type="dxa"/>
          </w:tcPr>
          <w:p w:rsidR="00EF3867" w:rsidRPr="00913FB6" w:rsidRDefault="00737D79"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w:t>
            </w:r>
            <w:r w:rsidR="00EF3867" w:rsidRPr="00913FB6">
              <w:rPr>
                <w:rFonts w:asciiTheme="majorBidi" w:hAnsiTheme="majorBidi" w:cstheme="majorBidi"/>
                <w:sz w:val="18"/>
                <w:szCs w:val="18"/>
              </w:rPr>
              <w:t xml:space="preserve"> Saturés</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4309" w:type="dxa"/>
            <w:gridSpan w:val="2"/>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Valeur déclarée</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22854</w:t>
            </w:r>
          </w:p>
        </w:tc>
      </w:tr>
      <w:tr w:rsidR="00913FB6" w:rsidRPr="00913FB6" w:rsidTr="00737D79">
        <w:trPr>
          <w:trHeight w:val="85"/>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Rapport carbone/hydrogène</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4309" w:type="dxa"/>
            <w:gridSpan w:val="2"/>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Valeur déclarée</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bCs/>
                <w:sz w:val="18"/>
                <w:szCs w:val="18"/>
              </w:rPr>
              <w:t> </w:t>
            </w:r>
          </w:p>
        </w:tc>
      </w:tr>
      <w:tr w:rsidR="00913FB6" w:rsidRPr="00913FB6" w:rsidTr="00737D79">
        <w:trPr>
          <w:trHeight w:val="85"/>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Rapport carbone/oxygène</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4309" w:type="dxa"/>
            <w:gridSpan w:val="2"/>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Valeur déclarée</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bCs/>
                <w:sz w:val="18"/>
                <w:szCs w:val="18"/>
              </w:rPr>
              <w:t> </w:t>
            </w:r>
          </w:p>
        </w:tc>
      </w:tr>
      <w:tr w:rsidR="00913FB6" w:rsidRPr="00913FB6" w:rsidTr="00737D79">
        <w:trPr>
          <w:trHeight w:val="106"/>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Période d’induction</w:t>
            </w:r>
            <w:r w:rsidRPr="00913FB6">
              <w:rPr>
                <w:rFonts w:asciiTheme="majorBidi" w:hAnsiTheme="majorBidi" w:cstheme="majorBidi"/>
                <w:i/>
                <w:iCs/>
                <w:sz w:val="18"/>
                <w:szCs w:val="18"/>
                <w:vertAlign w:val="superscript"/>
              </w:rPr>
              <w:t>3</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min</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480</w:t>
            </w:r>
          </w:p>
        </w:tc>
        <w:tc>
          <w:tcPr>
            <w:tcW w:w="2155" w:type="dxa"/>
          </w:tcPr>
          <w:p w:rsidR="00EF3867" w:rsidRPr="00913FB6" w:rsidRDefault="003A4F3B"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ISO 7536</w:t>
            </w:r>
          </w:p>
        </w:tc>
      </w:tr>
      <w:tr w:rsidR="00913FB6" w:rsidRPr="00913FB6" w:rsidTr="00737D79">
        <w:trPr>
          <w:trHeight w:val="85"/>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Teneur en oxygène</w:t>
            </w:r>
            <w:r w:rsidRPr="00913FB6">
              <w:rPr>
                <w:rFonts w:asciiTheme="majorBidi" w:hAnsiTheme="majorBidi" w:cstheme="majorBidi"/>
                <w:i/>
                <w:iCs/>
                <w:sz w:val="18"/>
                <w:szCs w:val="18"/>
                <w:vertAlign w:val="superscript"/>
              </w:rPr>
              <w:t>4</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m/m</w:t>
            </w:r>
          </w:p>
        </w:tc>
        <w:tc>
          <w:tcPr>
            <w:tcW w:w="2154"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3,3</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3,7</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22854</w:t>
            </w:r>
          </w:p>
        </w:tc>
      </w:tr>
      <w:tr w:rsidR="00913FB6" w:rsidRPr="00913FB6" w:rsidTr="00737D79">
        <w:trPr>
          <w:trHeight w:val="184"/>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Gomme lavée avec un solvant (teneur en gomme actuelle)</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mg/100 ml</w:t>
            </w:r>
          </w:p>
        </w:tc>
        <w:tc>
          <w:tcPr>
            <w:tcW w:w="2154" w:type="dxa"/>
          </w:tcPr>
          <w:p w:rsidR="00EF3867" w:rsidRPr="00913FB6" w:rsidRDefault="003A4F3B"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4</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ISO 6246</w:t>
            </w:r>
          </w:p>
        </w:tc>
      </w:tr>
      <w:tr w:rsidR="00913FB6" w:rsidRPr="00913FB6" w:rsidTr="00737D79">
        <w:trPr>
          <w:trHeight w:val="147"/>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Teneur en soufre</w:t>
            </w:r>
            <w:r w:rsidRPr="00913FB6">
              <w:rPr>
                <w:rFonts w:asciiTheme="majorBidi" w:hAnsiTheme="majorBidi" w:cstheme="majorBidi"/>
                <w:i/>
                <w:iCs/>
                <w:sz w:val="18"/>
                <w:szCs w:val="18"/>
                <w:vertAlign w:val="superscript"/>
              </w:rPr>
              <w:t>5</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mg/kg</w:t>
            </w:r>
          </w:p>
        </w:tc>
        <w:tc>
          <w:tcPr>
            <w:tcW w:w="2154" w:type="dxa"/>
          </w:tcPr>
          <w:p w:rsidR="00EF3867" w:rsidRPr="00913FB6" w:rsidRDefault="003A4F3B"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10</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EN-ISO 20846 EN-ISO 20884</w:t>
            </w:r>
          </w:p>
        </w:tc>
      </w:tr>
      <w:tr w:rsidR="00913FB6" w:rsidRPr="00913FB6" w:rsidTr="00737D79">
        <w:trPr>
          <w:trHeight w:val="85"/>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Corrosion du cuivre 3h, 50 °C</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w:t>
            </w:r>
          </w:p>
        </w:tc>
        <w:tc>
          <w:tcPr>
            <w:tcW w:w="2154" w:type="dxa"/>
          </w:tcPr>
          <w:p w:rsidR="00EF3867" w:rsidRPr="00913FB6" w:rsidRDefault="003A4F3B"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Classe 1</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ISO 2160</w:t>
            </w:r>
          </w:p>
        </w:tc>
      </w:tr>
      <w:tr w:rsidR="00913FB6" w:rsidRPr="00913FB6" w:rsidTr="00737D79">
        <w:trPr>
          <w:trHeight w:val="85"/>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Teneur en plomb</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mg/l</w:t>
            </w:r>
          </w:p>
        </w:tc>
        <w:tc>
          <w:tcPr>
            <w:tcW w:w="2154" w:type="dxa"/>
          </w:tcPr>
          <w:p w:rsidR="00EF3867" w:rsidRPr="00913FB6" w:rsidRDefault="003A4F3B"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5</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237</w:t>
            </w:r>
          </w:p>
        </w:tc>
      </w:tr>
      <w:tr w:rsidR="00913FB6" w:rsidRPr="00913FB6" w:rsidTr="00737D79">
        <w:trPr>
          <w:trHeight w:val="85"/>
        </w:trPr>
        <w:tc>
          <w:tcPr>
            <w:tcW w:w="2778"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Teneur en phosphore</w:t>
            </w:r>
            <w:r w:rsidRPr="00913FB6">
              <w:rPr>
                <w:rFonts w:asciiTheme="majorBidi" w:hAnsiTheme="majorBidi" w:cstheme="majorBidi"/>
                <w:i/>
                <w:iCs/>
                <w:sz w:val="18"/>
                <w:szCs w:val="18"/>
                <w:vertAlign w:val="superscript"/>
              </w:rPr>
              <w:t>6</w:t>
            </w:r>
          </w:p>
        </w:tc>
        <w:tc>
          <w:tcPr>
            <w:tcW w:w="1077"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mg/l</w:t>
            </w:r>
          </w:p>
        </w:tc>
        <w:tc>
          <w:tcPr>
            <w:tcW w:w="2154" w:type="dxa"/>
          </w:tcPr>
          <w:p w:rsidR="00EF3867" w:rsidRPr="00913FB6" w:rsidRDefault="003A4F3B"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w:t>
            </w:r>
          </w:p>
        </w:tc>
        <w:tc>
          <w:tcPr>
            <w:tcW w:w="2155" w:type="dxa"/>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1,3</w:t>
            </w:r>
          </w:p>
        </w:tc>
        <w:tc>
          <w:tcPr>
            <w:tcW w:w="1474" w:type="dxa"/>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ASTM D 3231</w:t>
            </w:r>
          </w:p>
        </w:tc>
      </w:tr>
      <w:tr w:rsidR="00913FB6" w:rsidRPr="00913FB6" w:rsidTr="00737D79">
        <w:trPr>
          <w:trHeight w:val="85"/>
        </w:trPr>
        <w:tc>
          <w:tcPr>
            <w:tcW w:w="2778" w:type="dxa"/>
            <w:tcBorders>
              <w:bottom w:val="single" w:sz="12" w:space="0" w:color="auto"/>
            </w:tcBorders>
          </w:tcPr>
          <w:p w:rsidR="00EF3867" w:rsidRPr="00913FB6" w:rsidRDefault="00EF3867" w:rsidP="00C0013A">
            <w:pPr>
              <w:widowControl w:val="0"/>
              <w:suppressAutoHyphens w:val="0"/>
              <w:spacing w:before="40" w:after="40" w:line="200" w:lineRule="exact"/>
              <w:ind w:left="57" w:right="57"/>
              <w:rPr>
                <w:rFonts w:asciiTheme="majorBidi" w:hAnsiTheme="majorBidi" w:cstheme="majorBidi"/>
                <w:sz w:val="18"/>
                <w:szCs w:val="18"/>
              </w:rPr>
            </w:pPr>
            <w:r w:rsidRPr="00913FB6">
              <w:rPr>
                <w:rFonts w:asciiTheme="majorBidi" w:hAnsiTheme="majorBidi" w:cstheme="majorBidi"/>
                <w:sz w:val="18"/>
                <w:szCs w:val="18"/>
              </w:rPr>
              <w:t>Éthanol</w:t>
            </w:r>
            <w:r w:rsidRPr="00913FB6">
              <w:rPr>
                <w:rFonts w:asciiTheme="majorBidi" w:hAnsiTheme="majorBidi" w:cstheme="majorBidi"/>
                <w:i/>
                <w:iCs/>
                <w:sz w:val="18"/>
                <w:szCs w:val="18"/>
                <w:vertAlign w:val="superscript"/>
              </w:rPr>
              <w:t>4</w:t>
            </w:r>
          </w:p>
        </w:tc>
        <w:tc>
          <w:tcPr>
            <w:tcW w:w="1077" w:type="dxa"/>
            <w:tcBorders>
              <w:bottom w:val="single" w:sz="12" w:space="0" w:color="auto"/>
            </w:tcBorders>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sz w:val="18"/>
                <w:szCs w:val="18"/>
              </w:rPr>
            </w:pPr>
            <w:r w:rsidRPr="00913FB6">
              <w:rPr>
                <w:rFonts w:asciiTheme="majorBidi" w:hAnsiTheme="majorBidi" w:cstheme="majorBidi"/>
                <w:sz w:val="18"/>
                <w:szCs w:val="18"/>
              </w:rPr>
              <w:t>% v/v</w:t>
            </w:r>
          </w:p>
        </w:tc>
        <w:tc>
          <w:tcPr>
            <w:tcW w:w="2154" w:type="dxa"/>
            <w:tcBorders>
              <w:bottom w:val="single" w:sz="12" w:space="0" w:color="auto"/>
            </w:tcBorders>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trike/>
                <w:sz w:val="18"/>
                <w:szCs w:val="18"/>
              </w:rPr>
            </w:pPr>
            <w:r w:rsidRPr="00913FB6">
              <w:rPr>
                <w:rFonts w:asciiTheme="majorBidi" w:hAnsiTheme="majorBidi" w:cstheme="majorBidi"/>
                <w:sz w:val="18"/>
                <w:szCs w:val="18"/>
              </w:rPr>
              <w:t>9,0</w:t>
            </w:r>
          </w:p>
        </w:tc>
        <w:tc>
          <w:tcPr>
            <w:tcW w:w="2155" w:type="dxa"/>
            <w:tcBorders>
              <w:bottom w:val="single" w:sz="12" w:space="0" w:color="auto"/>
            </w:tcBorders>
          </w:tcPr>
          <w:p w:rsidR="00EF3867" w:rsidRPr="00913FB6" w:rsidRDefault="00EF3867" w:rsidP="00C0013A">
            <w:pPr>
              <w:widowControl w:val="0"/>
              <w:suppressAutoHyphens w:val="0"/>
              <w:spacing w:before="40" w:after="40" w:line="200" w:lineRule="exact"/>
              <w:ind w:left="57" w:right="57"/>
              <w:jc w:val="center"/>
              <w:rPr>
                <w:rFonts w:asciiTheme="majorBidi" w:hAnsiTheme="majorBidi" w:cstheme="majorBidi"/>
                <w:bCs/>
                <w:sz w:val="18"/>
                <w:szCs w:val="18"/>
              </w:rPr>
            </w:pPr>
            <w:r w:rsidRPr="00913FB6">
              <w:rPr>
                <w:rFonts w:asciiTheme="majorBidi" w:hAnsiTheme="majorBidi" w:cstheme="majorBidi"/>
                <w:sz w:val="18"/>
                <w:szCs w:val="18"/>
              </w:rPr>
              <w:t>10,0</w:t>
            </w:r>
          </w:p>
        </w:tc>
        <w:tc>
          <w:tcPr>
            <w:tcW w:w="1474" w:type="dxa"/>
            <w:tcBorders>
              <w:bottom w:val="single" w:sz="12" w:space="0" w:color="auto"/>
            </w:tcBorders>
          </w:tcPr>
          <w:p w:rsidR="00EF3867" w:rsidRPr="00913FB6" w:rsidRDefault="00EF3867" w:rsidP="00C0013A">
            <w:pPr>
              <w:widowControl w:val="0"/>
              <w:suppressAutoHyphens w:val="0"/>
              <w:spacing w:before="40" w:after="40" w:line="200" w:lineRule="exact"/>
              <w:ind w:left="57" w:right="57"/>
              <w:rPr>
                <w:rFonts w:asciiTheme="majorBidi" w:hAnsiTheme="majorBidi" w:cstheme="majorBidi"/>
                <w:bCs/>
                <w:sz w:val="18"/>
                <w:szCs w:val="18"/>
              </w:rPr>
            </w:pPr>
            <w:r w:rsidRPr="00913FB6">
              <w:rPr>
                <w:rFonts w:asciiTheme="majorBidi" w:hAnsiTheme="majorBidi" w:cstheme="majorBidi"/>
                <w:sz w:val="18"/>
                <w:szCs w:val="18"/>
              </w:rPr>
              <w:t>EN 22854</w:t>
            </w:r>
          </w:p>
        </w:tc>
      </w:tr>
    </w:tbl>
    <w:p w:rsidR="001E4EF1" w:rsidRPr="00913FB6" w:rsidRDefault="001E4EF1" w:rsidP="00913FB6">
      <w:pPr>
        <w:pStyle w:val="FootnoteText"/>
        <w:spacing w:before="120"/>
        <w:ind w:left="0" w:right="0" w:firstLine="170"/>
      </w:pPr>
      <w:r w:rsidRPr="00913FB6">
        <w:rPr>
          <w:vertAlign w:val="superscript"/>
        </w:rPr>
        <w:lastRenderedPageBreak/>
        <w:t>1</w:t>
      </w:r>
      <w:r w:rsidRPr="00913FB6">
        <w:t xml:space="preserve">  Les valeurs mentionnées dans les spécifications sont des «valeurs vraies». Les valeurs limites ont été déterminées conformément à la norme ISO 4259 intitulée «Produits pétroliers − Détermination et application des valeurs de fidélité relatives aux méthodes d’essai». Pour la fixation d’un minimum, une différence minimale de 2R par rapport à la valeur zéro a été prise en compte; pour la fixation d’un maximum et d’un minimum, la différence minimale entre ces valeurs est de 4R (R = reproductibilité).</w:t>
      </w:r>
      <w:r w:rsidR="00913FB6">
        <w:t xml:space="preserve"> </w:t>
      </w:r>
      <w:r w:rsidRPr="00913FB6">
        <w:t>Malgré cette mesure, qui est nécessaire pour des raisons techniques, le fabricant de carburant doit viser la valeur zéro lorsque la valeur maximale indiquée est de 2R, ou la valeur moyenne lorsqu’il existe un minimum et un maximum. Au cas où il serait nécessaire de vérifier le respect des spécifications pour un carburant, les dispositions de la norme ISO 4259 doivent être appliquées.</w:t>
      </w:r>
    </w:p>
    <w:p w:rsidR="001E4EF1" w:rsidRPr="00913FB6" w:rsidRDefault="001E4EF1" w:rsidP="0025768C">
      <w:pPr>
        <w:pStyle w:val="FootnoteText"/>
        <w:ind w:left="0" w:right="0" w:firstLine="170"/>
      </w:pPr>
      <w:r w:rsidRPr="00913FB6">
        <w:rPr>
          <w:rStyle w:val="EndnoteReference"/>
        </w:rPr>
        <w:t>3</w:t>
      </w:r>
      <w:r w:rsidRPr="00913FB6">
        <w:t xml:space="preserve">  Un facteur de correction de 0,2 pour IOR et IOM doit être soustrait pour le calcul du résultat final conformément à la spécification EN 228:2008.</w:t>
      </w:r>
    </w:p>
    <w:p w:rsidR="001E4EF1" w:rsidRPr="00913FB6" w:rsidRDefault="001E4EF1" w:rsidP="0025768C">
      <w:pPr>
        <w:pStyle w:val="FootnoteText"/>
        <w:ind w:left="0" w:right="0" w:firstLine="170"/>
      </w:pPr>
      <w:r w:rsidRPr="00913FB6">
        <w:rPr>
          <w:rStyle w:val="EndnoteReference"/>
        </w:rPr>
        <w:t>4</w:t>
      </w:r>
      <w:r w:rsidRPr="00913FB6">
        <w:t xml:space="preserve">  Le carburant peut contenir des additifs antioxydants et des inhibiteurs de catalyse métallique normalement utilisés pour stabiliser les flux d’essence en raffinerie; il ne faut cependant pas y ajouter d’additifs détergents ou dispersants ni d’huiles solvantes.</w:t>
      </w:r>
    </w:p>
    <w:p w:rsidR="001E4EF1" w:rsidRPr="00913FB6" w:rsidRDefault="001E4EF1" w:rsidP="0025768C">
      <w:pPr>
        <w:pStyle w:val="FootnoteText"/>
        <w:ind w:left="0" w:right="0" w:firstLine="170"/>
      </w:pPr>
      <w:r w:rsidRPr="00913FB6">
        <w:rPr>
          <w:rStyle w:val="EndnoteReference"/>
        </w:rPr>
        <w:t>5</w:t>
      </w:r>
      <w:r w:rsidRPr="00913FB6">
        <w:t xml:space="preserve">  Le seul oxygénant pouvant être ajouté délibérément au carburant de référence est l’éthanol conforme à la norme EN 15376.</w:t>
      </w:r>
    </w:p>
    <w:p w:rsidR="001E4EF1" w:rsidRPr="00913FB6" w:rsidRDefault="001E4EF1" w:rsidP="0025768C">
      <w:pPr>
        <w:pStyle w:val="FootnoteText"/>
        <w:ind w:left="0" w:right="0" w:firstLine="170"/>
      </w:pPr>
      <w:r w:rsidRPr="00913FB6">
        <w:rPr>
          <w:rStyle w:val="EndnoteReference"/>
        </w:rPr>
        <w:t>6</w:t>
      </w:r>
      <w:r w:rsidRPr="00913FB6">
        <w:t xml:space="preserve">  Il convient de communiquer la teneur en soufre effective du carburant utilisé pour les essais du type 1.</w:t>
      </w:r>
    </w:p>
    <w:p w:rsidR="001E4EF1" w:rsidRPr="00913FB6" w:rsidRDefault="001E4EF1" w:rsidP="0025768C">
      <w:pPr>
        <w:pStyle w:val="FootnoteText"/>
        <w:spacing w:after="240"/>
        <w:ind w:left="0" w:right="0" w:firstLine="170"/>
      </w:pPr>
      <w:r w:rsidRPr="00913FB6">
        <w:rPr>
          <w:rStyle w:val="EndnoteReference"/>
        </w:rPr>
        <w:t>7</w:t>
      </w:r>
      <w:r w:rsidRPr="00913FB6">
        <w:t xml:space="preserve">  Aucun composant contenant du phosphore, du fer, du manganèse ou du plomb ne doit être ajouté délibérément au carburant de référence.</w:t>
      </w:r>
      <w:r w:rsidRPr="00913FB6">
        <w:rPr>
          <w:sz w:val="20"/>
        </w:rPr>
        <w:t>».</w:t>
      </w:r>
    </w:p>
    <w:p w:rsidR="00EF3867" w:rsidRPr="00913FB6" w:rsidRDefault="00EF3867" w:rsidP="003A4F3B">
      <w:pPr>
        <w:pStyle w:val="SingleTxtG"/>
        <w:keepNext/>
        <w:rPr>
          <w:rFonts w:asciiTheme="majorBidi" w:hAnsiTheme="majorBidi" w:cstheme="majorBidi"/>
          <w:i/>
          <w:iCs/>
        </w:rPr>
      </w:pPr>
      <w:r w:rsidRPr="00913FB6">
        <w:rPr>
          <w:rFonts w:asciiTheme="majorBidi" w:hAnsiTheme="majorBidi" w:cstheme="majorBidi"/>
          <w:i/>
        </w:rPr>
        <w:t>Annexe 11</w:t>
      </w:r>
      <w:r w:rsidRPr="00913FB6">
        <w:rPr>
          <w:rFonts w:asciiTheme="majorBidi" w:hAnsiTheme="majorBidi" w:cstheme="majorBidi"/>
        </w:rPr>
        <w:t>,</w:t>
      </w:r>
    </w:p>
    <w:p w:rsidR="00EF3867" w:rsidRPr="00913FB6" w:rsidRDefault="00EF3867" w:rsidP="003A4F3B">
      <w:pPr>
        <w:pStyle w:val="SingleTxtG"/>
        <w:keepNext/>
        <w:rPr>
          <w:rFonts w:asciiTheme="majorBidi" w:hAnsiTheme="majorBidi" w:cstheme="majorBidi"/>
        </w:rPr>
      </w:pPr>
      <w:r w:rsidRPr="00913FB6">
        <w:rPr>
          <w:rFonts w:asciiTheme="majorBidi" w:hAnsiTheme="majorBidi" w:cstheme="majorBidi"/>
          <w:i/>
        </w:rPr>
        <w:t>Paragraphe 2</w:t>
      </w:r>
      <w:r w:rsidRPr="00913FB6">
        <w:rPr>
          <w:rFonts w:asciiTheme="majorBidi" w:hAnsiTheme="majorBidi" w:cstheme="majorBidi"/>
        </w:rPr>
        <w:t xml:space="preserve">, modifier comme suit: </w:t>
      </w:r>
    </w:p>
    <w:p w:rsidR="00EF3867" w:rsidRPr="00913FB6" w:rsidRDefault="00EF3867" w:rsidP="003A4F3B">
      <w:pPr>
        <w:pStyle w:val="SingleTxtG"/>
        <w:keepNext/>
        <w:ind w:left="2268" w:hanging="1134"/>
        <w:rPr>
          <w:rFonts w:asciiTheme="majorBidi" w:hAnsiTheme="majorBidi" w:cstheme="majorBidi"/>
        </w:rPr>
      </w:pPr>
      <w:r w:rsidRPr="00913FB6">
        <w:rPr>
          <w:rFonts w:asciiTheme="majorBidi" w:hAnsiTheme="majorBidi" w:cstheme="majorBidi"/>
        </w:rPr>
        <w:t>«2.</w:t>
      </w:r>
      <w:r w:rsidRPr="00913FB6">
        <w:rPr>
          <w:rFonts w:asciiTheme="majorBidi" w:hAnsiTheme="majorBidi" w:cstheme="majorBidi"/>
        </w:rPr>
        <w:tab/>
      </w:r>
      <w:r w:rsidRPr="00913FB6">
        <w:t>Définitions</w:t>
      </w:r>
    </w:p>
    <w:p w:rsidR="00EF3867" w:rsidRPr="00913FB6" w:rsidRDefault="00EF3867" w:rsidP="007E2C27">
      <w:pPr>
        <w:pStyle w:val="SingleTxtG"/>
        <w:ind w:left="2268"/>
        <w:rPr>
          <w:b/>
          <w:bCs/>
        </w:rPr>
      </w:pPr>
      <w:r w:rsidRPr="00913FB6">
        <w:t>Au sens de la présente annexe, on entend par:».</w:t>
      </w:r>
    </w:p>
    <w:p w:rsidR="00EF3867" w:rsidRPr="00913FB6" w:rsidRDefault="00EF3867" w:rsidP="003A4F3B">
      <w:pPr>
        <w:pStyle w:val="SingleTxtG"/>
        <w:keepNext/>
        <w:rPr>
          <w:rFonts w:asciiTheme="majorBidi" w:hAnsiTheme="majorBidi" w:cstheme="majorBidi"/>
        </w:rPr>
      </w:pPr>
      <w:r w:rsidRPr="00913FB6">
        <w:rPr>
          <w:rFonts w:asciiTheme="majorBidi" w:hAnsiTheme="majorBidi" w:cstheme="majorBidi"/>
          <w:i/>
        </w:rPr>
        <w:t>Paragraphe 2.10</w:t>
      </w:r>
      <w:r w:rsidRPr="00913FB6">
        <w:rPr>
          <w:rFonts w:asciiTheme="majorBidi" w:hAnsiTheme="majorBidi" w:cstheme="majorBidi"/>
        </w:rPr>
        <w:t xml:space="preserve">, modifier </w:t>
      </w:r>
      <w:r w:rsidRPr="00913FB6">
        <w:t>comme</w:t>
      </w:r>
      <w:r w:rsidRPr="00913FB6">
        <w:rPr>
          <w:rFonts w:asciiTheme="majorBidi" w:hAnsiTheme="majorBidi" w:cstheme="majorBidi"/>
        </w:rPr>
        <w:t xml:space="preserve"> suit:</w:t>
      </w:r>
    </w:p>
    <w:p w:rsidR="00EF3867" w:rsidRPr="00913FB6" w:rsidRDefault="00EF3867" w:rsidP="003A4F3B">
      <w:pPr>
        <w:pStyle w:val="SingleTxtG"/>
        <w:ind w:left="2268" w:hanging="1134"/>
        <w:rPr>
          <w:rFonts w:asciiTheme="majorBidi" w:hAnsiTheme="majorBidi" w:cstheme="majorBidi"/>
        </w:rPr>
      </w:pPr>
      <w:r w:rsidRPr="00913FB6">
        <w:rPr>
          <w:rFonts w:asciiTheme="majorBidi" w:hAnsiTheme="majorBidi" w:cstheme="majorBidi"/>
        </w:rPr>
        <w:t>«2.10</w:t>
      </w:r>
      <w:r w:rsidRPr="00913FB6">
        <w:rPr>
          <w:rFonts w:asciiTheme="majorBidi" w:hAnsiTheme="majorBidi" w:cstheme="majorBidi"/>
        </w:rPr>
        <w:tab/>
      </w:r>
      <w:r w:rsidR="003A4F3B" w:rsidRPr="00913FB6">
        <w:rPr>
          <w:rFonts w:asciiTheme="majorBidi" w:hAnsiTheme="majorBidi" w:cstheme="majorBidi"/>
        </w:rPr>
        <w:t>“</w:t>
      </w:r>
      <w:r w:rsidRPr="00913FB6">
        <w:rPr>
          <w:rFonts w:asciiTheme="majorBidi" w:hAnsiTheme="majorBidi" w:cstheme="majorBidi"/>
          <w:i/>
        </w:rPr>
        <w:t>Cycle de conduite</w:t>
      </w:r>
      <w:r w:rsidR="003A4F3B" w:rsidRPr="00913FB6">
        <w:rPr>
          <w:rFonts w:asciiTheme="majorBidi" w:hAnsiTheme="majorBidi" w:cstheme="majorBidi"/>
        </w:rPr>
        <w:t>”</w:t>
      </w:r>
      <w:r w:rsidRPr="00913FB6">
        <w:rPr>
          <w:rFonts w:asciiTheme="majorBidi" w:hAnsiTheme="majorBidi" w:cstheme="majorBidi"/>
        </w:rPr>
        <w:t>, l’ensemble d’opérations comprenant le démarrage du moteur, une phase de roulage pendant laquelle un éventuel dysfonctionnement serait détecté, et l’arrêt du moteur;».</w:t>
      </w:r>
    </w:p>
    <w:p w:rsidR="00EF3867" w:rsidRPr="00913FB6" w:rsidRDefault="00EF3867" w:rsidP="003A4F3B">
      <w:pPr>
        <w:pStyle w:val="SingleTxtG"/>
        <w:keepNext/>
        <w:rPr>
          <w:rFonts w:asciiTheme="majorBidi" w:hAnsiTheme="majorBidi" w:cstheme="majorBidi"/>
          <w:b/>
          <w:bCs/>
          <w:szCs w:val="24"/>
        </w:rPr>
      </w:pPr>
      <w:r w:rsidRPr="00913FB6">
        <w:rPr>
          <w:rFonts w:asciiTheme="majorBidi" w:hAnsiTheme="majorBidi" w:cstheme="majorBidi"/>
          <w:i/>
          <w:szCs w:val="24"/>
        </w:rPr>
        <w:t>Ajouter un nouveau paragraphe, 3.2.3</w:t>
      </w:r>
      <w:r w:rsidRPr="00913FB6">
        <w:rPr>
          <w:rFonts w:asciiTheme="majorBidi" w:hAnsiTheme="majorBidi" w:cstheme="majorBidi"/>
          <w:szCs w:val="24"/>
        </w:rPr>
        <w:t>, ainsi conçu:</w:t>
      </w:r>
    </w:p>
    <w:p w:rsidR="00EF3867" w:rsidRPr="00913FB6" w:rsidRDefault="00EF3867" w:rsidP="00C60A6D">
      <w:pPr>
        <w:pStyle w:val="SingleTxtG"/>
        <w:ind w:left="2268" w:hanging="1134"/>
        <w:rPr>
          <w:rFonts w:asciiTheme="majorBidi" w:eastAsia="MS Gothic" w:hAnsiTheme="majorBidi" w:cstheme="majorBidi"/>
          <w:i/>
          <w:szCs w:val="24"/>
        </w:rPr>
      </w:pPr>
      <w:r w:rsidRPr="00913FB6">
        <w:rPr>
          <w:rFonts w:asciiTheme="majorBidi" w:hAnsiTheme="majorBidi" w:cstheme="majorBidi"/>
          <w:szCs w:val="24"/>
        </w:rPr>
        <w:t>«3.2.3</w:t>
      </w:r>
      <w:r w:rsidRPr="00913FB6">
        <w:rPr>
          <w:rFonts w:asciiTheme="majorBidi" w:hAnsiTheme="majorBidi" w:cstheme="majorBidi"/>
          <w:szCs w:val="24"/>
        </w:rPr>
        <w:tab/>
        <w:t xml:space="preserve">La mise en </w:t>
      </w:r>
      <w:r w:rsidRPr="00913FB6">
        <w:t>évidence</w:t>
      </w:r>
      <w:r w:rsidRPr="00913FB6">
        <w:rPr>
          <w:rFonts w:asciiTheme="majorBidi" w:hAnsiTheme="majorBidi" w:cstheme="majorBidi"/>
          <w:szCs w:val="24"/>
        </w:rPr>
        <w:t xml:space="preserve"> de détériorations ou de défauts de fonctionnement peut aussi se faire en dehors d’un cycle de conduite (par exemple après l’arrêt du moteur).».</w:t>
      </w:r>
    </w:p>
    <w:p w:rsidR="00EF3867" w:rsidRPr="00913FB6" w:rsidRDefault="00EF3867" w:rsidP="003A4F3B">
      <w:pPr>
        <w:pStyle w:val="SingleTxtG"/>
        <w:keepNext/>
        <w:rPr>
          <w:rFonts w:asciiTheme="majorBidi" w:hAnsiTheme="majorBidi" w:cstheme="majorBidi"/>
        </w:rPr>
      </w:pPr>
      <w:r w:rsidRPr="00913FB6">
        <w:rPr>
          <w:rFonts w:asciiTheme="majorBidi" w:hAnsiTheme="majorBidi" w:cstheme="majorBidi"/>
          <w:i/>
        </w:rPr>
        <w:t>Paragraphe 3.8.1</w:t>
      </w:r>
      <w:r w:rsidRPr="00913FB6">
        <w:rPr>
          <w:rFonts w:asciiTheme="majorBidi" w:hAnsiTheme="majorBidi" w:cstheme="majorBidi"/>
        </w:rPr>
        <w:t xml:space="preserve">, modifier </w:t>
      </w:r>
      <w:r w:rsidRPr="00913FB6">
        <w:t>comme</w:t>
      </w:r>
      <w:r w:rsidRPr="00913FB6">
        <w:rPr>
          <w:rFonts w:asciiTheme="majorBidi" w:hAnsiTheme="majorBidi" w:cstheme="majorBidi"/>
        </w:rPr>
        <w:t xml:space="preserve"> suit:</w:t>
      </w:r>
    </w:p>
    <w:p w:rsidR="00EF3867" w:rsidRPr="00913FB6" w:rsidRDefault="00EF3867" w:rsidP="00C60A6D">
      <w:pPr>
        <w:pStyle w:val="SingleTxtG"/>
        <w:ind w:left="2268" w:hanging="1134"/>
        <w:rPr>
          <w:rFonts w:asciiTheme="majorBidi" w:hAnsiTheme="majorBidi" w:cstheme="majorBidi"/>
          <w:spacing w:val="-2"/>
        </w:rPr>
      </w:pPr>
      <w:r w:rsidRPr="00913FB6">
        <w:rPr>
          <w:rFonts w:asciiTheme="majorBidi" w:hAnsiTheme="majorBidi" w:cstheme="majorBidi"/>
        </w:rPr>
        <w:t>«3.8.1</w:t>
      </w:r>
      <w:r w:rsidRPr="00913FB6">
        <w:rPr>
          <w:rFonts w:asciiTheme="majorBidi" w:hAnsiTheme="majorBidi" w:cstheme="majorBidi"/>
        </w:rPr>
        <w:tab/>
      </w:r>
      <w:r w:rsidRPr="00913FB6">
        <w:rPr>
          <w:rFonts w:asciiTheme="majorBidi" w:hAnsiTheme="majorBidi" w:cstheme="majorBidi"/>
          <w:spacing w:val="-2"/>
        </w:rPr>
        <w:t xml:space="preserve">Le système OBD peut supprimer un code d’erreur, la distance parcourue et les codes figés correspondants si la même défaillance n’est plus </w:t>
      </w:r>
      <w:r w:rsidR="00913FB6">
        <w:rPr>
          <w:rFonts w:asciiTheme="majorBidi" w:hAnsiTheme="majorBidi" w:cstheme="majorBidi"/>
          <w:spacing w:val="-2"/>
        </w:rPr>
        <w:t>enregistrée pendant au moins 40 </w:t>
      </w:r>
      <w:r w:rsidRPr="00913FB6">
        <w:rPr>
          <w:rFonts w:asciiTheme="majorBidi" w:hAnsiTheme="majorBidi" w:cstheme="majorBidi"/>
          <w:spacing w:val="-2"/>
        </w:rPr>
        <w:t>cycles</w:t>
      </w:r>
      <w:r w:rsidR="00913FB6">
        <w:rPr>
          <w:rFonts w:asciiTheme="majorBidi" w:hAnsiTheme="majorBidi" w:cstheme="majorBidi"/>
          <w:spacing w:val="-2"/>
        </w:rPr>
        <w:t xml:space="preserve"> d’échauffement du moteur ou 40 </w:t>
      </w:r>
      <w:r w:rsidRPr="00913FB6">
        <w:rPr>
          <w:rFonts w:asciiTheme="majorBidi" w:hAnsiTheme="majorBidi" w:cstheme="majorBidi"/>
          <w:spacing w:val="-2"/>
        </w:rPr>
        <w:t>cycles de conduite au cours desquels le fonctionnement du véhicule satisfait aux critères spécifié</w:t>
      </w:r>
      <w:r w:rsidR="00913FB6">
        <w:rPr>
          <w:rFonts w:asciiTheme="majorBidi" w:hAnsiTheme="majorBidi" w:cstheme="majorBidi"/>
          <w:spacing w:val="-2"/>
        </w:rPr>
        <w:t>s aux paragraphes 7.5.1 a) à c) de l’appendice 1 de l’annexe </w:t>
      </w:r>
      <w:r w:rsidRPr="00913FB6">
        <w:rPr>
          <w:rFonts w:asciiTheme="majorBidi" w:hAnsiTheme="majorBidi" w:cstheme="majorBidi"/>
          <w:spacing w:val="-2"/>
        </w:rPr>
        <w:t>11.».</w:t>
      </w:r>
    </w:p>
    <w:p w:rsidR="00EF3867" w:rsidRPr="00913FB6" w:rsidRDefault="00EF3867" w:rsidP="003A4F3B">
      <w:pPr>
        <w:pStyle w:val="SingleTxtG"/>
        <w:keepNext/>
        <w:rPr>
          <w:rFonts w:asciiTheme="majorBidi" w:hAnsiTheme="majorBidi" w:cstheme="majorBidi"/>
          <w:iCs/>
        </w:rPr>
      </w:pPr>
      <w:r w:rsidRPr="00913FB6">
        <w:rPr>
          <w:rFonts w:asciiTheme="majorBidi" w:hAnsiTheme="majorBidi" w:cstheme="majorBidi"/>
          <w:i/>
        </w:rPr>
        <w:t>Ajouter un nouveau paragraphe, 3.10</w:t>
      </w:r>
      <w:r w:rsidRPr="00913FB6">
        <w:rPr>
          <w:rFonts w:asciiTheme="majorBidi" w:hAnsiTheme="majorBidi" w:cstheme="majorBidi"/>
        </w:rPr>
        <w:t xml:space="preserve">, </w:t>
      </w:r>
      <w:r w:rsidRPr="00913FB6">
        <w:t>ainsi</w:t>
      </w:r>
      <w:r w:rsidRPr="00913FB6">
        <w:rPr>
          <w:rFonts w:asciiTheme="majorBidi" w:hAnsiTheme="majorBidi" w:cstheme="majorBidi"/>
        </w:rPr>
        <w:t xml:space="preserve"> conçu:</w:t>
      </w:r>
    </w:p>
    <w:p w:rsidR="00EF3867" w:rsidRPr="00913FB6" w:rsidRDefault="00EF3867" w:rsidP="00C60A6D">
      <w:pPr>
        <w:pStyle w:val="SingleTxtG"/>
        <w:ind w:left="2268" w:hanging="1134"/>
        <w:rPr>
          <w:rFonts w:asciiTheme="majorBidi" w:hAnsiTheme="majorBidi" w:cstheme="majorBidi"/>
          <w:b/>
          <w:bCs/>
          <w:szCs w:val="24"/>
        </w:rPr>
      </w:pPr>
      <w:r w:rsidRPr="00913FB6">
        <w:rPr>
          <w:rFonts w:asciiTheme="majorBidi" w:hAnsiTheme="majorBidi" w:cstheme="majorBidi"/>
          <w:szCs w:val="24"/>
        </w:rPr>
        <w:t>«3.10</w:t>
      </w:r>
      <w:r w:rsidRPr="00913FB6">
        <w:rPr>
          <w:rFonts w:asciiTheme="majorBidi" w:hAnsiTheme="majorBidi" w:cstheme="majorBidi"/>
          <w:szCs w:val="24"/>
        </w:rPr>
        <w:tab/>
        <w:t xml:space="preserve">Dispositions </w:t>
      </w:r>
      <w:r w:rsidRPr="00913FB6">
        <w:t>supplémentaires</w:t>
      </w:r>
      <w:r w:rsidRPr="00913FB6">
        <w:rPr>
          <w:rFonts w:asciiTheme="majorBidi" w:hAnsiTheme="majorBidi" w:cstheme="majorBidi"/>
          <w:szCs w:val="24"/>
        </w:rPr>
        <w:t xml:space="preserve"> applicables aux véhicules qui utilisent des stratégies d’arrêt du moteur</w:t>
      </w:r>
    </w:p>
    <w:p w:rsidR="00EF3867" w:rsidRPr="00913FB6" w:rsidRDefault="00EF3867" w:rsidP="00C60A6D">
      <w:pPr>
        <w:pStyle w:val="SingleTxtG"/>
        <w:ind w:left="2268" w:hanging="1134"/>
        <w:rPr>
          <w:rFonts w:asciiTheme="majorBidi" w:hAnsiTheme="majorBidi" w:cstheme="majorBidi"/>
          <w:b/>
          <w:bCs/>
          <w:szCs w:val="24"/>
        </w:rPr>
      </w:pPr>
      <w:r w:rsidRPr="00913FB6">
        <w:rPr>
          <w:rFonts w:asciiTheme="majorBidi" w:hAnsiTheme="majorBidi" w:cstheme="majorBidi"/>
          <w:szCs w:val="24"/>
        </w:rPr>
        <w:t>3.10.1</w:t>
      </w:r>
      <w:r w:rsidRPr="00913FB6">
        <w:rPr>
          <w:rFonts w:asciiTheme="majorBidi" w:hAnsiTheme="majorBidi" w:cstheme="majorBidi"/>
          <w:szCs w:val="24"/>
        </w:rPr>
        <w:tab/>
        <w:t xml:space="preserve">Cycle de </w:t>
      </w:r>
      <w:r w:rsidRPr="00913FB6">
        <w:t>conduite</w:t>
      </w:r>
    </w:p>
    <w:p w:rsidR="00EF3867" w:rsidRPr="00913FB6" w:rsidRDefault="00EF3867" w:rsidP="00C60A6D">
      <w:pPr>
        <w:pStyle w:val="SingleTxtG"/>
        <w:ind w:left="2268" w:hanging="1134"/>
        <w:rPr>
          <w:rFonts w:asciiTheme="majorBidi" w:hAnsiTheme="majorBidi" w:cstheme="majorBidi"/>
          <w:b/>
          <w:bCs/>
          <w:szCs w:val="24"/>
        </w:rPr>
      </w:pPr>
      <w:r w:rsidRPr="00913FB6">
        <w:rPr>
          <w:rFonts w:asciiTheme="majorBidi" w:hAnsiTheme="majorBidi" w:cstheme="majorBidi"/>
          <w:szCs w:val="24"/>
        </w:rPr>
        <w:t>3.10.1.1</w:t>
      </w:r>
      <w:r w:rsidRPr="00913FB6">
        <w:rPr>
          <w:rFonts w:asciiTheme="majorBidi" w:hAnsiTheme="majorBidi" w:cstheme="majorBidi"/>
          <w:szCs w:val="24"/>
        </w:rPr>
        <w:tab/>
        <w:t xml:space="preserve">Le redémarrage </w:t>
      </w:r>
      <w:r w:rsidRPr="00913FB6">
        <w:t>autonome</w:t>
      </w:r>
      <w:r w:rsidRPr="00913FB6">
        <w:rPr>
          <w:rFonts w:asciiTheme="majorBidi" w:hAnsiTheme="majorBidi" w:cstheme="majorBidi"/>
          <w:szCs w:val="24"/>
        </w:rPr>
        <w:t xml:space="preserve"> commandé par le système de contrôle d’un moteur qui a calé peut être considéré soit comme un nouveau cycle de conduite, soit comme la continuation du cycle en cours.».</w:t>
      </w:r>
    </w:p>
    <w:p w:rsidR="00EF3867" w:rsidRPr="00913FB6" w:rsidRDefault="00EF3867" w:rsidP="003A4F3B">
      <w:pPr>
        <w:pStyle w:val="SingleTxtG"/>
        <w:keepNext/>
        <w:rPr>
          <w:rFonts w:asciiTheme="majorBidi" w:hAnsiTheme="majorBidi" w:cstheme="majorBidi"/>
          <w:i/>
          <w:iCs/>
        </w:rPr>
      </w:pPr>
      <w:r w:rsidRPr="00913FB6">
        <w:rPr>
          <w:rFonts w:asciiTheme="majorBidi" w:hAnsiTheme="majorBidi" w:cstheme="majorBidi"/>
          <w:i/>
        </w:rPr>
        <w:lastRenderedPageBreak/>
        <w:t>Appendice 1</w:t>
      </w:r>
      <w:r w:rsidR="00C0013A" w:rsidRPr="00913FB6">
        <w:rPr>
          <w:rFonts w:asciiTheme="majorBidi" w:hAnsiTheme="majorBidi" w:cstheme="majorBidi"/>
          <w:iCs/>
        </w:rPr>
        <w:t>,</w:t>
      </w:r>
    </w:p>
    <w:p w:rsidR="00EF3867" w:rsidRPr="00913FB6" w:rsidRDefault="00EF3867" w:rsidP="003A4F3B">
      <w:pPr>
        <w:pStyle w:val="SingleTxtG"/>
        <w:keepNext/>
        <w:rPr>
          <w:rFonts w:asciiTheme="majorBidi" w:hAnsiTheme="majorBidi" w:cstheme="majorBidi"/>
        </w:rPr>
      </w:pPr>
      <w:r w:rsidRPr="00913FB6">
        <w:rPr>
          <w:rFonts w:asciiTheme="majorBidi" w:hAnsiTheme="majorBidi" w:cstheme="majorBidi"/>
          <w:i/>
        </w:rPr>
        <w:t>Paragraphe 1</w:t>
      </w:r>
      <w:r w:rsidRPr="00913FB6">
        <w:rPr>
          <w:rFonts w:asciiTheme="majorBidi" w:hAnsiTheme="majorBidi" w:cstheme="majorBidi"/>
        </w:rPr>
        <w:t xml:space="preserve">, modifier comme </w:t>
      </w:r>
      <w:r w:rsidRPr="00913FB6">
        <w:t>suit</w:t>
      </w:r>
      <w:r w:rsidRPr="00913FB6">
        <w:rPr>
          <w:rFonts w:asciiTheme="majorBidi" w:hAnsiTheme="majorBidi" w:cstheme="majorBidi"/>
        </w:rPr>
        <w:t>:</w:t>
      </w:r>
    </w:p>
    <w:p w:rsidR="00EF3867" w:rsidRPr="00913FB6" w:rsidRDefault="00EF3867" w:rsidP="003A4F3B">
      <w:pPr>
        <w:pStyle w:val="SingleTxtG"/>
        <w:keepNext/>
        <w:ind w:left="2268" w:hanging="1134"/>
        <w:rPr>
          <w:rFonts w:asciiTheme="majorBidi" w:hAnsiTheme="majorBidi" w:cstheme="majorBidi"/>
          <w:szCs w:val="24"/>
        </w:rPr>
      </w:pPr>
      <w:r w:rsidRPr="00913FB6">
        <w:rPr>
          <w:rFonts w:asciiTheme="majorBidi" w:hAnsiTheme="majorBidi" w:cstheme="majorBidi"/>
          <w:szCs w:val="24"/>
        </w:rPr>
        <w:t>«1.</w:t>
      </w:r>
      <w:r w:rsidRPr="00913FB6">
        <w:rPr>
          <w:rFonts w:asciiTheme="majorBidi" w:hAnsiTheme="majorBidi" w:cstheme="majorBidi"/>
          <w:szCs w:val="24"/>
        </w:rPr>
        <w:tab/>
      </w:r>
      <w:r w:rsidRPr="00913FB6">
        <w:rPr>
          <w:rFonts w:asciiTheme="majorBidi" w:hAnsiTheme="majorBidi" w:cstheme="majorBidi"/>
          <w:szCs w:val="24"/>
        </w:rPr>
        <w:tab/>
      </w:r>
      <w:r w:rsidRPr="00913FB6">
        <w:t>Introduction</w:t>
      </w:r>
    </w:p>
    <w:p w:rsidR="00EF3867" w:rsidRPr="00913FB6" w:rsidRDefault="00EF3867" w:rsidP="0052722F">
      <w:pPr>
        <w:pStyle w:val="SingleTxtG"/>
        <w:keepLines/>
        <w:ind w:left="2268"/>
      </w:pPr>
      <w:r w:rsidRPr="00913FB6">
        <w:t>Le présent appendice décrit la procédure de l’essai à effec</w:t>
      </w:r>
      <w:r w:rsidR="00913FB6">
        <w:t>tuer conformément au paragraphe </w:t>
      </w:r>
      <w:r w:rsidRPr="00913FB6">
        <w:t>3 de la présente annexe. Il s’agit d’une méthode de vérification du fonctionnement du système d’autodiagnostic (OBD) installé sur un véhicule, grâce à la simulation de défaillances des systèmes correspondants au niveau du système de gestion du moteur ou de réduction des émissions. Le présent appendice décrit également les procédures à utiliser pour déterminer la durabilité des systèmes OBD.</w:t>
      </w:r>
    </w:p>
    <w:p w:rsidR="00EF3867" w:rsidRPr="00913FB6" w:rsidRDefault="00EF3867" w:rsidP="007E2C27">
      <w:pPr>
        <w:pStyle w:val="SingleTxtG"/>
        <w:ind w:left="2268"/>
        <w:rPr>
          <w:rFonts w:asciiTheme="majorBidi" w:hAnsiTheme="majorBidi" w:cstheme="majorBidi"/>
          <w:szCs w:val="24"/>
        </w:rPr>
      </w:pPr>
      <w:r w:rsidRPr="00913FB6">
        <w:rPr>
          <w:rFonts w:asciiTheme="majorBidi" w:hAnsiTheme="majorBidi" w:cstheme="majorBidi"/>
          <w:szCs w:val="24"/>
        </w:rPr>
        <w:t>Le constructeur doit mettre à disposition les composants et/ou les dispositifs électriques défectueux à utiliser pour simuler des défaillances. Lorsqu’ils sont mesurés dans le</w:t>
      </w:r>
      <w:r w:rsidR="00913FB6">
        <w:rPr>
          <w:rFonts w:asciiTheme="majorBidi" w:hAnsiTheme="majorBidi" w:cstheme="majorBidi"/>
          <w:szCs w:val="24"/>
        </w:rPr>
        <w:t xml:space="preserve"> cadre du cycle d’essai du type </w:t>
      </w:r>
      <w:r w:rsidRPr="00913FB6">
        <w:rPr>
          <w:rFonts w:asciiTheme="majorBidi" w:hAnsiTheme="majorBidi" w:cstheme="majorBidi"/>
          <w:szCs w:val="24"/>
        </w:rPr>
        <w:t>I, ces composants ou dispositifs défectueux ne doivent pas entraîner une production d’émissions par le v</w:t>
      </w:r>
      <w:r w:rsidR="00EF2649">
        <w:rPr>
          <w:rFonts w:asciiTheme="majorBidi" w:hAnsiTheme="majorBidi" w:cstheme="majorBidi"/>
          <w:szCs w:val="24"/>
        </w:rPr>
        <w:t>éhicule dépassant de plus de 20 </w:t>
      </w:r>
      <w:r w:rsidRPr="00913FB6">
        <w:rPr>
          <w:rFonts w:asciiTheme="majorBidi" w:hAnsiTheme="majorBidi" w:cstheme="majorBidi"/>
          <w:szCs w:val="24"/>
        </w:rPr>
        <w:t>% l</w:t>
      </w:r>
      <w:r w:rsidR="00EF2649">
        <w:rPr>
          <w:rFonts w:asciiTheme="majorBidi" w:hAnsiTheme="majorBidi" w:cstheme="majorBidi"/>
          <w:szCs w:val="24"/>
        </w:rPr>
        <w:t>es limites fixées au paragraphe </w:t>
      </w:r>
      <w:r w:rsidRPr="00913FB6">
        <w:rPr>
          <w:rFonts w:asciiTheme="majorBidi" w:hAnsiTheme="majorBidi" w:cstheme="majorBidi"/>
          <w:szCs w:val="24"/>
        </w:rPr>
        <w:t>3.3.2. Pour les défaillances électriques (court-circuit ou circuit ouvert), les émissions du véhicule</w:t>
      </w:r>
      <w:r w:rsidR="00EF2649">
        <w:rPr>
          <w:rFonts w:asciiTheme="majorBidi" w:hAnsiTheme="majorBidi" w:cstheme="majorBidi"/>
          <w:szCs w:val="24"/>
        </w:rPr>
        <w:t xml:space="preserve"> peuvent dépasser de plus de 20 </w:t>
      </w:r>
      <w:r w:rsidRPr="00913FB6">
        <w:rPr>
          <w:rFonts w:asciiTheme="majorBidi" w:hAnsiTheme="majorBidi" w:cstheme="majorBidi"/>
          <w:szCs w:val="24"/>
        </w:rPr>
        <w:t>% les limites fixées au paragraphe 3.3.2</w:t>
      </w:r>
      <w:r w:rsidR="00913FB6">
        <w:rPr>
          <w:rFonts w:asciiTheme="majorBidi" w:hAnsiTheme="majorBidi" w:cstheme="majorBidi"/>
          <w:szCs w:val="24"/>
        </w:rPr>
        <w:t>.</w:t>
      </w:r>
    </w:p>
    <w:p w:rsidR="00EF3867" w:rsidRPr="00913FB6" w:rsidRDefault="00EF3867" w:rsidP="007E2C27">
      <w:pPr>
        <w:pStyle w:val="SingleTxtG"/>
        <w:ind w:left="2268"/>
        <w:rPr>
          <w:rFonts w:asciiTheme="majorBidi" w:hAnsiTheme="majorBidi" w:cstheme="majorBidi"/>
          <w:szCs w:val="24"/>
        </w:rPr>
      </w:pPr>
      <w:r w:rsidRPr="00913FB6">
        <w:rPr>
          <w:rFonts w:asciiTheme="majorBidi" w:hAnsiTheme="majorBidi" w:cstheme="majorBidi"/>
          <w:szCs w:val="24"/>
        </w:rPr>
        <w:t xml:space="preserve">Lorsque le véhicule est soumis à un essai alors qu’il est équipé du composant ou dispositif défectueux, le système OBD est approuvé si l’indicateur de dysfonctionnement (MI) est activé. Le système OBD est également </w:t>
      </w:r>
      <w:r w:rsidRPr="00913FB6">
        <w:t>approuvé</w:t>
      </w:r>
      <w:r w:rsidRPr="00913FB6">
        <w:rPr>
          <w:rFonts w:asciiTheme="majorBidi" w:hAnsiTheme="majorBidi" w:cstheme="majorBidi"/>
          <w:szCs w:val="24"/>
        </w:rPr>
        <w:t xml:space="preserve"> si l’indicateur de dysfonctionnement est activé</w:t>
      </w:r>
      <w:r w:rsidR="00EF2649">
        <w:rPr>
          <w:rFonts w:asciiTheme="majorBidi" w:hAnsiTheme="majorBidi" w:cstheme="majorBidi"/>
          <w:szCs w:val="24"/>
        </w:rPr>
        <w:t xml:space="preserve"> au-dessous des valeurs limites </w:t>
      </w:r>
      <w:r w:rsidRPr="00913FB6">
        <w:rPr>
          <w:rFonts w:asciiTheme="majorBidi" w:hAnsiTheme="majorBidi" w:cstheme="majorBidi"/>
          <w:szCs w:val="24"/>
        </w:rPr>
        <w:t>OBD.».</w:t>
      </w:r>
    </w:p>
    <w:p w:rsidR="00EF3867" w:rsidRPr="00913FB6" w:rsidRDefault="00EF3867" w:rsidP="003A4F3B">
      <w:pPr>
        <w:pStyle w:val="SingleTxtG"/>
        <w:keepNext/>
        <w:rPr>
          <w:rFonts w:asciiTheme="majorBidi" w:hAnsiTheme="majorBidi" w:cstheme="majorBidi"/>
          <w:szCs w:val="24"/>
        </w:rPr>
      </w:pPr>
      <w:r w:rsidRPr="00913FB6">
        <w:rPr>
          <w:rFonts w:asciiTheme="majorBidi" w:hAnsiTheme="majorBidi" w:cstheme="majorBidi"/>
          <w:i/>
          <w:szCs w:val="24"/>
        </w:rPr>
        <w:t>Ajouter un nouveau paragraphe, 6.1.1</w:t>
      </w:r>
      <w:r w:rsidRPr="00913FB6">
        <w:rPr>
          <w:rFonts w:asciiTheme="majorBidi" w:hAnsiTheme="majorBidi" w:cstheme="majorBidi"/>
          <w:szCs w:val="24"/>
        </w:rPr>
        <w:t xml:space="preserve">, ainsi </w:t>
      </w:r>
      <w:r w:rsidRPr="00913FB6">
        <w:t>conçu</w:t>
      </w:r>
      <w:r w:rsidRPr="00913FB6">
        <w:rPr>
          <w:rFonts w:asciiTheme="majorBidi" w:hAnsiTheme="majorBidi" w:cstheme="majorBidi"/>
          <w:szCs w:val="24"/>
        </w:rPr>
        <w:t>:</w:t>
      </w:r>
    </w:p>
    <w:p w:rsidR="00EF3867" w:rsidRPr="00913FB6" w:rsidRDefault="00EF3867" w:rsidP="00C60A6D">
      <w:pPr>
        <w:pStyle w:val="SingleTxtG"/>
        <w:ind w:left="2268" w:hanging="1134"/>
        <w:rPr>
          <w:rFonts w:asciiTheme="majorBidi" w:hAnsiTheme="majorBidi" w:cstheme="majorBidi"/>
          <w:szCs w:val="24"/>
        </w:rPr>
      </w:pPr>
      <w:r w:rsidRPr="00913FB6">
        <w:rPr>
          <w:rFonts w:asciiTheme="majorBidi" w:hAnsiTheme="majorBidi" w:cstheme="majorBidi"/>
          <w:szCs w:val="24"/>
        </w:rPr>
        <w:t>«6.1.1</w:t>
      </w:r>
      <w:r w:rsidRPr="00913FB6">
        <w:rPr>
          <w:rFonts w:asciiTheme="majorBidi" w:hAnsiTheme="majorBidi" w:cstheme="majorBidi"/>
          <w:szCs w:val="24"/>
        </w:rPr>
        <w:tab/>
        <w:t xml:space="preserve">Il n’est pas </w:t>
      </w:r>
      <w:r w:rsidRPr="00913FB6">
        <w:t>nécessaire</w:t>
      </w:r>
      <w:r w:rsidR="00EF2649">
        <w:rPr>
          <w:rFonts w:asciiTheme="majorBidi" w:hAnsiTheme="majorBidi" w:cstheme="majorBidi"/>
          <w:szCs w:val="24"/>
        </w:rPr>
        <w:t xml:space="preserve"> de procéder à l’essai du type </w:t>
      </w:r>
      <w:r w:rsidRPr="00913FB6">
        <w:rPr>
          <w:rFonts w:asciiTheme="majorBidi" w:hAnsiTheme="majorBidi" w:cstheme="majorBidi"/>
          <w:szCs w:val="24"/>
        </w:rPr>
        <w:t>I pour mettre en évidence des défaillances électriques (court-circuit ou circuit ouvert). Le constructeur peut démontrer ces modes de défaillance dans les conditions de conduite correspondant à l’utilisation de ce composant et aux modalités de surveillance. Ces conditions doivent être documentées dans le dossier d’homologation de type.».</w:t>
      </w:r>
    </w:p>
    <w:p w:rsidR="00EF3867" w:rsidRPr="00913FB6" w:rsidRDefault="00EF3867" w:rsidP="003A4F3B">
      <w:pPr>
        <w:pStyle w:val="SingleTxtG"/>
        <w:keepNext/>
        <w:rPr>
          <w:rFonts w:asciiTheme="majorBidi" w:hAnsiTheme="majorBidi" w:cstheme="majorBidi"/>
          <w:b/>
          <w:i/>
          <w:iCs/>
        </w:rPr>
      </w:pPr>
      <w:r w:rsidRPr="00913FB6">
        <w:rPr>
          <w:rFonts w:asciiTheme="majorBidi" w:hAnsiTheme="majorBidi" w:cstheme="majorBidi"/>
          <w:i/>
        </w:rPr>
        <w:t>Ajouter un nouveau paragraphe, 6.2.3</w:t>
      </w:r>
      <w:r w:rsidRPr="00913FB6">
        <w:rPr>
          <w:rFonts w:asciiTheme="majorBidi" w:hAnsiTheme="majorBidi" w:cstheme="majorBidi"/>
        </w:rPr>
        <w:t xml:space="preserve">, ainsi </w:t>
      </w:r>
      <w:r w:rsidRPr="00913FB6">
        <w:t>conçu</w:t>
      </w:r>
      <w:r w:rsidRPr="00913FB6">
        <w:rPr>
          <w:rFonts w:asciiTheme="majorBidi" w:hAnsiTheme="majorBidi" w:cstheme="majorBidi"/>
        </w:rPr>
        <w:t>:</w:t>
      </w:r>
    </w:p>
    <w:p w:rsidR="00EF3867" w:rsidRPr="00913FB6" w:rsidRDefault="00EF3867" w:rsidP="00C60A6D">
      <w:pPr>
        <w:pStyle w:val="SingleTxtG"/>
        <w:ind w:left="2268" w:hanging="1134"/>
        <w:rPr>
          <w:rFonts w:asciiTheme="majorBidi" w:hAnsiTheme="majorBidi" w:cstheme="majorBidi"/>
          <w:szCs w:val="24"/>
        </w:rPr>
      </w:pPr>
      <w:r w:rsidRPr="00913FB6">
        <w:rPr>
          <w:rFonts w:asciiTheme="majorBidi" w:hAnsiTheme="majorBidi" w:cstheme="majorBidi"/>
          <w:szCs w:val="24"/>
        </w:rPr>
        <w:t>«6.2.3</w:t>
      </w:r>
      <w:r w:rsidRPr="00913FB6">
        <w:rPr>
          <w:rFonts w:asciiTheme="majorBidi" w:hAnsiTheme="majorBidi" w:cstheme="majorBidi"/>
          <w:szCs w:val="24"/>
        </w:rPr>
        <w:tab/>
      </w:r>
      <w:r w:rsidRPr="00913FB6">
        <w:t>L’utilisation</w:t>
      </w:r>
      <w:r w:rsidRPr="00913FB6">
        <w:rPr>
          <w:rFonts w:asciiTheme="majorBidi" w:hAnsiTheme="majorBidi" w:cstheme="majorBidi"/>
          <w:szCs w:val="24"/>
        </w:rPr>
        <w:t xml:space="preserve"> de cycles de préconditionnement additionnels ou d’autres méthodes de préconditionnement doit être documentée dans le dossier d’homologation de type.».</w:t>
      </w:r>
    </w:p>
    <w:p w:rsidR="00EF3867" w:rsidRPr="00913FB6" w:rsidRDefault="00EF3867" w:rsidP="003A4F3B">
      <w:pPr>
        <w:pStyle w:val="SingleTxtG"/>
        <w:keepNext/>
        <w:rPr>
          <w:rFonts w:asciiTheme="majorBidi" w:hAnsiTheme="majorBidi" w:cstheme="majorBidi"/>
        </w:rPr>
      </w:pPr>
      <w:r w:rsidRPr="00913FB6">
        <w:rPr>
          <w:rFonts w:asciiTheme="majorBidi" w:hAnsiTheme="majorBidi" w:cstheme="majorBidi"/>
          <w:i/>
        </w:rPr>
        <w:t>Paragraphe 6.3.1.5</w:t>
      </w:r>
      <w:r w:rsidRPr="00913FB6">
        <w:rPr>
          <w:rFonts w:asciiTheme="majorBidi" w:hAnsiTheme="majorBidi" w:cstheme="majorBidi"/>
        </w:rPr>
        <w:t xml:space="preserve">, modifier </w:t>
      </w:r>
      <w:r w:rsidRPr="00913FB6">
        <w:t>comme</w:t>
      </w:r>
      <w:r w:rsidRPr="00913FB6">
        <w:rPr>
          <w:rFonts w:asciiTheme="majorBidi" w:hAnsiTheme="majorBidi" w:cstheme="majorBidi"/>
        </w:rPr>
        <w:t xml:space="preserve"> suit: </w:t>
      </w:r>
    </w:p>
    <w:p w:rsidR="00EF3867" w:rsidRPr="00913FB6" w:rsidRDefault="00EF3867" w:rsidP="00C60A6D">
      <w:pPr>
        <w:pStyle w:val="SingleTxtG"/>
        <w:ind w:left="2268" w:hanging="1134"/>
      </w:pPr>
      <w:r w:rsidRPr="00913FB6">
        <w:t>«6.3.1.5</w:t>
      </w:r>
      <w:r w:rsidRPr="00913FB6">
        <w:tab/>
        <w:t>Déconnexion électrique du dispositif électronique de commande de purge par évaporation (si le véhicule en est équipé et s’il est activé pour le type de carburant sélectionné).».</w:t>
      </w:r>
    </w:p>
    <w:p w:rsidR="00EF3867" w:rsidRPr="00913FB6" w:rsidRDefault="00EF3867" w:rsidP="003A4F3B">
      <w:pPr>
        <w:pStyle w:val="SingleTxtG"/>
        <w:keepNext/>
        <w:rPr>
          <w:rFonts w:asciiTheme="majorBidi" w:hAnsiTheme="majorBidi" w:cstheme="majorBidi"/>
        </w:rPr>
      </w:pPr>
      <w:r w:rsidRPr="00913FB6">
        <w:rPr>
          <w:rFonts w:asciiTheme="majorBidi" w:hAnsiTheme="majorBidi" w:cstheme="majorBidi"/>
          <w:i/>
        </w:rPr>
        <w:t>Paragraphe 6.4.1.1</w:t>
      </w:r>
      <w:r w:rsidRPr="00913FB6">
        <w:rPr>
          <w:rFonts w:asciiTheme="majorBidi" w:hAnsiTheme="majorBidi" w:cstheme="majorBidi"/>
        </w:rPr>
        <w:t xml:space="preserve">, modifier </w:t>
      </w:r>
      <w:r w:rsidRPr="00913FB6">
        <w:t>comme</w:t>
      </w:r>
      <w:r w:rsidRPr="00913FB6">
        <w:rPr>
          <w:rFonts w:asciiTheme="majorBidi" w:hAnsiTheme="majorBidi" w:cstheme="majorBidi"/>
        </w:rPr>
        <w:t xml:space="preserve"> suit: </w:t>
      </w:r>
    </w:p>
    <w:p w:rsidR="00EF3867" w:rsidRPr="00913FB6" w:rsidRDefault="00EF3867" w:rsidP="00C60A6D">
      <w:pPr>
        <w:pStyle w:val="SingleTxtG"/>
        <w:ind w:left="2268" w:hanging="1134"/>
        <w:rPr>
          <w:rFonts w:asciiTheme="majorBidi" w:hAnsiTheme="majorBidi" w:cstheme="majorBidi"/>
        </w:rPr>
      </w:pPr>
      <w:r w:rsidRPr="00913FB6">
        <w:rPr>
          <w:rFonts w:asciiTheme="majorBidi" w:hAnsiTheme="majorBidi" w:cstheme="majorBidi"/>
        </w:rPr>
        <w:t>«6.4.1.1</w:t>
      </w:r>
      <w:r w:rsidRPr="00913FB6">
        <w:rPr>
          <w:rFonts w:asciiTheme="majorBidi" w:hAnsiTheme="majorBidi" w:cstheme="majorBidi"/>
        </w:rPr>
        <w:tab/>
        <w:t xml:space="preserve">Après avoir été </w:t>
      </w:r>
      <w:r w:rsidRPr="00913FB6">
        <w:t>préconditionné</w:t>
      </w:r>
      <w:r w:rsidRPr="00913FB6">
        <w:rPr>
          <w:rFonts w:asciiTheme="majorBidi" w:hAnsiTheme="majorBidi" w:cstheme="majorBidi"/>
        </w:rPr>
        <w:t xml:space="preserve"> conformément</w:t>
      </w:r>
      <w:r w:rsidR="00EF2649">
        <w:rPr>
          <w:rFonts w:asciiTheme="majorBidi" w:hAnsiTheme="majorBidi" w:cstheme="majorBidi"/>
        </w:rPr>
        <w:t xml:space="preserve"> aux dispositions du paragraphe </w:t>
      </w:r>
      <w:r w:rsidRPr="00913FB6">
        <w:rPr>
          <w:rFonts w:asciiTheme="majorBidi" w:hAnsiTheme="majorBidi" w:cstheme="majorBidi"/>
        </w:rPr>
        <w:t>6.2 du présent appendice, le véhicule d’essai doi</w:t>
      </w:r>
      <w:r w:rsidR="00EF2649">
        <w:rPr>
          <w:rFonts w:asciiTheme="majorBidi" w:hAnsiTheme="majorBidi" w:cstheme="majorBidi"/>
        </w:rPr>
        <w:t>t être soumis à l’essai du type </w:t>
      </w:r>
      <w:r w:rsidRPr="00913FB6">
        <w:rPr>
          <w:rFonts w:asciiTheme="majorBidi" w:hAnsiTheme="majorBidi" w:cstheme="majorBidi"/>
        </w:rPr>
        <w:t>I (première et seconde parties).</w:t>
      </w:r>
    </w:p>
    <w:p w:rsidR="00EF3867" w:rsidRPr="00EF2649" w:rsidRDefault="00EF3867" w:rsidP="00F812D4">
      <w:pPr>
        <w:pStyle w:val="SingleTxtG"/>
        <w:ind w:left="2268"/>
        <w:rPr>
          <w:rFonts w:asciiTheme="majorBidi" w:hAnsiTheme="majorBidi" w:cstheme="majorBidi"/>
          <w:spacing w:val="-2"/>
        </w:rPr>
      </w:pPr>
      <w:r w:rsidRPr="00EF2649">
        <w:rPr>
          <w:rFonts w:asciiTheme="majorBidi" w:hAnsiTheme="majorBidi" w:cstheme="majorBidi"/>
          <w:spacing w:val="-2"/>
        </w:rPr>
        <w:t xml:space="preserve">L’indicateur de dysfonctionnement (MI) doit être activé au plus tard avant la fin de cet essai dans l’une ou l’autre </w:t>
      </w:r>
      <w:r w:rsidRPr="00EF2649">
        <w:rPr>
          <w:spacing w:val="-2"/>
        </w:rPr>
        <w:t>des</w:t>
      </w:r>
      <w:r w:rsidRPr="00EF2649">
        <w:rPr>
          <w:rFonts w:asciiTheme="majorBidi" w:hAnsiTheme="majorBidi" w:cstheme="majorBidi"/>
          <w:spacing w:val="-2"/>
        </w:rPr>
        <w:t xml:space="preserve"> conditi</w:t>
      </w:r>
      <w:r w:rsidR="00EF2649">
        <w:rPr>
          <w:rFonts w:asciiTheme="majorBidi" w:hAnsiTheme="majorBidi" w:cstheme="majorBidi"/>
          <w:spacing w:val="-2"/>
        </w:rPr>
        <w:t xml:space="preserve">ons mentionnées aux </w:t>
      </w:r>
      <w:r w:rsidR="00EF2649" w:rsidRPr="00EF2649">
        <w:rPr>
          <w:rFonts w:asciiTheme="majorBidi" w:hAnsiTheme="majorBidi" w:cstheme="majorBidi"/>
          <w:spacing w:val="-2"/>
        </w:rPr>
        <w:t>paragraphes </w:t>
      </w:r>
      <w:r w:rsidRPr="00EF2649">
        <w:rPr>
          <w:rFonts w:asciiTheme="majorBidi" w:hAnsiTheme="majorBidi" w:cstheme="majorBidi"/>
          <w:spacing w:val="-2"/>
        </w:rPr>
        <w:t>6.4.1.2 à 6.4.1.5 du présent appen</w:t>
      </w:r>
      <w:r w:rsidR="00EF2649">
        <w:rPr>
          <w:rFonts w:asciiTheme="majorBidi" w:hAnsiTheme="majorBidi" w:cstheme="majorBidi"/>
          <w:spacing w:val="-2"/>
        </w:rPr>
        <w:t>dice. Il peut aussi être activé </w:t>
      </w:r>
      <w:r w:rsidRPr="00EF2649">
        <w:rPr>
          <w:rFonts w:asciiTheme="majorBidi" w:hAnsiTheme="majorBidi" w:cstheme="majorBidi"/>
          <w:spacing w:val="-2"/>
        </w:rPr>
        <w:t xml:space="preserve">pendant la phase de préconditionnement. Le service technique peut </w:t>
      </w:r>
      <w:r w:rsidRPr="00EF2649">
        <w:rPr>
          <w:rFonts w:asciiTheme="majorBidi" w:hAnsiTheme="majorBidi" w:cstheme="majorBidi"/>
          <w:spacing w:val="-2"/>
        </w:rPr>
        <w:lastRenderedPageBreak/>
        <w:t>remplacer ces conditions par c</w:t>
      </w:r>
      <w:r w:rsidR="00EF2649" w:rsidRPr="00EF2649">
        <w:rPr>
          <w:rFonts w:asciiTheme="majorBidi" w:hAnsiTheme="majorBidi" w:cstheme="majorBidi"/>
          <w:spacing w:val="-2"/>
        </w:rPr>
        <w:t>elles mentionnées au paragraphe </w:t>
      </w:r>
      <w:r w:rsidR="00EF2649">
        <w:rPr>
          <w:rFonts w:asciiTheme="majorBidi" w:hAnsiTheme="majorBidi" w:cstheme="majorBidi"/>
          <w:spacing w:val="-2"/>
        </w:rPr>
        <w:t>6.4.1.6 du </w:t>
      </w:r>
      <w:r w:rsidRPr="00EF2649">
        <w:rPr>
          <w:rFonts w:asciiTheme="majorBidi" w:hAnsiTheme="majorBidi" w:cstheme="majorBidi"/>
          <w:spacing w:val="-2"/>
        </w:rPr>
        <w:t>présent appendice.</w:t>
      </w:r>
    </w:p>
    <w:p w:rsidR="00EF3867" w:rsidRPr="00913FB6" w:rsidRDefault="00EF3867" w:rsidP="00F812D4">
      <w:pPr>
        <w:pStyle w:val="SingleTxtG"/>
        <w:ind w:left="2268"/>
        <w:rPr>
          <w:rFonts w:asciiTheme="majorBidi" w:hAnsiTheme="majorBidi" w:cstheme="majorBidi"/>
        </w:rPr>
      </w:pPr>
      <w:r w:rsidRPr="00913FB6">
        <w:rPr>
          <w:rFonts w:asciiTheme="majorBidi" w:hAnsiTheme="majorBidi" w:cstheme="majorBidi"/>
        </w:rPr>
        <w:t xml:space="preserve">Dans le cas de l’essai d’un véhicule à </w:t>
      </w:r>
      <w:r w:rsidRPr="00913FB6">
        <w:t>bicarburation</w:t>
      </w:r>
      <w:r w:rsidRPr="00913FB6">
        <w:rPr>
          <w:rFonts w:asciiTheme="majorBidi" w:hAnsiTheme="majorBidi" w:cstheme="majorBidi"/>
        </w:rPr>
        <w:t>, les deux types de carburant peuvent être utilisés, à condition que le nombre de défaillances simulées ne dépasse pas quatre à la discrétion de l’autorité d’homologation de type.</w:t>
      </w:r>
    </w:p>
    <w:p w:rsidR="00EF3867" w:rsidRPr="00913FB6" w:rsidRDefault="00EF3867" w:rsidP="003A4F3B">
      <w:pPr>
        <w:pStyle w:val="SingleTxtG"/>
        <w:keepNext/>
        <w:rPr>
          <w:rFonts w:asciiTheme="majorBidi" w:hAnsiTheme="majorBidi" w:cstheme="majorBidi"/>
        </w:rPr>
      </w:pPr>
      <w:r w:rsidRPr="00913FB6">
        <w:rPr>
          <w:rFonts w:asciiTheme="majorBidi" w:hAnsiTheme="majorBidi" w:cstheme="majorBidi"/>
          <w:i/>
        </w:rPr>
        <w:t>Paragraphe 6.4.2.1</w:t>
      </w:r>
      <w:r w:rsidRPr="00913FB6">
        <w:rPr>
          <w:rFonts w:asciiTheme="majorBidi" w:hAnsiTheme="majorBidi" w:cstheme="majorBidi"/>
        </w:rPr>
        <w:t xml:space="preserve">, modifier comme suit: </w:t>
      </w:r>
    </w:p>
    <w:p w:rsidR="00EF3867" w:rsidRPr="00913FB6" w:rsidRDefault="00EF3867" w:rsidP="00C60A6D">
      <w:pPr>
        <w:pStyle w:val="SingleTxtG"/>
        <w:ind w:left="2268" w:hanging="1134"/>
        <w:rPr>
          <w:rFonts w:asciiTheme="majorBidi" w:hAnsiTheme="majorBidi" w:cstheme="majorBidi"/>
        </w:rPr>
      </w:pPr>
      <w:r w:rsidRPr="00913FB6">
        <w:rPr>
          <w:rFonts w:asciiTheme="majorBidi" w:hAnsiTheme="majorBidi" w:cstheme="majorBidi"/>
        </w:rPr>
        <w:t>«6.4.2.1</w:t>
      </w:r>
      <w:r w:rsidRPr="00913FB6">
        <w:rPr>
          <w:rFonts w:asciiTheme="majorBidi" w:hAnsiTheme="majorBidi" w:cstheme="majorBidi"/>
        </w:rPr>
        <w:tab/>
        <w:t xml:space="preserve">Après avoir </w:t>
      </w:r>
      <w:r w:rsidRPr="00913FB6">
        <w:t>été</w:t>
      </w:r>
      <w:r w:rsidRPr="00913FB6">
        <w:rPr>
          <w:rFonts w:asciiTheme="majorBidi" w:hAnsiTheme="majorBidi" w:cstheme="majorBidi"/>
        </w:rPr>
        <w:t xml:space="preserve"> préconditionné conformément</w:t>
      </w:r>
      <w:r w:rsidR="00EF2649">
        <w:rPr>
          <w:rFonts w:asciiTheme="majorBidi" w:hAnsiTheme="majorBidi" w:cstheme="majorBidi"/>
        </w:rPr>
        <w:t xml:space="preserve"> aux dispositions du paragraphe </w:t>
      </w:r>
      <w:r w:rsidRPr="00913FB6">
        <w:rPr>
          <w:rFonts w:asciiTheme="majorBidi" w:hAnsiTheme="majorBidi" w:cstheme="majorBidi"/>
        </w:rPr>
        <w:t>6.2 du présent appendice, le véhicule d’essai doit être soumis à l’essai du type I (première et seconde parties).</w:t>
      </w:r>
    </w:p>
    <w:p w:rsidR="00EF3867" w:rsidRPr="00913FB6" w:rsidRDefault="00EF3867" w:rsidP="00C60A6D">
      <w:pPr>
        <w:pStyle w:val="SingleTxtG"/>
        <w:ind w:left="2268"/>
        <w:rPr>
          <w:rFonts w:asciiTheme="majorBidi" w:hAnsiTheme="majorBidi" w:cstheme="majorBidi"/>
        </w:rPr>
      </w:pPr>
      <w:r w:rsidRPr="00913FB6">
        <w:rPr>
          <w:rFonts w:asciiTheme="majorBidi" w:hAnsiTheme="majorBidi" w:cstheme="majorBidi"/>
        </w:rPr>
        <w:t xml:space="preserve">L’indicateur de dysfonctionnement (MI) doit être activé au plus tard avant la fin de cet essai dans l’une ou l’autre </w:t>
      </w:r>
      <w:r w:rsidRPr="00913FB6">
        <w:t>des</w:t>
      </w:r>
      <w:r w:rsidRPr="00913FB6">
        <w:rPr>
          <w:rFonts w:asciiTheme="majorBidi" w:hAnsiTheme="majorBidi" w:cstheme="majorBidi"/>
        </w:rPr>
        <w:t xml:space="preserve"> conditions mentionnées aux paragraphes 6.4.2.2 à 6.4.2.5 du présent appendice. Il peut aussi être activé pendant la phase de préconditionnement. Le service technique peut remplacer ces conditions par c</w:t>
      </w:r>
      <w:r w:rsidR="00EF2649">
        <w:rPr>
          <w:rFonts w:asciiTheme="majorBidi" w:hAnsiTheme="majorBidi" w:cstheme="majorBidi"/>
        </w:rPr>
        <w:t>elles mentionnées au paragraphe </w:t>
      </w:r>
      <w:r w:rsidRPr="00913FB6">
        <w:rPr>
          <w:rFonts w:asciiTheme="majorBidi" w:hAnsiTheme="majorBidi" w:cstheme="majorBidi"/>
        </w:rPr>
        <w:t>6.4.2.5 du présent appendice. Cependant, le nombre total des défaillances simulées ne doit pas dépasser quatre aux fins de la procédure d’homologation de type.».</w:t>
      </w:r>
    </w:p>
    <w:p w:rsidR="00EF3867" w:rsidRPr="00913FB6" w:rsidRDefault="00EF3867" w:rsidP="003A4F3B">
      <w:pPr>
        <w:pStyle w:val="SingleTxtG"/>
        <w:keepNext/>
        <w:rPr>
          <w:rFonts w:asciiTheme="majorBidi" w:hAnsiTheme="majorBidi" w:cstheme="majorBidi"/>
        </w:rPr>
      </w:pPr>
      <w:r w:rsidRPr="00913FB6">
        <w:rPr>
          <w:rFonts w:asciiTheme="majorBidi" w:hAnsiTheme="majorBidi" w:cstheme="majorBidi"/>
          <w:i/>
        </w:rPr>
        <w:t>Paragraphe 7.6.2</w:t>
      </w:r>
      <w:r w:rsidRPr="00913FB6">
        <w:rPr>
          <w:rFonts w:asciiTheme="majorBidi" w:hAnsiTheme="majorBidi" w:cstheme="majorBidi"/>
        </w:rPr>
        <w:t xml:space="preserve">, modifier comme suit: </w:t>
      </w:r>
    </w:p>
    <w:p w:rsidR="00EF3867" w:rsidRPr="00EF2649" w:rsidRDefault="00EF3867" w:rsidP="00C60A6D">
      <w:pPr>
        <w:pStyle w:val="SingleTxtG"/>
        <w:ind w:left="2268" w:hanging="1134"/>
        <w:rPr>
          <w:rFonts w:asciiTheme="majorBidi" w:hAnsiTheme="majorBidi" w:cstheme="majorBidi"/>
          <w:spacing w:val="-2"/>
        </w:rPr>
      </w:pPr>
      <w:r w:rsidRPr="00913FB6">
        <w:rPr>
          <w:rFonts w:asciiTheme="majorBidi" w:hAnsiTheme="majorBidi" w:cstheme="majorBidi"/>
        </w:rPr>
        <w:t>«7.6.2</w:t>
      </w:r>
      <w:r w:rsidRPr="00913FB6">
        <w:rPr>
          <w:rFonts w:asciiTheme="majorBidi" w:hAnsiTheme="majorBidi" w:cstheme="majorBidi"/>
        </w:rPr>
        <w:tab/>
      </w:r>
      <w:r w:rsidRPr="00EF2649">
        <w:rPr>
          <w:rFonts w:asciiTheme="majorBidi" w:hAnsiTheme="majorBidi" w:cstheme="majorBidi"/>
          <w:spacing w:val="-2"/>
        </w:rPr>
        <w:t>Pour des composants ou systèmes spécifiques faisant l’objet de surveillances multiples qui doivent être relevées en vertu du présent paragraphe (par exemple, la rampe 1 de capteur d’oxygène peut faire l’objet de surveillances multiples relatives à la réaction du capteur ou à d’autres de ses caractéristiques), le système OBD recense séparément les numérateurs et les dénominateurs pour chacune des surveillances spécifiques et relève uniquement le numérateur et le dénominateur correspondants pour la surveillance spécifique présentant le rapport numérique le plus faible. Si deux ou plusieurs surveillances spécifiques ont des rapports identiques, le numérateur et le dénominateur correspondants pour la surveillance spécifique qui ont le dénominateur le plus élevé doivent être relevés pour le composant spécifique.».</w:t>
      </w:r>
    </w:p>
    <w:p w:rsidR="00EF3867" w:rsidRPr="00913FB6" w:rsidRDefault="00EF3867" w:rsidP="003A4F3B">
      <w:pPr>
        <w:pStyle w:val="SingleTxtG"/>
        <w:keepNext/>
        <w:rPr>
          <w:rFonts w:asciiTheme="majorBidi" w:hAnsiTheme="majorBidi" w:cstheme="majorBidi"/>
        </w:rPr>
      </w:pPr>
      <w:r w:rsidRPr="00913FB6">
        <w:rPr>
          <w:rFonts w:asciiTheme="majorBidi" w:hAnsiTheme="majorBidi" w:cstheme="majorBidi"/>
          <w:i/>
        </w:rPr>
        <w:t>Ajouter un nouveau paragraphe, 7.6.2.1</w:t>
      </w:r>
      <w:r w:rsidRPr="00913FB6">
        <w:rPr>
          <w:rFonts w:asciiTheme="majorBidi" w:hAnsiTheme="majorBidi" w:cstheme="majorBidi"/>
        </w:rPr>
        <w:t xml:space="preserve">, </w:t>
      </w:r>
      <w:r w:rsidRPr="00913FB6">
        <w:t>ainsi</w:t>
      </w:r>
      <w:r w:rsidRPr="00913FB6">
        <w:rPr>
          <w:rFonts w:asciiTheme="majorBidi" w:hAnsiTheme="majorBidi" w:cstheme="majorBidi"/>
        </w:rPr>
        <w:t xml:space="preserve"> conçu:</w:t>
      </w:r>
    </w:p>
    <w:p w:rsidR="00EF3867" w:rsidRPr="00913FB6" w:rsidRDefault="00EF3867" w:rsidP="00C60A6D">
      <w:pPr>
        <w:pStyle w:val="SingleTxtG"/>
        <w:ind w:left="2268" w:hanging="1134"/>
        <w:rPr>
          <w:rFonts w:asciiTheme="majorBidi" w:hAnsiTheme="majorBidi" w:cstheme="majorBidi"/>
          <w:bCs/>
        </w:rPr>
      </w:pPr>
      <w:r w:rsidRPr="00913FB6">
        <w:rPr>
          <w:rFonts w:asciiTheme="majorBidi" w:hAnsiTheme="majorBidi" w:cstheme="majorBidi"/>
        </w:rPr>
        <w:t>«7.6.2.1</w:t>
      </w:r>
      <w:r w:rsidRPr="00913FB6">
        <w:rPr>
          <w:rFonts w:asciiTheme="majorBidi" w:hAnsiTheme="majorBidi" w:cstheme="majorBidi"/>
        </w:rPr>
        <w:tab/>
        <w:t>Il n’est pas nécessaire de relever le numérateur et le dénominateur pour les surveillances spécifiques de composants ou de systèmes qui concernent les défaillances de court-circuit ou de circuit ouvert.</w:t>
      </w:r>
    </w:p>
    <w:p w:rsidR="00EF3867" w:rsidRPr="00913FB6" w:rsidRDefault="003A4F3B" w:rsidP="003A4F3B">
      <w:pPr>
        <w:pStyle w:val="SingleTxtG"/>
        <w:ind w:left="2268"/>
        <w:rPr>
          <w:rFonts w:asciiTheme="majorBidi" w:hAnsiTheme="majorBidi" w:cstheme="majorBidi"/>
          <w:bCs/>
        </w:rPr>
      </w:pPr>
      <w:r w:rsidRPr="00913FB6">
        <w:rPr>
          <w:rFonts w:asciiTheme="majorBidi" w:hAnsiTheme="majorBidi" w:cstheme="majorBidi"/>
        </w:rPr>
        <w:t>“</w:t>
      </w:r>
      <w:r w:rsidR="00EF3867" w:rsidRPr="00913FB6">
        <w:rPr>
          <w:rFonts w:asciiTheme="majorBidi" w:hAnsiTheme="majorBidi" w:cstheme="majorBidi"/>
        </w:rPr>
        <w:t>En continu</w:t>
      </w:r>
      <w:r w:rsidRPr="00913FB6">
        <w:rPr>
          <w:rFonts w:asciiTheme="majorBidi" w:hAnsiTheme="majorBidi" w:cstheme="majorBidi"/>
        </w:rPr>
        <w:t>”</w:t>
      </w:r>
      <w:r w:rsidR="00EF3867" w:rsidRPr="00913FB6">
        <w:rPr>
          <w:rFonts w:asciiTheme="majorBidi" w:hAnsiTheme="majorBidi" w:cstheme="majorBidi"/>
        </w:rPr>
        <w:t xml:space="preserve"> signifie en l’occurrence que la surveillance est toujours opérationnelle et que </w:t>
      </w:r>
      <w:r w:rsidR="00EF3867" w:rsidRPr="00913FB6">
        <w:t>l’échantillonnage</w:t>
      </w:r>
      <w:r w:rsidR="00EF3867" w:rsidRPr="00913FB6">
        <w:rPr>
          <w:rFonts w:asciiTheme="majorBidi" w:hAnsiTheme="majorBidi" w:cstheme="majorBidi"/>
        </w:rPr>
        <w:t xml:space="preserve"> du signal se fait à la fréquence d’au moins deux fois par seconde, la présence ou l’absence de défaillance </w:t>
      </w:r>
      <w:r w:rsidR="00EF2649">
        <w:rPr>
          <w:rFonts w:asciiTheme="majorBidi" w:hAnsiTheme="majorBidi" w:cstheme="majorBidi"/>
        </w:rPr>
        <w:t>étant déterminée en moins de 15 </w:t>
      </w:r>
      <w:r w:rsidR="00EF3867" w:rsidRPr="00913FB6">
        <w:rPr>
          <w:rFonts w:asciiTheme="majorBidi" w:hAnsiTheme="majorBidi" w:cstheme="majorBidi"/>
        </w:rPr>
        <w:t>s.</w:t>
      </w:r>
    </w:p>
    <w:p w:rsidR="00EF3867" w:rsidRPr="00913FB6" w:rsidRDefault="00EF3867" w:rsidP="00C60A6D">
      <w:pPr>
        <w:pStyle w:val="SingleTxtG"/>
        <w:ind w:left="2268"/>
        <w:rPr>
          <w:rFonts w:asciiTheme="majorBidi" w:hAnsiTheme="majorBidi" w:cstheme="majorBidi"/>
          <w:bCs/>
        </w:rPr>
      </w:pPr>
      <w:r w:rsidRPr="00913FB6">
        <w:rPr>
          <w:rFonts w:asciiTheme="majorBidi" w:hAnsiTheme="majorBidi" w:cstheme="majorBidi"/>
        </w:rPr>
        <w:t>Si, pour des raisons de gestion du moteur, le composant d’entrée d’un ordinateur est échantillonné moins fréquemment, le signal du composant peut être évalué à chaque échantillonnage.</w:t>
      </w:r>
    </w:p>
    <w:p w:rsidR="00EF3867" w:rsidRPr="00913FB6" w:rsidRDefault="00EF3867" w:rsidP="00C60A6D">
      <w:pPr>
        <w:pStyle w:val="SingleTxtG"/>
        <w:ind w:left="2268"/>
        <w:rPr>
          <w:rFonts w:asciiTheme="majorBidi" w:hAnsiTheme="majorBidi" w:cstheme="majorBidi"/>
          <w:b/>
          <w:bCs/>
        </w:rPr>
      </w:pPr>
      <w:r w:rsidRPr="00913FB6">
        <w:rPr>
          <w:rFonts w:asciiTheme="majorBidi" w:hAnsiTheme="majorBidi" w:cstheme="majorBidi"/>
        </w:rPr>
        <w:t xml:space="preserve">Il n’est pas obligatoire d’activer un </w:t>
      </w:r>
      <w:r w:rsidRPr="00913FB6">
        <w:t>composant</w:t>
      </w:r>
      <w:r w:rsidRPr="00913FB6">
        <w:rPr>
          <w:rFonts w:asciiTheme="majorBidi" w:hAnsiTheme="majorBidi" w:cstheme="majorBidi"/>
        </w:rPr>
        <w:t xml:space="preserve"> ou un système de sortie à la seule fin de surveiller ledit composant ou système.».</w:t>
      </w:r>
    </w:p>
    <w:p w:rsidR="00EF3867" w:rsidRPr="00913FB6" w:rsidRDefault="00EF3867" w:rsidP="003A4F3B">
      <w:pPr>
        <w:pStyle w:val="SingleTxtG"/>
        <w:keepNext/>
        <w:rPr>
          <w:rFonts w:asciiTheme="majorBidi" w:hAnsiTheme="majorBidi" w:cstheme="majorBidi"/>
        </w:rPr>
      </w:pPr>
      <w:r w:rsidRPr="00913FB6">
        <w:rPr>
          <w:rFonts w:asciiTheme="majorBidi" w:hAnsiTheme="majorBidi" w:cstheme="majorBidi"/>
          <w:i/>
        </w:rPr>
        <w:t>Paragraphe 9.3.5.2</w:t>
      </w:r>
      <w:r w:rsidRPr="00913FB6">
        <w:rPr>
          <w:rFonts w:asciiTheme="majorBidi" w:hAnsiTheme="majorBidi" w:cstheme="majorBidi"/>
        </w:rPr>
        <w:t xml:space="preserve">, modifier </w:t>
      </w:r>
      <w:r w:rsidRPr="00913FB6">
        <w:t>comme</w:t>
      </w:r>
      <w:r w:rsidRPr="00913FB6">
        <w:rPr>
          <w:rFonts w:asciiTheme="majorBidi" w:hAnsiTheme="majorBidi" w:cstheme="majorBidi"/>
        </w:rPr>
        <w:t xml:space="preserve"> suit:</w:t>
      </w:r>
    </w:p>
    <w:p w:rsidR="00EF3867" w:rsidRPr="00913FB6" w:rsidRDefault="00EF3867" w:rsidP="00C60A6D">
      <w:pPr>
        <w:pStyle w:val="SingleTxtG"/>
        <w:ind w:left="2268" w:hanging="1134"/>
      </w:pPr>
      <w:r w:rsidRPr="00913FB6">
        <w:t>«9.3.5.2</w:t>
      </w:r>
      <w:r w:rsidRPr="00913FB6">
        <w:tab/>
        <w:t>Pour l’IUPR, le nombre de lots d’échantillons à prélever figure dans le tableau 4 et dépend du nombre de véhicules d’une famille de systèmes OBD qui sont homologués avec l’IUPR (soumis à échantillonnage).</w:t>
      </w:r>
    </w:p>
    <w:p w:rsidR="00EF3867" w:rsidRPr="00913FB6" w:rsidRDefault="00EF3867" w:rsidP="00C60A6D">
      <w:pPr>
        <w:pStyle w:val="SingleTxtG"/>
        <w:ind w:left="2268"/>
      </w:pPr>
      <w:r w:rsidRPr="00913FB6">
        <w:lastRenderedPageBreak/>
        <w:t>Pour la première période d’échantillonnage d’une famille de systèmes OBD, tous les types de véhicules de la famille qui sont homologués avec l’IUPR sont susceptibles d’être soumis à échantillonnage. Pour les périodes d’échantillonnage ultérieures, seuls les types de véhicules n’ayant pas encore été mis à l’essai, ou les types de véhicules couverts par des homologations concernant les émissions qui ont été étendues depuis la période précédente, doivent être pris en considération pour l’échantillonnage.</w:t>
      </w:r>
    </w:p>
    <w:p w:rsidR="00EF3867" w:rsidRPr="00913FB6" w:rsidRDefault="00EF3867" w:rsidP="00C60A6D">
      <w:pPr>
        <w:pStyle w:val="SingleTxtG"/>
        <w:ind w:left="2268"/>
        <w:rPr>
          <w:rFonts w:asciiTheme="majorBidi" w:hAnsiTheme="majorBidi" w:cstheme="majorBidi"/>
          <w:szCs w:val="24"/>
        </w:rPr>
      </w:pPr>
      <w:r w:rsidRPr="00913FB6">
        <w:rPr>
          <w:rFonts w:asciiTheme="majorBidi" w:hAnsiTheme="majorBidi" w:cstheme="majorBidi"/>
          <w:szCs w:val="24"/>
        </w:rPr>
        <w:t>Pour les f</w:t>
      </w:r>
      <w:r w:rsidR="00EF2649">
        <w:rPr>
          <w:rFonts w:asciiTheme="majorBidi" w:hAnsiTheme="majorBidi" w:cstheme="majorBidi"/>
          <w:szCs w:val="24"/>
        </w:rPr>
        <w:t>amilles comptant moins de 5 000 </w:t>
      </w:r>
      <w:r w:rsidRPr="00913FB6">
        <w:rPr>
          <w:rFonts w:asciiTheme="majorBidi" w:hAnsiTheme="majorBidi" w:cstheme="majorBidi"/>
          <w:szCs w:val="24"/>
        </w:rPr>
        <w:t>immatriculations soumises à échantillonnage au cours de la période considérée, le nombre minimum de véhicules par lot d’échantillons est de six. Pour toutes les autres familles, le nombre minimum de véhicules par lot d’échantillons est de 15.</w:t>
      </w:r>
    </w:p>
    <w:p w:rsidR="00EF3867" w:rsidRPr="00913FB6" w:rsidRDefault="00EF3867" w:rsidP="00C60A6D">
      <w:pPr>
        <w:pStyle w:val="SingleTxtG"/>
        <w:ind w:left="2268"/>
        <w:rPr>
          <w:rFonts w:asciiTheme="majorBidi" w:hAnsiTheme="majorBidi" w:cstheme="majorBidi"/>
          <w:szCs w:val="24"/>
        </w:rPr>
      </w:pPr>
      <w:r w:rsidRPr="00913FB6">
        <w:rPr>
          <w:rFonts w:asciiTheme="majorBidi" w:hAnsiTheme="majorBidi" w:cstheme="majorBidi"/>
          <w:szCs w:val="24"/>
        </w:rPr>
        <w:t>Chaque lot d’échantillons doit rendre correctement compte de la répartition des ventes, de telle sorte qu’au moins les types de véhicules les plus vendus (au moins 20 % de l’ensemble des ventes de la famille) soient représentés.</w:t>
      </w:r>
    </w:p>
    <w:p w:rsidR="00EF3867" w:rsidRPr="00913FB6" w:rsidRDefault="00EF3867" w:rsidP="00C60A6D">
      <w:pPr>
        <w:pStyle w:val="SingleTxtG"/>
        <w:ind w:left="2268"/>
        <w:rPr>
          <w:rFonts w:asciiTheme="majorBidi" w:hAnsiTheme="majorBidi" w:cstheme="majorBidi"/>
          <w:szCs w:val="24"/>
        </w:rPr>
      </w:pPr>
      <w:r w:rsidRPr="00913FB6">
        <w:rPr>
          <w:rFonts w:asciiTheme="majorBidi" w:hAnsiTheme="majorBidi" w:cstheme="majorBidi"/>
          <w:szCs w:val="24"/>
        </w:rPr>
        <w:t>Pour les véhicules produits en sé</w:t>
      </w:r>
      <w:r w:rsidR="00EF2649">
        <w:rPr>
          <w:rFonts w:asciiTheme="majorBidi" w:hAnsiTheme="majorBidi" w:cstheme="majorBidi"/>
          <w:szCs w:val="24"/>
        </w:rPr>
        <w:t>ries limitées de moins de 1 000 </w:t>
      </w:r>
      <w:r w:rsidR="009074EC">
        <w:rPr>
          <w:rFonts w:asciiTheme="majorBidi" w:hAnsiTheme="majorBidi" w:cstheme="majorBidi"/>
          <w:szCs w:val="24"/>
        </w:rPr>
        <w:t xml:space="preserve">unités par </w:t>
      </w:r>
      <w:r w:rsidRPr="00913FB6">
        <w:rPr>
          <w:rFonts w:asciiTheme="majorBidi" w:hAnsiTheme="majorBidi" w:cstheme="majorBidi"/>
          <w:szCs w:val="24"/>
        </w:rPr>
        <w:t>famille de systèmes OBD, il n’est pas nécessaire de satisfaire aux exigences minimales de l’IUPR ni à l’obligation de le démontrer à l’autorité d’homologation.».</w:t>
      </w:r>
    </w:p>
    <w:p w:rsidR="00F9573C" w:rsidRPr="00913FB6" w:rsidRDefault="00EF3867" w:rsidP="00EF3867">
      <w:pPr>
        <w:pStyle w:val="SingleTxtG"/>
        <w:spacing w:before="240" w:after="0"/>
        <w:jc w:val="center"/>
        <w:rPr>
          <w:u w:val="single"/>
        </w:rPr>
      </w:pPr>
      <w:r w:rsidRPr="00913FB6">
        <w:rPr>
          <w:u w:val="single"/>
        </w:rPr>
        <w:tab/>
      </w:r>
      <w:r w:rsidRPr="00913FB6">
        <w:rPr>
          <w:u w:val="single"/>
        </w:rPr>
        <w:tab/>
      </w:r>
      <w:r w:rsidRPr="00913FB6">
        <w:rPr>
          <w:u w:val="single"/>
        </w:rPr>
        <w:tab/>
      </w:r>
    </w:p>
    <w:sectPr w:rsidR="00F9573C" w:rsidRPr="00913FB6" w:rsidSect="00EF3867">
      <w:headerReference w:type="even" r:id="rId27"/>
      <w:headerReference w:type="default" r:id="rId28"/>
      <w:footerReference w:type="even" r:id="rId29"/>
      <w:footerReference w:type="default" r:id="rId30"/>
      <w:footerReference w:type="first" r:id="rId31"/>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8C" w:rsidRDefault="00250F8C" w:rsidP="00F95C08">
      <w:pPr>
        <w:spacing w:line="240" w:lineRule="auto"/>
      </w:pPr>
    </w:p>
  </w:endnote>
  <w:endnote w:type="continuationSeparator" w:id="0">
    <w:p w:rsidR="00250F8C" w:rsidRPr="00AC3823" w:rsidRDefault="00250F8C" w:rsidP="00AC3823">
      <w:pPr>
        <w:pStyle w:val="Footer"/>
      </w:pPr>
    </w:p>
  </w:endnote>
  <w:endnote w:type="continuationNotice" w:id="1">
    <w:p w:rsidR="00250F8C" w:rsidRDefault="00250F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8C" w:rsidRPr="00EF3867" w:rsidRDefault="00250F8C" w:rsidP="00EF3867">
    <w:pPr>
      <w:pStyle w:val="Footer"/>
      <w:tabs>
        <w:tab w:val="right" w:pos="9638"/>
      </w:tabs>
    </w:pPr>
    <w:r w:rsidRPr="00EF3867">
      <w:rPr>
        <w:b/>
        <w:sz w:val="18"/>
      </w:rPr>
      <w:fldChar w:fldCharType="begin"/>
    </w:r>
    <w:r w:rsidRPr="00EF3867">
      <w:rPr>
        <w:b/>
        <w:sz w:val="18"/>
      </w:rPr>
      <w:instrText xml:space="preserve"> PAGE  \* MERGEFORMAT </w:instrText>
    </w:r>
    <w:r w:rsidRPr="00EF3867">
      <w:rPr>
        <w:b/>
        <w:sz w:val="18"/>
      </w:rPr>
      <w:fldChar w:fldCharType="separate"/>
    </w:r>
    <w:r w:rsidR="001F4C01">
      <w:rPr>
        <w:b/>
        <w:noProof/>
        <w:sz w:val="18"/>
      </w:rPr>
      <w:t>10</w:t>
    </w:r>
    <w:r w:rsidRPr="00EF3867">
      <w:rPr>
        <w:b/>
        <w:sz w:val="18"/>
      </w:rPr>
      <w:fldChar w:fldCharType="end"/>
    </w:r>
    <w:r>
      <w:rPr>
        <w:b/>
        <w:sz w:val="18"/>
      </w:rPr>
      <w:tab/>
    </w:r>
    <w:r>
      <w:t>GE.15-07501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8C" w:rsidRPr="00EF3867" w:rsidRDefault="00250F8C" w:rsidP="00EF3867">
    <w:pPr>
      <w:pStyle w:val="Footer"/>
      <w:tabs>
        <w:tab w:val="right" w:pos="9638"/>
      </w:tabs>
      <w:rPr>
        <w:b/>
        <w:sz w:val="18"/>
      </w:rPr>
    </w:pPr>
    <w:r>
      <w:t>GE.15-07501</w:t>
    </w:r>
    <w:r>
      <w:tab/>
    </w:r>
    <w:r w:rsidRPr="00EF3867">
      <w:rPr>
        <w:b/>
        <w:sz w:val="18"/>
      </w:rPr>
      <w:fldChar w:fldCharType="begin"/>
    </w:r>
    <w:r w:rsidRPr="00EF3867">
      <w:rPr>
        <w:b/>
        <w:sz w:val="18"/>
      </w:rPr>
      <w:instrText xml:space="preserve"> PAGE  \* MERGEFORMAT </w:instrText>
    </w:r>
    <w:r w:rsidRPr="00EF3867">
      <w:rPr>
        <w:b/>
        <w:sz w:val="18"/>
      </w:rPr>
      <w:fldChar w:fldCharType="separate"/>
    </w:r>
    <w:r w:rsidR="001F4C01">
      <w:rPr>
        <w:b/>
        <w:noProof/>
        <w:sz w:val="18"/>
      </w:rPr>
      <w:t>11</w:t>
    </w:r>
    <w:r w:rsidRPr="00EF38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8C" w:rsidRPr="00EF3867" w:rsidRDefault="00250F8C" w:rsidP="00EF386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B3722C3" wp14:editId="3D3D777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15-07501  (F)    280415    2</w:t>
    </w:r>
    <w:r w:rsidR="00914C0D">
      <w:rPr>
        <w:sz w:val="20"/>
      </w:rPr>
      <w:t>9</w:t>
    </w:r>
    <w:r>
      <w:rPr>
        <w:sz w:val="20"/>
      </w:rPr>
      <w:t>0415</w:t>
    </w:r>
    <w:r>
      <w:rPr>
        <w:sz w:val="20"/>
      </w:rPr>
      <w:br/>
    </w:r>
    <w:r w:rsidRPr="00EF3867">
      <w:rPr>
        <w:rFonts w:ascii="C39T30Lfz" w:hAnsi="C39T30Lfz"/>
        <w:sz w:val="56"/>
      </w:rPr>
      <w:t></w:t>
    </w:r>
    <w:r w:rsidRPr="00EF3867">
      <w:rPr>
        <w:rFonts w:ascii="C39T30Lfz" w:hAnsi="C39T30Lfz"/>
        <w:sz w:val="56"/>
      </w:rPr>
      <w:t></w:t>
    </w:r>
    <w:r w:rsidRPr="00EF3867">
      <w:rPr>
        <w:rFonts w:ascii="C39T30Lfz" w:hAnsi="C39T30Lfz"/>
        <w:sz w:val="56"/>
      </w:rPr>
      <w:t></w:t>
    </w:r>
    <w:r w:rsidRPr="00EF3867">
      <w:rPr>
        <w:rFonts w:ascii="C39T30Lfz" w:hAnsi="C39T30Lfz"/>
        <w:sz w:val="56"/>
      </w:rPr>
      <w:t></w:t>
    </w:r>
    <w:r w:rsidRPr="00EF3867">
      <w:rPr>
        <w:rFonts w:ascii="C39T30Lfz" w:hAnsi="C39T30Lfz"/>
        <w:sz w:val="56"/>
      </w:rPr>
      <w:t></w:t>
    </w:r>
    <w:r w:rsidRPr="00EF3867">
      <w:rPr>
        <w:rFonts w:ascii="C39T30Lfz" w:hAnsi="C39T30Lfz"/>
        <w:sz w:val="56"/>
      </w:rPr>
      <w:t></w:t>
    </w:r>
    <w:r w:rsidRPr="00EF3867">
      <w:rPr>
        <w:rFonts w:ascii="C39T30Lfz" w:hAnsi="C39T30Lfz"/>
        <w:sz w:val="56"/>
      </w:rPr>
      <w:t></w:t>
    </w:r>
    <w:r w:rsidRPr="00EF3867">
      <w:rPr>
        <w:rFonts w:ascii="C39T30Lfz" w:hAnsi="C39T30Lfz"/>
        <w:sz w:val="56"/>
      </w:rPr>
      <w:t></w:t>
    </w:r>
    <w:r w:rsidRPr="00EF386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5/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8C" w:rsidRPr="00AC3823" w:rsidRDefault="00250F8C" w:rsidP="00AC3823">
      <w:pPr>
        <w:pStyle w:val="Footer"/>
        <w:tabs>
          <w:tab w:val="right" w:pos="2155"/>
        </w:tabs>
        <w:spacing w:after="80" w:line="240" w:lineRule="atLeast"/>
        <w:ind w:left="680"/>
        <w:rPr>
          <w:u w:val="single"/>
        </w:rPr>
      </w:pPr>
      <w:r>
        <w:rPr>
          <w:u w:val="single"/>
        </w:rPr>
        <w:tab/>
      </w:r>
    </w:p>
  </w:footnote>
  <w:footnote w:type="continuationSeparator" w:id="0">
    <w:p w:rsidR="00250F8C" w:rsidRPr="00AC3823" w:rsidRDefault="00250F8C" w:rsidP="00AC3823">
      <w:pPr>
        <w:pStyle w:val="Footer"/>
        <w:tabs>
          <w:tab w:val="right" w:pos="2155"/>
        </w:tabs>
        <w:spacing w:after="80" w:line="240" w:lineRule="atLeast"/>
        <w:ind w:left="680"/>
        <w:rPr>
          <w:u w:val="single"/>
        </w:rPr>
      </w:pPr>
      <w:r>
        <w:rPr>
          <w:u w:val="single"/>
        </w:rPr>
        <w:tab/>
      </w:r>
    </w:p>
  </w:footnote>
  <w:footnote w:type="continuationNotice" w:id="1">
    <w:p w:rsidR="00250F8C" w:rsidRPr="00AC3823" w:rsidRDefault="00250F8C">
      <w:pPr>
        <w:spacing w:line="240" w:lineRule="auto"/>
        <w:rPr>
          <w:sz w:val="2"/>
          <w:szCs w:val="2"/>
        </w:rPr>
      </w:pPr>
    </w:p>
  </w:footnote>
  <w:footnote w:id="2">
    <w:p w:rsidR="00250F8C" w:rsidRPr="00C60A6D" w:rsidRDefault="00250F8C" w:rsidP="00C60A6D">
      <w:pPr>
        <w:pStyle w:val="FootnoteText"/>
        <w:rPr>
          <w:spacing w:val="-2"/>
        </w:rPr>
      </w:pPr>
      <w:r w:rsidRPr="00C60A6D">
        <w:rPr>
          <w:sz w:val="20"/>
        </w:rPr>
        <w:tab/>
        <w:t>*</w:t>
      </w:r>
      <w:r>
        <w:tab/>
      </w:r>
      <w:r w:rsidRPr="00C60A6D">
        <w:rPr>
          <w:spacing w:val="-2"/>
        </w:rPr>
        <w:t>Conformément au programme de travail du Comité des transports intérieurs pour la période 2012-2016 (ECE/TRANS/224, par. 94</w:t>
      </w:r>
      <w:r>
        <w:rPr>
          <w:spacing w:val="-2"/>
        </w:rPr>
        <w:t>,</w:t>
      </w:r>
      <w:r w:rsidRPr="00C60A6D">
        <w:rPr>
          <w:spacing w:val="-2"/>
        </w:rPr>
        <w:t xml:space="preserve"> et ECE/TRANS/2012/12,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8C" w:rsidRPr="00EF3867" w:rsidRDefault="00250F8C">
    <w:pPr>
      <w:pStyle w:val="Header"/>
    </w:pPr>
    <w:r>
      <w:t>ECE/TRANS/WP.29/2015/56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8C" w:rsidRPr="00EF3867" w:rsidRDefault="00250F8C" w:rsidP="00EF3867">
    <w:pPr>
      <w:pStyle w:val="Header"/>
      <w:jc w:val="right"/>
    </w:pPr>
    <w:r>
      <w:t>ECE/TRANS/WP.29/2015/56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39A13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492672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B0121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CF349BD"/>
    <w:multiLevelType w:val="singleLevel"/>
    <w:tmpl w:val="0582B630"/>
    <w:lvl w:ilvl="0">
      <w:start w:val="1"/>
      <w:numFmt w:val="lowerRoman"/>
      <w:lvlText w:val="(%1)"/>
      <w:lvlJc w:val="right"/>
      <w:pPr>
        <w:tabs>
          <w:tab w:val="num" w:pos="1440"/>
        </w:tabs>
        <w:ind w:left="1440" w:hanging="589"/>
      </w:pPr>
      <w:rPr>
        <w:rFont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0"/>
    <w:rsid w:val="00017F94"/>
    <w:rsid w:val="00023842"/>
    <w:rsid w:val="000334F9"/>
    <w:rsid w:val="0007796D"/>
    <w:rsid w:val="000B7790"/>
    <w:rsid w:val="00111F2F"/>
    <w:rsid w:val="0014365E"/>
    <w:rsid w:val="00143C66"/>
    <w:rsid w:val="00176178"/>
    <w:rsid w:val="001E4EF1"/>
    <w:rsid w:val="001F4C01"/>
    <w:rsid w:val="001F525A"/>
    <w:rsid w:val="00223272"/>
    <w:rsid w:val="0024779E"/>
    <w:rsid w:val="00250F8C"/>
    <w:rsid w:val="00257168"/>
    <w:rsid w:val="0025768C"/>
    <w:rsid w:val="002744B8"/>
    <w:rsid w:val="002832AC"/>
    <w:rsid w:val="002D7C93"/>
    <w:rsid w:val="00305801"/>
    <w:rsid w:val="003916DE"/>
    <w:rsid w:val="003A4F3B"/>
    <w:rsid w:val="00441C3B"/>
    <w:rsid w:val="00446FE5"/>
    <w:rsid w:val="00452396"/>
    <w:rsid w:val="00457755"/>
    <w:rsid w:val="004837D8"/>
    <w:rsid w:val="004E468C"/>
    <w:rsid w:val="0052722F"/>
    <w:rsid w:val="005505B7"/>
    <w:rsid w:val="00573BE5"/>
    <w:rsid w:val="00586ED3"/>
    <w:rsid w:val="00596AA9"/>
    <w:rsid w:val="00600BA6"/>
    <w:rsid w:val="00604883"/>
    <w:rsid w:val="0068116F"/>
    <w:rsid w:val="0071601D"/>
    <w:rsid w:val="0072496F"/>
    <w:rsid w:val="00737D79"/>
    <w:rsid w:val="007A62E6"/>
    <w:rsid w:val="007E2C27"/>
    <w:rsid w:val="007F20FA"/>
    <w:rsid w:val="0080684C"/>
    <w:rsid w:val="00871C75"/>
    <w:rsid w:val="008776DC"/>
    <w:rsid w:val="009074EC"/>
    <w:rsid w:val="00913FB6"/>
    <w:rsid w:val="00914C0D"/>
    <w:rsid w:val="009705C8"/>
    <w:rsid w:val="009724D0"/>
    <w:rsid w:val="009C1CF4"/>
    <w:rsid w:val="009F1A12"/>
    <w:rsid w:val="009F6B74"/>
    <w:rsid w:val="00A30353"/>
    <w:rsid w:val="00A97C8E"/>
    <w:rsid w:val="00AC3823"/>
    <w:rsid w:val="00AE323C"/>
    <w:rsid w:val="00AF0CB5"/>
    <w:rsid w:val="00B00181"/>
    <w:rsid w:val="00B00B0D"/>
    <w:rsid w:val="00B765F7"/>
    <w:rsid w:val="00B85E20"/>
    <w:rsid w:val="00BA0CA9"/>
    <w:rsid w:val="00C0013A"/>
    <w:rsid w:val="00C02897"/>
    <w:rsid w:val="00C60A6D"/>
    <w:rsid w:val="00CE51B6"/>
    <w:rsid w:val="00D3439C"/>
    <w:rsid w:val="00D6074F"/>
    <w:rsid w:val="00D62005"/>
    <w:rsid w:val="00D81265"/>
    <w:rsid w:val="00DB1831"/>
    <w:rsid w:val="00DD3BFD"/>
    <w:rsid w:val="00DF6678"/>
    <w:rsid w:val="00E01DC6"/>
    <w:rsid w:val="00E85C74"/>
    <w:rsid w:val="00EA6547"/>
    <w:rsid w:val="00EF2649"/>
    <w:rsid w:val="00EF2E22"/>
    <w:rsid w:val="00EF3867"/>
    <w:rsid w:val="00F35BAF"/>
    <w:rsid w:val="00F660DF"/>
    <w:rsid w:val="00F812D4"/>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3598</Words>
  <Characters>20513</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ECE/TRANS/WP.29/2015/56</vt:lpstr>
      <vt:lpstr>ECE/TRANS/WP.29/2015/56</vt:lpstr>
    </vt:vector>
  </TitlesOfParts>
  <Company>DCM</Company>
  <LinksUpToDate>false</LinksUpToDate>
  <CharactersWithSpaces>24063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ECE/TRANS/WP.29/2015/56</dc:title>
  <dc:subject>FINAL</dc:subject>
  <dc:creator>MORIN</dc:creator>
  <cp:lastModifiedBy>Luciolle</cp:lastModifiedBy>
  <cp:revision>2</cp:revision>
  <cp:lastPrinted>2015-04-28T09:54:00Z</cp:lastPrinted>
  <dcterms:created xsi:type="dcterms:W3CDTF">2015-05-21T13:02:00Z</dcterms:created>
  <dcterms:modified xsi:type="dcterms:W3CDTF">2015-05-21T13:02:00Z</dcterms:modified>
</cp:coreProperties>
</file>