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E61CAE">
            <w:pPr>
              <w:jc w:val="right"/>
            </w:pPr>
            <w:r w:rsidRPr="00C0554D">
              <w:rPr>
                <w:sz w:val="40"/>
              </w:rPr>
              <w:t>ECE</w:t>
            </w:r>
            <w:r>
              <w:t>/TRANS/WP.11/201</w:t>
            </w:r>
            <w:r w:rsidR="009F6FA2">
              <w:t>5</w:t>
            </w:r>
            <w:r>
              <w:t>/</w:t>
            </w:r>
            <w:r w:rsidR="007B2CC7">
              <w:t>1</w:t>
            </w:r>
            <w:r w:rsidR="00E61CAE">
              <w:t>8</w:t>
            </w:r>
          </w:p>
        </w:tc>
      </w:tr>
      <w:tr w:rsidR="00B56E9C" w:rsidTr="000B0664">
        <w:trPr>
          <w:cantSplit/>
          <w:trHeight w:hRule="exact" w:val="2697"/>
        </w:trPr>
        <w:tc>
          <w:tcPr>
            <w:tcW w:w="1276" w:type="dxa"/>
            <w:tcBorders>
              <w:top w:val="single" w:sz="4" w:space="0" w:color="auto"/>
              <w:bottom w:val="single" w:sz="12" w:space="0" w:color="auto"/>
            </w:tcBorders>
            <w:shd w:val="clear" w:color="auto" w:fill="auto"/>
          </w:tcPr>
          <w:p w:rsidR="00B56E9C" w:rsidRDefault="003754C6" w:rsidP="00C0554D">
            <w:pPr>
              <w:spacing w:before="120"/>
            </w:pPr>
            <w:r>
              <w:rPr>
                <w:noProof/>
                <w:lang w:val="fr-FR" w:eastAsia="fr-FR"/>
              </w:rPr>
              <w:drawing>
                <wp:inline distT="0" distB="0" distL="0" distR="0" wp14:anchorId="2FD3E2D8" wp14:editId="6EB248DD">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364FFD" w:rsidP="00C0554D">
            <w:pPr>
              <w:spacing w:line="240" w:lineRule="exact"/>
            </w:pPr>
            <w:r>
              <w:t>20</w:t>
            </w:r>
            <w:r w:rsidR="007B2CC7">
              <w:t xml:space="preserve"> </w:t>
            </w:r>
            <w:r w:rsidR="00E61CAE">
              <w:t>August</w:t>
            </w:r>
            <w:r w:rsidR="00F616E0">
              <w:t xml:space="preserve"> 201</w:t>
            </w:r>
            <w:r w:rsidR="009F6FA2">
              <w:t>5</w:t>
            </w:r>
          </w:p>
          <w:p w:rsidR="00F616E0" w:rsidRDefault="00B4736D" w:rsidP="00C0554D">
            <w:pPr>
              <w:spacing w:line="240" w:lineRule="exact"/>
            </w:pPr>
            <w:r>
              <w:t>English</w:t>
            </w:r>
          </w:p>
          <w:p w:rsidR="00B56E9C" w:rsidRDefault="00F616E0" w:rsidP="00C0554D">
            <w:pPr>
              <w:spacing w:line="240" w:lineRule="exact"/>
            </w:pPr>
            <w:r>
              <w:t xml:space="preserve">Original: </w:t>
            </w:r>
            <w:r w:rsidR="000B0664">
              <w:t xml:space="preserve">English and </w:t>
            </w:r>
            <w:r w:rsidR="00A040EA">
              <w:t>Russian</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session</w:t>
      </w:r>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5461C6">
        <w:t>6</w:t>
      </w:r>
      <w:r w:rsidR="00917E37">
        <w:t xml:space="preserve"> of t</w:t>
      </w:r>
      <w:r w:rsidR="0024772E">
        <w:t>he provisional agenda</w:t>
      </w:r>
    </w:p>
    <w:p w:rsidR="00E77FC0" w:rsidRDefault="00E77FC0" w:rsidP="00E77FC0">
      <w:pPr>
        <w:rPr>
          <w:b/>
        </w:rPr>
      </w:pPr>
      <w:r w:rsidRPr="00CB487E">
        <w:rPr>
          <w:b/>
        </w:rPr>
        <w:t>ATP:</w:t>
      </w:r>
      <w:r w:rsidR="00B4736D">
        <w:rPr>
          <w:b/>
        </w:rPr>
        <w:t xml:space="preserve"> </w:t>
      </w:r>
      <w:r w:rsidR="005461C6">
        <w:rPr>
          <w:b/>
        </w:rPr>
        <w:t>Handbook</w:t>
      </w:r>
    </w:p>
    <w:p w:rsidR="007B2CC7" w:rsidRPr="00070D78" w:rsidRDefault="00446BA7" w:rsidP="00070D78">
      <w:pPr>
        <w:pStyle w:val="HChG"/>
        <w:rPr>
          <w:sz w:val="18"/>
          <w:vertAlign w:val="superscript"/>
        </w:rPr>
      </w:pPr>
      <w:r>
        <w:rPr>
          <w:lang w:eastAsia="ar-SA"/>
        </w:rPr>
        <w:tab/>
      </w:r>
      <w:r>
        <w:rPr>
          <w:lang w:eastAsia="ar-SA"/>
        </w:rPr>
        <w:tab/>
      </w:r>
      <w:r w:rsidR="00E61CAE" w:rsidRPr="00E61CAE">
        <w:t xml:space="preserve">Inclusion in the ATP Handbook of a comment in Article 3 of the ATP on the definition of </w:t>
      </w:r>
      <w:r w:rsidR="00C95F9B">
        <w:t>"</w:t>
      </w:r>
      <w:r w:rsidR="00E61CAE" w:rsidRPr="00E61CAE">
        <w:t>perishable foodstuffs</w:t>
      </w:r>
      <w:r w:rsidR="00C95F9B">
        <w:t>"</w:t>
      </w:r>
      <w:r w:rsidR="00070D78" w:rsidRPr="003E714C">
        <w:rPr>
          <w:szCs w:val="28"/>
          <w:vertAlign w:val="superscript"/>
        </w:rPr>
        <w:footnoteReference w:id="2"/>
      </w:r>
      <w:r w:rsidR="00070D78" w:rsidRPr="003E714C">
        <w:rPr>
          <w:szCs w:val="28"/>
          <w:vertAlign w:val="superscript"/>
        </w:rPr>
        <w:t>,</w:t>
      </w:r>
      <w:r w:rsidR="006D0240">
        <w:rPr>
          <w:szCs w:val="28"/>
          <w:vertAlign w:val="superscript"/>
        </w:rPr>
        <w:t xml:space="preserve"> </w:t>
      </w:r>
      <w:r w:rsidR="00070D78" w:rsidRPr="003E714C">
        <w:rPr>
          <w:szCs w:val="28"/>
          <w:vertAlign w:val="superscript"/>
        </w:rPr>
        <w:footnoteReference w:id="3"/>
      </w:r>
    </w:p>
    <w:p w:rsidR="00E61CAE" w:rsidRPr="00E61CAE" w:rsidRDefault="004E64F0" w:rsidP="000B0664">
      <w:pPr>
        <w:pStyle w:val="H1G"/>
        <w:spacing w:before="240"/>
      </w:pPr>
      <w:r>
        <w:rPr>
          <w:lang w:val="en-US"/>
        </w:rPr>
        <w:tab/>
      </w:r>
      <w:r>
        <w:rPr>
          <w:lang w:val="en-US"/>
        </w:rPr>
        <w:tab/>
      </w:r>
      <w:r w:rsidR="00E61CAE" w:rsidRPr="00E61CAE">
        <w:t>Transmitted by the Government of the Russian Federation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61CAE" w:rsidTr="00A10A42">
        <w:trPr>
          <w:jc w:val="center"/>
        </w:trPr>
        <w:tc>
          <w:tcPr>
            <w:tcW w:w="9637" w:type="dxa"/>
            <w:shd w:val="clear" w:color="auto" w:fill="auto"/>
          </w:tcPr>
          <w:p w:rsidR="00E61CAE" w:rsidRPr="00A10A42" w:rsidRDefault="00E61CAE" w:rsidP="00C95F9B">
            <w:pPr>
              <w:spacing w:before="60" w:after="60"/>
              <w:ind w:left="255"/>
              <w:rPr>
                <w:i/>
                <w:sz w:val="24"/>
              </w:rPr>
            </w:pPr>
            <w:r w:rsidRPr="00A10A42">
              <w:rPr>
                <w:i/>
                <w:sz w:val="24"/>
              </w:rPr>
              <w:t>Summary</w:t>
            </w:r>
          </w:p>
        </w:tc>
      </w:tr>
      <w:tr w:rsidR="00E61CAE" w:rsidTr="00A10A42">
        <w:trPr>
          <w:jc w:val="center"/>
        </w:trPr>
        <w:tc>
          <w:tcPr>
            <w:tcW w:w="9637" w:type="dxa"/>
            <w:shd w:val="clear" w:color="auto" w:fill="auto"/>
          </w:tcPr>
          <w:p w:rsidR="00E61CAE" w:rsidRDefault="00E61CAE" w:rsidP="00A10A42">
            <w:pPr>
              <w:pStyle w:val="SingleTxtG"/>
              <w:ind w:left="2834" w:hanging="2551"/>
            </w:pPr>
            <w:r w:rsidRPr="00A10A42">
              <w:rPr>
                <w:b/>
              </w:rPr>
              <w:t xml:space="preserve">Executive summary: </w:t>
            </w:r>
            <w:r w:rsidRPr="00A10A42">
              <w:rPr>
                <w:b/>
              </w:rPr>
              <w:tab/>
            </w:r>
            <w:r w:rsidRPr="00E61CAE">
              <w:t>There is no definition of the term “perishable foodstuffs” in ATP, which deals with the international carriage of perishable foodstuffs and the special equipment to be used for such carriage.</w:t>
            </w:r>
          </w:p>
        </w:tc>
      </w:tr>
      <w:tr w:rsidR="00E61CAE" w:rsidTr="00A10A42">
        <w:trPr>
          <w:jc w:val="center"/>
        </w:trPr>
        <w:tc>
          <w:tcPr>
            <w:tcW w:w="9637" w:type="dxa"/>
            <w:shd w:val="clear" w:color="auto" w:fill="auto"/>
          </w:tcPr>
          <w:p w:rsidR="00E61CAE" w:rsidRPr="00E61CAE" w:rsidRDefault="00E61CAE" w:rsidP="005461C6">
            <w:pPr>
              <w:pStyle w:val="SingleTxtG"/>
              <w:ind w:left="2834" w:hanging="2551"/>
            </w:pPr>
            <w:r w:rsidRPr="00A10A42">
              <w:rPr>
                <w:b/>
              </w:rPr>
              <w:t>Action to be taken:</w:t>
            </w:r>
            <w:r w:rsidRPr="00A10A42">
              <w:rPr>
                <w:b/>
              </w:rPr>
              <w:tab/>
            </w:r>
            <w:r w:rsidRPr="00E61CAE">
              <w:t>Include in the ATP Handbook a comment in Article 3 of the ATP on the definition of “perishable foodstuffs”.</w:t>
            </w:r>
          </w:p>
        </w:tc>
      </w:tr>
      <w:tr w:rsidR="00E61CAE" w:rsidTr="00A10A42">
        <w:trPr>
          <w:jc w:val="center"/>
        </w:trPr>
        <w:tc>
          <w:tcPr>
            <w:tcW w:w="9637" w:type="dxa"/>
            <w:shd w:val="clear" w:color="auto" w:fill="auto"/>
          </w:tcPr>
          <w:p w:rsidR="00E61CAE" w:rsidRPr="00E61CAE" w:rsidRDefault="00E61CAE" w:rsidP="00A10A42">
            <w:pPr>
              <w:pStyle w:val="SingleTxtG"/>
              <w:ind w:left="2834" w:hanging="2551"/>
            </w:pPr>
            <w:r w:rsidRPr="00A10A42">
              <w:rPr>
                <w:b/>
              </w:rPr>
              <w:t xml:space="preserve">Related documents: </w:t>
            </w:r>
            <w:r w:rsidRPr="00A10A42">
              <w:rPr>
                <w:b/>
              </w:rPr>
              <w:tab/>
            </w:r>
            <w:r w:rsidRPr="00E61CAE">
              <w:t xml:space="preserve">1. </w:t>
            </w:r>
            <w:r>
              <w:tab/>
            </w:r>
            <w:r w:rsidRPr="00E61CAE">
              <w:t>Annex 4 “Rules on the carriage of perishable goods” to the Agreement on International Railway Freight Communications (SMGS) (as amended on July 1, 2014);</w:t>
            </w:r>
          </w:p>
          <w:p w:rsidR="00E61CAE" w:rsidRPr="00E61CAE" w:rsidRDefault="00E61CAE" w:rsidP="00A10A42">
            <w:pPr>
              <w:pStyle w:val="SingleTxtG"/>
              <w:ind w:left="2834" w:hanging="2551"/>
            </w:pPr>
            <w:r>
              <w:tab/>
            </w:r>
            <w:r w:rsidRPr="00E61CAE">
              <w:t xml:space="preserve">2. </w:t>
            </w:r>
            <w:r>
              <w:tab/>
            </w:r>
            <w:r w:rsidRPr="00E61CAE">
              <w:t>Sanitary and epidemiological rules and standards of the Russian Federation “Hygienic requirements for expiry dates and storage conditions of foodstuffs. SanPiN 2.3.2.1324-03” approved by Ordinance No. 98 of the Ministry of Healthcare of the Russian Federation dated May 22, 2003.</w:t>
            </w:r>
          </w:p>
          <w:p w:rsidR="00E61CAE" w:rsidRPr="00E61CAE" w:rsidRDefault="00E61CAE" w:rsidP="00A10A42">
            <w:pPr>
              <w:pStyle w:val="SingleTxtG"/>
              <w:ind w:left="2834" w:hanging="2551"/>
            </w:pPr>
            <w:r>
              <w:tab/>
            </w:r>
            <w:r w:rsidRPr="00E61CAE">
              <w:t xml:space="preserve">3. </w:t>
            </w:r>
            <w:r>
              <w:tab/>
            </w:r>
            <w:r w:rsidRPr="00E61CAE">
              <w:t>Rules on the carriage of perishable goods by rail approved by Order No. 37 of the Ministry of Transportation of the Russian Federation dated June 18, 2003 (registered with the Ministry of Justice of the Russian Federation on June 19, 2003, No. 4762).</w:t>
            </w:r>
          </w:p>
        </w:tc>
      </w:tr>
    </w:tbl>
    <w:p w:rsidR="007B2CC7" w:rsidRPr="007B2CC7" w:rsidRDefault="000F66F7" w:rsidP="000F66F7">
      <w:pPr>
        <w:pStyle w:val="HChG"/>
        <w:rPr>
          <w:rFonts w:eastAsia="SimSun"/>
          <w:lang w:val="en-US" w:eastAsia="zh-CN"/>
        </w:rPr>
      </w:pPr>
      <w:r>
        <w:rPr>
          <w:rFonts w:eastAsia="SimSun"/>
          <w:lang w:val="en-US" w:eastAsia="zh-CN"/>
        </w:rPr>
        <w:lastRenderedPageBreak/>
        <w:tab/>
      </w:r>
      <w:r>
        <w:rPr>
          <w:rFonts w:eastAsia="SimSun"/>
          <w:lang w:val="en-US" w:eastAsia="zh-CN"/>
        </w:rPr>
        <w:tab/>
      </w:r>
      <w:r w:rsidR="007B2CC7">
        <w:rPr>
          <w:rFonts w:eastAsia="SimSun"/>
          <w:lang w:val="en-US" w:eastAsia="zh-CN"/>
        </w:rPr>
        <w:t>Introduction</w:t>
      </w:r>
    </w:p>
    <w:p w:rsidR="005829AB" w:rsidRPr="005829AB" w:rsidRDefault="005829AB" w:rsidP="005829AB">
      <w:pPr>
        <w:pStyle w:val="SingleTxtG"/>
        <w:rPr>
          <w:rFonts w:eastAsia="SimSun"/>
          <w:lang w:eastAsia="zh-CN"/>
        </w:rPr>
      </w:pPr>
      <w:r w:rsidRPr="005829AB">
        <w:rPr>
          <w:rFonts w:eastAsia="SimSun"/>
          <w:lang w:eastAsia="zh-CN"/>
        </w:rPr>
        <w:t>1.</w:t>
      </w:r>
      <w:r>
        <w:rPr>
          <w:rFonts w:eastAsia="SimSun"/>
          <w:lang w:eastAsia="zh-CN"/>
        </w:rPr>
        <w:tab/>
      </w:r>
      <w:r w:rsidRPr="005829AB">
        <w:rPr>
          <w:rFonts w:eastAsia="SimSun"/>
          <w:lang w:eastAsia="zh-CN"/>
        </w:rPr>
        <w:t xml:space="preserve"> At the 70</w:t>
      </w:r>
      <w:r w:rsidRPr="005829AB">
        <w:rPr>
          <w:rFonts w:eastAsia="SimSun"/>
          <w:vertAlign w:val="superscript"/>
          <w:lang w:eastAsia="zh-CN"/>
        </w:rPr>
        <w:t>th</w:t>
      </w:r>
      <w:r w:rsidRPr="005829AB">
        <w:rPr>
          <w:rFonts w:eastAsia="SimSun"/>
          <w:lang w:eastAsia="zh-CN"/>
        </w:rPr>
        <w:t xml:space="preserve"> session of WP.11, the Russian Federation submitted </w:t>
      </w:r>
      <w:r w:rsidR="005461C6">
        <w:rPr>
          <w:rFonts w:eastAsia="SimSun"/>
          <w:lang w:eastAsia="zh-CN"/>
        </w:rPr>
        <w:t>o</w:t>
      </w:r>
      <w:r w:rsidRPr="005829AB">
        <w:rPr>
          <w:rFonts w:eastAsia="SimSun"/>
          <w:lang w:eastAsia="zh-CN"/>
        </w:rPr>
        <w:t xml:space="preserve">fficial </w:t>
      </w:r>
      <w:r w:rsidR="005461C6">
        <w:rPr>
          <w:rFonts w:eastAsia="SimSun"/>
          <w:lang w:eastAsia="zh-CN"/>
        </w:rPr>
        <w:t>d</w:t>
      </w:r>
      <w:r w:rsidRPr="005829AB">
        <w:rPr>
          <w:rFonts w:eastAsia="SimSun"/>
          <w:lang w:eastAsia="zh-CN"/>
        </w:rPr>
        <w:t>ocument ECE/</w:t>
      </w:r>
      <w:r w:rsidRPr="005829AB">
        <w:rPr>
          <w:rFonts w:eastAsia="SimSun"/>
          <w:lang w:eastAsia="zh-CN"/>
        </w:rPr>
        <w:fldChar w:fldCharType="begin"/>
      </w:r>
      <w:r w:rsidRPr="005829AB">
        <w:rPr>
          <w:rFonts w:eastAsia="SimSun"/>
          <w:lang w:eastAsia="zh-CN"/>
        </w:rPr>
        <w:instrText xml:space="preserve"> FILLIN  "Введите символ после ЕCE/"  \* MERGEFORMAT </w:instrText>
      </w:r>
      <w:r w:rsidRPr="005829AB">
        <w:rPr>
          <w:rFonts w:eastAsia="SimSun"/>
          <w:lang w:eastAsia="zh-CN"/>
        </w:rPr>
        <w:fldChar w:fldCharType="separate"/>
      </w:r>
      <w:r w:rsidRPr="005829AB">
        <w:rPr>
          <w:rFonts w:eastAsia="SimSun"/>
          <w:lang w:eastAsia="zh-CN"/>
        </w:rPr>
        <w:t>TRANS/WP.11/2014/12</w:t>
      </w:r>
      <w:r w:rsidRPr="005829AB">
        <w:rPr>
          <w:rFonts w:eastAsia="SimSun"/>
          <w:lang w:val="en-US" w:eastAsia="zh-CN"/>
        </w:rPr>
        <w:fldChar w:fldCharType="end"/>
      </w:r>
      <w:r w:rsidRPr="005829AB">
        <w:rPr>
          <w:rFonts w:eastAsia="SimSun"/>
          <w:lang w:eastAsia="zh-CN"/>
        </w:rPr>
        <w:t xml:space="preserve"> proposing that a definition of the term “perishable foodstuffs” be added to Article 3 of the ATP.</w:t>
      </w:r>
    </w:p>
    <w:p w:rsidR="005829AB" w:rsidRPr="005829AB" w:rsidRDefault="005829AB" w:rsidP="005829AB">
      <w:pPr>
        <w:pStyle w:val="SingleTxtG"/>
        <w:rPr>
          <w:rFonts w:eastAsia="SimSun"/>
          <w:lang w:eastAsia="zh-CN"/>
        </w:rPr>
      </w:pPr>
      <w:r w:rsidRPr="005829AB">
        <w:rPr>
          <w:rFonts w:eastAsia="SimSun"/>
          <w:lang w:eastAsia="zh-CN"/>
        </w:rPr>
        <w:t xml:space="preserve">2. </w:t>
      </w:r>
      <w:r>
        <w:rPr>
          <w:rFonts w:eastAsia="SimSun"/>
          <w:lang w:eastAsia="zh-CN"/>
        </w:rPr>
        <w:tab/>
      </w:r>
      <w:r w:rsidRPr="005829AB">
        <w:rPr>
          <w:rFonts w:eastAsia="SimSun"/>
          <w:lang w:eastAsia="zh-CN"/>
        </w:rPr>
        <w:t>The proposal to include a relevant definition in Article 3 of the ATP was rejected at the 70</w:t>
      </w:r>
      <w:r w:rsidRPr="005829AB">
        <w:rPr>
          <w:rFonts w:eastAsia="SimSun"/>
          <w:vertAlign w:val="superscript"/>
          <w:lang w:eastAsia="zh-CN"/>
        </w:rPr>
        <w:t>th</w:t>
      </w:r>
      <w:r w:rsidRPr="005829AB">
        <w:rPr>
          <w:rFonts w:eastAsia="SimSun"/>
          <w:lang w:eastAsia="zh-CN"/>
        </w:rPr>
        <w:t xml:space="preserve"> session of WP.11, but it was generally agreed that a definition of the term “perishable foodstuffs” should be included in one of the comments to the ATP Handbook.</w:t>
      </w:r>
    </w:p>
    <w:p w:rsidR="005829AB" w:rsidRDefault="005829AB" w:rsidP="005829AB">
      <w:pPr>
        <w:pStyle w:val="SingleTxtG"/>
        <w:rPr>
          <w:rFonts w:eastAsia="SimSun"/>
          <w:lang w:eastAsia="zh-CN"/>
        </w:rPr>
      </w:pPr>
      <w:r w:rsidRPr="005829AB">
        <w:rPr>
          <w:rFonts w:eastAsia="SimSun"/>
          <w:lang w:eastAsia="zh-CN"/>
        </w:rPr>
        <w:t>The Russian delegation was asked to prepare a proposal for the 71</w:t>
      </w:r>
      <w:r w:rsidRPr="005829AB">
        <w:rPr>
          <w:rFonts w:eastAsia="SimSun"/>
          <w:vertAlign w:val="superscript"/>
          <w:lang w:eastAsia="zh-CN"/>
        </w:rPr>
        <w:t>st</w:t>
      </w:r>
      <w:r w:rsidRPr="005829AB">
        <w:rPr>
          <w:rFonts w:eastAsia="SimSun"/>
          <w:lang w:eastAsia="zh-CN"/>
        </w:rPr>
        <w:t xml:space="preserve"> session of WP.11.</w:t>
      </w:r>
    </w:p>
    <w:p w:rsidR="005829AB" w:rsidRPr="005829AB" w:rsidRDefault="005829AB" w:rsidP="005829AB">
      <w:pPr>
        <w:pStyle w:val="SingleTxtG"/>
        <w:rPr>
          <w:rFonts w:eastAsia="SimSun"/>
          <w:lang w:eastAsia="zh-CN"/>
        </w:rPr>
      </w:pPr>
      <w:r w:rsidRPr="005829AB">
        <w:rPr>
          <w:rFonts w:eastAsia="SimSun"/>
          <w:lang w:eastAsia="zh-CN"/>
        </w:rPr>
        <w:t xml:space="preserve">The Russian experts hope that including a definition of “perishable foodstuffs” in </w:t>
      </w:r>
      <w:r w:rsidR="00B34AF7">
        <w:rPr>
          <w:rFonts w:eastAsia="SimSun"/>
          <w:lang w:eastAsia="zh-CN"/>
        </w:rPr>
        <w:t xml:space="preserve">the </w:t>
      </w:r>
      <w:r w:rsidRPr="005829AB">
        <w:rPr>
          <w:rFonts w:eastAsia="SimSun"/>
          <w:lang w:eastAsia="zh-CN"/>
        </w:rPr>
        <w:t xml:space="preserve">ATP </w:t>
      </w:r>
      <w:r w:rsidR="005461C6">
        <w:rPr>
          <w:rFonts w:eastAsia="SimSun"/>
          <w:lang w:eastAsia="zh-CN"/>
        </w:rPr>
        <w:t xml:space="preserve">Handbook </w:t>
      </w:r>
      <w:r w:rsidRPr="005829AB">
        <w:rPr>
          <w:rFonts w:eastAsia="SimSun"/>
          <w:lang w:eastAsia="zh-CN"/>
        </w:rPr>
        <w:t>will enable the Contracting Parties to the ATP to understand and apply the term unambiguously</w:t>
      </w:r>
      <w:r>
        <w:rPr>
          <w:rFonts w:eastAsia="SimSun"/>
          <w:lang w:eastAsia="zh-CN"/>
        </w:rPr>
        <w:t>.</w:t>
      </w:r>
    </w:p>
    <w:p w:rsidR="005829AB" w:rsidRPr="005829AB" w:rsidRDefault="005829AB" w:rsidP="005829AB">
      <w:pPr>
        <w:pStyle w:val="SingleTxtG"/>
        <w:rPr>
          <w:rFonts w:eastAsia="SimSun"/>
          <w:lang w:eastAsia="zh-CN"/>
        </w:rPr>
      </w:pPr>
      <w:r w:rsidRPr="005829AB">
        <w:rPr>
          <w:rFonts w:eastAsia="SimSun"/>
        </w:rPr>
        <w:t xml:space="preserve">3. </w:t>
      </w:r>
      <w:r w:rsidRPr="005829AB">
        <w:rPr>
          <w:rFonts w:eastAsia="SimSun"/>
        </w:rPr>
        <w:tab/>
      </w:r>
      <w:r w:rsidRPr="005829AB">
        <w:t>Definitions</w:t>
      </w:r>
      <w:r w:rsidRPr="005829AB">
        <w:rPr>
          <w:rFonts w:eastAsia="SimSun"/>
        </w:rPr>
        <w:t xml:space="preserve"> of the term “perishable foodstuffs” are provided in the following documents:</w:t>
      </w:r>
    </w:p>
    <w:p w:rsidR="005829AB" w:rsidRPr="005829AB" w:rsidRDefault="005829AB" w:rsidP="005829AB">
      <w:pPr>
        <w:pStyle w:val="SingleTxtG"/>
        <w:rPr>
          <w:rFonts w:eastAsia="SimSun"/>
          <w:lang w:eastAsia="zh-CN"/>
        </w:rPr>
      </w:pPr>
      <w:r w:rsidRPr="005829AB">
        <w:rPr>
          <w:rFonts w:eastAsia="SimSun"/>
          <w:lang w:eastAsia="zh-CN"/>
        </w:rPr>
        <w:t xml:space="preserve">Annex 4, entitled “Rules on the carriage of perishable goods” to the Agreement on International Railway Freight Communications (SMGS) of the Organisation for </w:t>
      </w:r>
      <w:r w:rsidR="005461C6">
        <w:rPr>
          <w:rFonts w:eastAsia="SimSun"/>
          <w:lang w:eastAsia="zh-CN"/>
        </w:rPr>
        <w:br/>
      </w:r>
      <w:r w:rsidRPr="005829AB">
        <w:rPr>
          <w:rFonts w:eastAsia="SimSun"/>
          <w:lang w:eastAsia="zh-CN"/>
        </w:rPr>
        <w:t>Co-operation between Railways, of which 18 of its 25 members are also Contracting Parties to the ATP (Albania, Azerbaijan, Belarus, Bulgaria, Estonia, Georgia, Hungary, Kazakhstan, Kyrgyzstan, Latvia, Lithuania, Poland, the Republic of Moldova, the Russian Federation, Slovakia, Tajikistan, Uzbekistan and Ukraine): “</w:t>
      </w:r>
      <w:r w:rsidRPr="005829AB">
        <w:rPr>
          <w:rFonts w:eastAsia="SimSun"/>
          <w:i/>
          <w:lang w:eastAsia="zh-CN"/>
        </w:rPr>
        <w:t>‘Perishable goods’ refers to goods which during carriage require measures (cooling, heating, ventilation) to protect them from the effect of high or low temperatures, or particular care or maintenance”</w:t>
      </w:r>
      <w:r w:rsidRPr="005829AB">
        <w:rPr>
          <w:rFonts w:eastAsia="SimSun"/>
          <w:lang w:eastAsia="zh-CN"/>
        </w:rPr>
        <w:t>;</w:t>
      </w:r>
    </w:p>
    <w:p w:rsidR="005829AB" w:rsidRPr="005829AB" w:rsidRDefault="005829AB" w:rsidP="005829AB">
      <w:pPr>
        <w:pStyle w:val="SingleTxtG"/>
        <w:rPr>
          <w:rFonts w:eastAsia="SimSun"/>
          <w:lang w:eastAsia="zh-CN"/>
        </w:rPr>
      </w:pPr>
      <w:r w:rsidRPr="005829AB">
        <w:rPr>
          <w:rFonts w:eastAsia="SimSun"/>
          <w:lang w:eastAsia="zh-CN"/>
        </w:rPr>
        <w:t>Sanitary and epidemiological rules and standards “Hygienic requirements for expiry dates and conditions of storage of food products. SanPiN 2.3.2.1324-03” (Russian Federation regulation): “</w:t>
      </w:r>
      <w:r w:rsidRPr="005829AB">
        <w:rPr>
          <w:rFonts w:eastAsia="SimSun"/>
          <w:i/>
          <w:lang w:eastAsia="zh-CN"/>
        </w:rPr>
        <w:t>Foodstuffs are considered perishable if they require special temperature or other conditions and regulations to preserve their quality and safety, without which they undergo irreversible change detrimental to consumer health or leading to spoilage</w:t>
      </w:r>
      <w:r w:rsidRPr="005829AB">
        <w:rPr>
          <w:rFonts w:eastAsia="SimSun"/>
          <w:lang w:eastAsia="zh-CN"/>
        </w:rPr>
        <w:t>”;</w:t>
      </w:r>
      <w:r w:rsidRPr="005829AB">
        <w:rPr>
          <w:rFonts w:eastAsia="SimSun"/>
          <w:i/>
          <w:lang w:eastAsia="zh-CN"/>
        </w:rPr>
        <w:t xml:space="preserve"> </w:t>
      </w:r>
    </w:p>
    <w:p w:rsidR="005829AB" w:rsidRDefault="005829AB" w:rsidP="005829AB">
      <w:pPr>
        <w:pStyle w:val="SingleTxtG"/>
        <w:rPr>
          <w:rFonts w:eastAsia="SimSun"/>
          <w:i/>
          <w:lang w:eastAsia="zh-CN"/>
        </w:rPr>
      </w:pPr>
      <w:r w:rsidRPr="005829AB">
        <w:rPr>
          <w:rFonts w:eastAsia="SimSun"/>
          <w:lang w:eastAsia="zh-CN"/>
        </w:rPr>
        <w:t>The Rules on the carriage of perishable goods by rail (Russian Federation regulation): “</w:t>
      </w:r>
      <w:r w:rsidRPr="005829AB">
        <w:rPr>
          <w:rFonts w:eastAsia="SimSun"/>
          <w:i/>
          <w:lang w:eastAsia="zh-CN"/>
        </w:rPr>
        <w:t>‘Perishable goods’ refers to goods which, during carriage by rail, require protection from the effect of the high or low temperatures of the ambient air, or particular care or maintenance during transit.</w:t>
      </w:r>
      <w:r w:rsidRPr="005829AB">
        <w:rPr>
          <w:rFonts w:eastAsia="SimSun"/>
          <w:lang w:eastAsia="zh-CN"/>
        </w:rPr>
        <w:t>”</w:t>
      </w:r>
      <w:r w:rsidRPr="005829AB">
        <w:rPr>
          <w:rFonts w:eastAsia="SimSun"/>
          <w:i/>
          <w:lang w:eastAsia="zh-CN"/>
        </w:rPr>
        <w:t xml:space="preserve"> </w:t>
      </w:r>
    </w:p>
    <w:p w:rsidR="00B34AF7" w:rsidRPr="005829AB" w:rsidRDefault="00B34AF7" w:rsidP="005829AB">
      <w:pPr>
        <w:pStyle w:val="SingleTxtG"/>
        <w:rPr>
          <w:rFonts w:eastAsia="SimSun"/>
          <w:lang w:eastAsia="zh-CN"/>
        </w:rPr>
      </w:pPr>
      <w:r w:rsidRPr="00B34AF7">
        <w:rPr>
          <w:rFonts w:eastAsia="SimSun"/>
          <w:lang w:eastAsia="zh-CN"/>
        </w:rPr>
        <w:t>It is clear that perishable foodstuffs and perishable goods are synonyms in the context of this issue.</w:t>
      </w:r>
    </w:p>
    <w:p w:rsidR="005829AB" w:rsidRPr="005829AB" w:rsidRDefault="005829AB" w:rsidP="00B34AF7">
      <w:pPr>
        <w:pStyle w:val="SingleTxtG"/>
        <w:rPr>
          <w:rFonts w:eastAsia="SimSun"/>
          <w:lang w:eastAsia="zh-CN"/>
        </w:rPr>
      </w:pPr>
      <w:r w:rsidRPr="005829AB">
        <w:rPr>
          <w:rFonts w:eastAsia="SimSun"/>
          <w:lang w:eastAsia="zh-CN"/>
        </w:rPr>
        <w:t xml:space="preserve">The experts from the Russian Federation believe that definitions of the term may well also be found in the national law of </w:t>
      </w:r>
      <w:r w:rsidR="00070D78">
        <w:rPr>
          <w:rFonts w:eastAsia="SimSun"/>
          <w:lang w:eastAsia="zh-CN"/>
        </w:rPr>
        <w:t xml:space="preserve">other </w:t>
      </w:r>
      <w:r w:rsidRPr="005829AB">
        <w:rPr>
          <w:rFonts w:eastAsia="SimSun"/>
          <w:lang w:eastAsia="zh-CN"/>
        </w:rPr>
        <w:t xml:space="preserve">Contracting Parties to ATP. However, in the process of discussing this </w:t>
      </w:r>
      <w:r w:rsidRPr="00B34AF7">
        <w:rPr>
          <w:rFonts w:eastAsia="SimSun"/>
        </w:rPr>
        <w:t>issue</w:t>
      </w:r>
      <w:r w:rsidRPr="005829AB">
        <w:rPr>
          <w:rFonts w:eastAsia="SimSun"/>
          <w:lang w:eastAsia="zh-CN"/>
        </w:rPr>
        <w:t>, no proposals have been received from Contracting Parties over the last two years.</w:t>
      </w:r>
    </w:p>
    <w:p w:rsidR="005829AB" w:rsidRPr="005829AB" w:rsidRDefault="005829AB" w:rsidP="005829AB">
      <w:pPr>
        <w:pStyle w:val="SingleTxtG"/>
        <w:rPr>
          <w:rFonts w:eastAsia="SimSun"/>
          <w:lang w:eastAsia="zh-CN"/>
        </w:rPr>
      </w:pPr>
      <w:r w:rsidRPr="005829AB">
        <w:rPr>
          <w:rFonts w:eastAsia="SimSun"/>
          <w:lang w:eastAsia="zh-CN"/>
        </w:rPr>
        <w:t xml:space="preserve">4. </w:t>
      </w:r>
      <w:r>
        <w:rPr>
          <w:rFonts w:eastAsia="SimSun"/>
          <w:lang w:eastAsia="zh-CN"/>
        </w:rPr>
        <w:tab/>
      </w:r>
      <w:r w:rsidRPr="005829AB">
        <w:rPr>
          <w:rFonts w:eastAsia="SimSun"/>
          <w:lang w:eastAsia="zh-CN"/>
        </w:rPr>
        <w:t xml:space="preserve">In accordance with </w:t>
      </w:r>
      <w:r w:rsidR="005461C6">
        <w:rPr>
          <w:rFonts w:eastAsia="SimSun"/>
          <w:lang w:eastAsia="zh-CN"/>
        </w:rPr>
        <w:t>paragraph</w:t>
      </w:r>
      <w:r w:rsidRPr="005829AB">
        <w:rPr>
          <w:rFonts w:eastAsia="SimSun"/>
          <w:lang w:eastAsia="zh-CN"/>
        </w:rPr>
        <w:t xml:space="preserve"> 29 of the Report on the work of the 70</w:t>
      </w:r>
      <w:r w:rsidRPr="005829AB">
        <w:rPr>
          <w:rFonts w:eastAsia="SimSun"/>
          <w:vertAlign w:val="superscript"/>
          <w:lang w:eastAsia="zh-CN"/>
        </w:rPr>
        <w:t>th</w:t>
      </w:r>
      <w:r w:rsidRPr="005829AB">
        <w:rPr>
          <w:rFonts w:eastAsia="SimSun"/>
          <w:lang w:eastAsia="zh-CN"/>
        </w:rPr>
        <w:t xml:space="preserve"> session of the Working </w:t>
      </w:r>
      <w:r w:rsidR="005461C6">
        <w:rPr>
          <w:rFonts w:eastAsia="SimSun"/>
          <w:lang w:eastAsia="zh-CN"/>
        </w:rPr>
        <w:t>Party</w:t>
      </w:r>
      <w:r w:rsidRPr="005829AB">
        <w:rPr>
          <w:rFonts w:eastAsia="SimSun"/>
          <w:lang w:eastAsia="zh-CN"/>
        </w:rPr>
        <w:t xml:space="preserve"> </w:t>
      </w:r>
      <w:r w:rsidR="005461C6">
        <w:rPr>
          <w:rFonts w:eastAsia="SimSun"/>
          <w:lang w:eastAsia="zh-CN"/>
        </w:rPr>
        <w:t>on the Transport of Perishable F</w:t>
      </w:r>
      <w:r w:rsidRPr="005829AB">
        <w:rPr>
          <w:rFonts w:eastAsia="SimSun"/>
          <w:lang w:eastAsia="zh-CN"/>
        </w:rPr>
        <w:t>oodstuffs held in Geneva on October 7-10, 2014 (document ECE/</w:t>
      </w:r>
      <w:r w:rsidRPr="005829AB">
        <w:rPr>
          <w:rFonts w:eastAsia="SimSun"/>
          <w:lang w:eastAsia="zh-CN"/>
        </w:rPr>
        <w:fldChar w:fldCharType="begin"/>
      </w:r>
      <w:r w:rsidRPr="005829AB">
        <w:rPr>
          <w:rFonts w:eastAsia="SimSun"/>
          <w:lang w:eastAsia="zh-CN"/>
        </w:rPr>
        <w:instrText xml:space="preserve"> FILLIN  "Введите символ после ЕCE/"  \* MERGEFORMAT </w:instrText>
      </w:r>
      <w:r w:rsidRPr="005829AB">
        <w:rPr>
          <w:rFonts w:eastAsia="SimSun"/>
          <w:lang w:eastAsia="zh-CN"/>
        </w:rPr>
        <w:fldChar w:fldCharType="separate"/>
      </w:r>
      <w:r w:rsidRPr="005829AB">
        <w:rPr>
          <w:rFonts w:eastAsia="SimSun"/>
          <w:lang w:eastAsia="zh-CN"/>
        </w:rPr>
        <w:t>TRANS/WP.11/231</w:t>
      </w:r>
      <w:r w:rsidRPr="005829AB">
        <w:rPr>
          <w:rFonts w:eastAsia="SimSun"/>
          <w:lang w:val="en-US" w:eastAsia="zh-CN"/>
        </w:rPr>
        <w:fldChar w:fldCharType="end"/>
      </w:r>
      <w:r w:rsidRPr="005829AB">
        <w:rPr>
          <w:rFonts w:eastAsia="SimSun"/>
          <w:lang w:eastAsia="zh-CN"/>
        </w:rPr>
        <w:t xml:space="preserve">), the Russian Federation </w:t>
      </w:r>
      <w:r w:rsidR="005461C6">
        <w:rPr>
          <w:rFonts w:eastAsia="SimSun"/>
          <w:lang w:eastAsia="zh-CN"/>
        </w:rPr>
        <w:t xml:space="preserve">has </w:t>
      </w:r>
      <w:r w:rsidRPr="005829AB">
        <w:rPr>
          <w:rFonts w:eastAsia="SimSun"/>
          <w:lang w:eastAsia="zh-CN"/>
        </w:rPr>
        <w:t xml:space="preserve">prepared an official document </w:t>
      </w:r>
      <w:r w:rsidR="00070D78">
        <w:rPr>
          <w:rFonts w:eastAsia="SimSun"/>
          <w:lang w:eastAsia="zh-CN"/>
        </w:rPr>
        <w:t>on</w:t>
      </w:r>
      <w:r w:rsidRPr="005829AB">
        <w:rPr>
          <w:rFonts w:eastAsia="SimSun"/>
          <w:lang w:eastAsia="zh-CN"/>
        </w:rPr>
        <w:t xml:space="preserve"> this issue to be discussed at the 71</w:t>
      </w:r>
      <w:r w:rsidRPr="005829AB">
        <w:rPr>
          <w:rFonts w:eastAsia="SimSun"/>
          <w:vertAlign w:val="superscript"/>
          <w:lang w:eastAsia="zh-CN"/>
        </w:rPr>
        <w:t>st</w:t>
      </w:r>
      <w:r w:rsidRPr="005829AB">
        <w:rPr>
          <w:rFonts w:eastAsia="SimSun"/>
          <w:lang w:eastAsia="zh-CN"/>
        </w:rPr>
        <w:t xml:space="preserve"> session of WP.11.</w:t>
      </w:r>
    </w:p>
    <w:p w:rsidR="005829AB" w:rsidRPr="005829AB" w:rsidRDefault="005829AB" w:rsidP="000E0D1D">
      <w:pPr>
        <w:pStyle w:val="HChG"/>
        <w:rPr>
          <w:rFonts w:eastAsia="SimSun"/>
          <w:lang w:eastAsia="zh-CN"/>
        </w:rPr>
      </w:pPr>
      <w:r>
        <w:rPr>
          <w:rFonts w:eastAsia="SimSun"/>
          <w:lang w:eastAsia="zh-CN"/>
        </w:rPr>
        <w:lastRenderedPageBreak/>
        <w:tab/>
      </w:r>
      <w:r>
        <w:rPr>
          <w:rFonts w:eastAsia="SimSun"/>
          <w:lang w:eastAsia="zh-CN"/>
        </w:rPr>
        <w:tab/>
      </w:r>
      <w:r w:rsidR="003F3B8E">
        <w:rPr>
          <w:rFonts w:eastAsia="SimSun"/>
          <w:lang w:eastAsia="zh-CN"/>
        </w:rPr>
        <w:t>Proposal</w:t>
      </w:r>
    </w:p>
    <w:p w:rsidR="005829AB" w:rsidRPr="005829AB" w:rsidRDefault="005829AB" w:rsidP="000E0D1D">
      <w:pPr>
        <w:pStyle w:val="SingleTxtG"/>
        <w:keepNext/>
        <w:keepLines/>
        <w:rPr>
          <w:rFonts w:eastAsia="SimSun"/>
          <w:lang w:eastAsia="zh-CN"/>
        </w:rPr>
      </w:pPr>
      <w:r w:rsidRPr="005829AB">
        <w:rPr>
          <w:rFonts w:eastAsia="SimSun"/>
          <w:lang w:eastAsia="zh-CN"/>
        </w:rPr>
        <w:t xml:space="preserve">5. </w:t>
      </w:r>
      <w:r>
        <w:rPr>
          <w:rFonts w:eastAsia="SimSun"/>
          <w:lang w:eastAsia="zh-CN"/>
        </w:rPr>
        <w:tab/>
      </w:r>
      <w:r w:rsidRPr="005829AB">
        <w:rPr>
          <w:rFonts w:eastAsia="SimSun"/>
          <w:lang w:eastAsia="zh-CN"/>
        </w:rPr>
        <w:t xml:space="preserve">Add the following comment </w:t>
      </w:r>
      <w:r w:rsidR="00070D78">
        <w:rPr>
          <w:rFonts w:eastAsia="SimSun"/>
          <w:lang w:eastAsia="zh-CN"/>
        </w:rPr>
        <w:t>after</w:t>
      </w:r>
      <w:r w:rsidRPr="005829AB">
        <w:rPr>
          <w:rFonts w:eastAsia="SimSun"/>
          <w:lang w:eastAsia="zh-CN"/>
        </w:rPr>
        <w:t xml:space="preserve"> Article 3 of the ATP in the ATP Handbook:</w:t>
      </w:r>
    </w:p>
    <w:p w:rsidR="005829AB" w:rsidRPr="005829AB" w:rsidRDefault="005829AB" w:rsidP="000E0D1D">
      <w:pPr>
        <w:pStyle w:val="SingleTxtG"/>
        <w:keepNext/>
        <w:keepLines/>
        <w:rPr>
          <w:rFonts w:eastAsia="SimSun"/>
          <w:lang w:eastAsia="zh-CN"/>
        </w:rPr>
      </w:pPr>
      <w:r w:rsidRPr="005829AB">
        <w:rPr>
          <w:rFonts w:eastAsia="SimSun"/>
          <w:i/>
          <w:lang w:eastAsia="zh-CN"/>
        </w:rPr>
        <w:t xml:space="preserve">“‘Perishable’ in this Agreement refers to </w:t>
      </w:r>
      <w:r w:rsidR="00070D78">
        <w:rPr>
          <w:rFonts w:eastAsia="SimSun"/>
          <w:i/>
          <w:lang w:eastAsia="zh-CN"/>
        </w:rPr>
        <w:t xml:space="preserve">the </w:t>
      </w:r>
      <w:r w:rsidRPr="005829AB">
        <w:rPr>
          <w:rFonts w:eastAsia="SimSun"/>
          <w:i/>
          <w:lang w:eastAsia="zh-CN"/>
        </w:rPr>
        <w:t xml:space="preserve">protection </w:t>
      </w:r>
      <w:r w:rsidR="003F3B8E">
        <w:rPr>
          <w:rFonts w:eastAsia="SimSun"/>
          <w:i/>
          <w:lang w:eastAsia="zh-CN"/>
        </w:rPr>
        <w:t xml:space="preserve">of foodstuffs </w:t>
      </w:r>
      <w:r w:rsidRPr="005829AB">
        <w:rPr>
          <w:rFonts w:eastAsia="SimSun"/>
          <w:i/>
          <w:lang w:eastAsia="zh-CN"/>
        </w:rPr>
        <w:t xml:space="preserve">against the effects of high or low </w:t>
      </w:r>
      <w:r w:rsidR="00070D78">
        <w:rPr>
          <w:rFonts w:eastAsia="SimSun"/>
          <w:i/>
          <w:lang w:eastAsia="zh-CN"/>
        </w:rPr>
        <w:t xml:space="preserve">ambient air </w:t>
      </w:r>
      <w:r w:rsidRPr="005829AB">
        <w:rPr>
          <w:rFonts w:eastAsia="SimSun"/>
          <w:i/>
          <w:lang w:eastAsia="zh-CN"/>
        </w:rPr>
        <w:t xml:space="preserve">temperatures </w:t>
      </w:r>
      <w:r w:rsidR="00070D78">
        <w:rPr>
          <w:rFonts w:eastAsia="SimSun"/>
          <w:i/>
          <w:lang w:eastAsia="zh-CN"/>
        </w:rPr>
        <w:t xml:space="preserve">in order </w:t>
      </w:r>
      <w:r w:rsidRPr="005829AB">
        <w:rPr>
          <w:rFonts w:eastAsia="SimSun"/>
          <w:i/>
          <w:lang w:eastAsia="zh-CN"/>
        </w:rPr>
        <w:t>to preserve their quality and safety during carriage.</w:t>
      </w:r>
      <w:r w:rsidRPr="005829AB">
        <w:rPr>
          <w:rFonts w:eastAsia="SimSun"/>
          <w:lang w:eastAsia="zh-CN"/>
        </w:rPr>
        <w:t>”</w:t>
      </w:r>
    </w:p>
    <w:p w:rsidR="005829AB" w:rsidRPr="005829AB" w:rsidRDefault="005829AB" w:rsidP="005829AB">
      <w:pPr>
        <w:pStyle w:val="HChG"/>
        <w:rPr>
          <w:rFonts w:eastAsia="SimSun"/>
          <w:lang w:eastAsia="zh-CN"/>
        </w:rPr>
      </w:pPr>
      <w:r>
        <w:rPr>
          <w:rFonts w:eastAsia="SimSun"/>
          <w:lang w:eastAsia="zh-CN"/>
        </w:rPr>
        <w:tab/>
      </w:r>
      <w:r>
        <w:rPr>
          <w:rFonts w:eastAsia="SimSun"/>
          <w:lang w:eastAsia="zh-CN"/>
        </w:rPr>
        <w:tab/>
      </w:r>
      <w:r w:rsidRPr="005829AB">
        <w:rPr>
          <w:rFonts w:eastAsia="SimSun"/>
          <w:lang w:eastAsia="zh-CN"/>
        </w:rPr>
        <w:t>Costs</w:t>
      </w:r>
    </w:p>
    <w:p w:rsidR="005829AB" w:rsidRPr="005829AB" w:rsidRDefault="005829AB" w:rsidP="005829AB">
      <w:pPr>
        <w:pStyle w:val="SingleTxtG"/>
        <w:rPr>
          <w:rFonts w:eastAsia="SimSun"/>
          <w:lang w:eastAsia="zh-CN"/>
        </w:rPr>
      </w:pPr>
      <w:r w:rsidRPr="005829AB">
        <w:rPr>
          <w:rFonts w:eastAsia="SimSun"/>
          <w:lang w:eastAsia="zh-CN"/>
        </w:rPr>
        <w:t xml:space="preserve">6. </w:t>
      </w:r>
      <w:r>
        <w:rPr>
          <w:rFonts w:eastAsia="SimSun"/>
          <w:lang w:eastAsia="zh-CN"/>
        </w:rPr>
        <w:tab/>
      </w:r>
      <w:r w:rsidRPr="005829AB">
        <w:rPr>
          <w:rFonts w:eastAsia="SimSun"/>
          <w:lang w:eastAsia="zh-CN"/>
        </w:rPr>
        <w:t>None. No new requirements for the carriage of perishable foodstuffs are introduced.</w:t>
      </w:r>
    </w:p>
    <w:p w:rsidR="005829AB" w:rsidRPr="005829AB" w:rsidRDefault="005829AB" w:rsidP="005829AB">
      <w:pPr>
        <w:pStyle w:val="HChG"/>
        <w:rPr>
          <w:rFonts w:eastAsia="SimSun"/>
          <w:lang w:eastAsia="zh-CN"/>
        </w:rPr>
      </w:pPr>
      <w:r>
        <w:rPr>
          <w:rFonts w:eastAsia="SimSun"/>
          <w:lang w:eastAsia="zh-CN"/>
        </w:rPr>
        <w:tab/>
      </w:r>
      <w:r>
        <w:rPr>
          <w:rFonts w:eastAsia="SimSun"/>
          <w:lang w:eastAsia="zh-CN"/>
        </w:rPr>
        <w:tab/>
      </w:r>
      <w:r w:rsidRPr="005829AB">
        <w:rPr>
          <w:rFonts w:eastAsia="SimSun"/>
          <w:lang w:eastAsia="zh-CN"/>
        </w:rPr>
        <w:t>Feasibility</w:t>
      </w:r>
    </w:p>
    <w:p w:rsidR="005829AB" w:rsidRPr="005829AB" w:rsidRDefault="005829AB" w:rsidP="005829AB">
      <w:pPr>
        <w:pStyle w:val="SingleTxtG"/>
        <w:rPr>
          <w:rFonts w:eastAsia="SimSun"/>
          <w:lang w:eastAsia="zh-CN"/>
        </w:rPr>
      </w:pPr>
      <w:r w:rsidRPr="005829AB">
        <w:rPr>
          <w:rFonts w:eastAsia="SimSun"/>
          <w:lang w:eastAsia="zh-CN"/>
        </w:rPr>
        <w:t xml:space="preserve">7. </w:t>
      </w:r>
      <w:r>
        <w:rPr>
          <w:rFonts w:eastAsia="SimSun"/>
          <w:lang w:eastAsia="zh-CN"/>
        </w:rPr>
        <w:tab/>
      </w:r>
      <w:r w:rsidR="003F3B8E">
        <w:rPr>
          <w:rFonts w:eastAsia="SimSun"/>
          <w:lang w:eastAsia="zh-CN"/>
        </w:rPr>
        <w:t>The u</w:t>
      </w:r>
      <w:r w:rsidRPr="005829AB">
        <w:rPr>
          <w:rFonts w:eastAsia="SimSun"/>
          <w:lang w:eastAsia="zh-CN"/>
        </w:rPr>
        <w:t>nambiguous interpretation of the term “perishable foodstuffs” will permit the Contracting Parties to the ATP and all users of the Agreement to h</w:t>
      </w:r>
      <w:r w:rsidR="005461C6">
        <w:rPr>
          <w:rFonts w:eastAsia="SimSun"/>
          <w:lang w:eastAsia="zh-CN"/>
        </w:rPr>
        <w:t>ave</w:t>
      </w:r>
      <w:r w:rsidRPr="005829AB">
        <w:rPr>
          <w:rFonts w:eastAsia="SimSun"/>
          <w:lang w:eastAsia="zh-CN"/>
        </w:rPr>
        <w:t xml:space="preserve"> a more productive discussion on the various aspects of the ATP based on a common understanding of the term “perishable foodstuffs”.</w:t>
      </w:r>
    </w:p>
    <w:p w:rsidR="005829AB" w:rsidRPr="005829AB" w:rsidRDefault="005829AB" w:rsidP="005829AB">
      <w:pPr>
        <w:pStyle w:val="HChG"/>
        <w:rPr>
          <w:rFonts w:eastAsia="SimSun"/>
          <w:lang w:eastAsia="zh-CN"/>
        </w:rPr>
      </w:pPr>
      <w:r>
        <w:rPr>
          <w:rFonts w:eastAsia="SimSun"/>
          <w:lang w:eastAsia="zh-CN"/>
        </w:rPr>
        <w:tab/>
      </w:r>
      <w:r>
        <w:rPr>
          <w:rFonts w:eastAsia="SimSun"/>
          <w:lang w:eastAsia="zh-CN"/>
        </w:rPr>
        <w:tab/>
      </w:r>
      <w:r w:rsidR="005461C6">
        <w:rPr>
          <w:rFonts w:eastAsia="SimSun"/>
          <w:lang w:eastAsia="zh-CN"/>
        </w:rPr>
        <w:t>Enforceability</w:t>
      </w:r>
    </w:p>
    <w:p w:rsidR="007B2CC7" w:rsidRPr="007B2CC7" w:rsidRDefault="005829AB" w:rsidP="005829AB">
      <w:pPr>
        <w:pStyle w:val="SingleTxtG"/>
        <w:rPr>
          <w:rFonts w:eastAsia="SimSun"/>
          <w:lang w:val="en-US" w:eastAsia="zh-CN"/>
        </w:rPr>
      </w:pPr>
      <w:r w:rsidRPr="005829AB">
        <w:rPr>
          <w:rFonts w:eastAsia="SimSun"/>
          <w:lang w:eastAsia="zh-CN"/>
        </w:rPr>
        <w:t xml:space="preserve">8. </w:t>
      </w:r>
      <w:r>
        <w:rPr>
          <w:rFonts w:eastAsia="SimSun"/>
          <w:lang w:eastAsia="zh-CN"/>
        </w:rPr>
        <w:tab/>
      </w:r>
      <w:r w:rsidRPr="005829AB">
        <w:rPr>
          <w:rFonts w:eastAsia="SimSun"/>
          <w:lang w:eastAsia="zh-CN"/>
        </w:rPr>
        <w:t>No problems are foreseen.</w:t>
      </w:r>
    </w:p>
    <w:p w:rsidR="00E041BF" w:rsidRPr="00E041BF" w:rsidRDefault="00E041BF" w:rsidP="00E041BF">
      <w:pPr>
        <w:pStyle w:val="SingleTxtG"/>
        <w:spacing w:before="240" w:after="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sectPr w:rsidR="00E041BF" w:rsidRPr="00E041BF" w:rsidSect="000F66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5A" w:rsidRDefault="00BA0D5A"/>
  </w:endnote>
  <w:endnote w:type="continuationSeparator" w:id="0">
    <w:p w:rsidR="00BA0D5A" w:rsidRDefault="00BA0D5A"/>
  </w:endnote>
  <w:endnote w:type="continuationNotice" w:id="1">
    <w:p w:rsidR="00BA0D5A" w:rsidRDefault="00BA0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2C3FE3">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2C3FE3">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3754C6">
    <w:pPr>
      <w:pStyle w:val="Footer"/>
      <w:rPr>
        <w:sz w:val="20"/>
      </w:rPr>
    </w:pPr>
    <w:r>
      <w:rPr>
        <w:noProof/>
        <w:sz w:val="20"/>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0">
      <w:rPr>
        <w:sz w:val="20"/>
      </w:rPr>
      <w:t>GE.15</w:t>
    </w:r>
    <w:r w:rsidR="00404D3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5A" w:rsidRPr="000B175B" w:rsidRDefault="00BA0D5A" w:rsidP="000B175B">
      <w:pPr>
        <w:tabs>
          <w:tab w:val="right" w:pos="2155"/>
        </w:tabs>
        <w:spacing w:after="80"/>
        <w:ind w:left="680"/>
        <w:rPr>
          <w:u w:val="single"/>
        </w:rPr>
      </w:pPr>
      <w:r>
        <w:rPr>
          <w:u w:val="single"/>
        </w:rPr>
        <w:tab/>
      </w:r>
    </w:p>
  </w:footnote>
  <w:footnote w:type="continuationSeparator" w:id="0">
    <w:p w:rsidR="00BA0D5A" w:rsidRPr="00FC68B7" w:rsidRDefault="00BA0D5A" w:rsidP="00FC68B7">
      <w:pPr>
        <w:tabs>
          <w:tab w:val="left" w:pos="2155"/>
        </w:tabs>
        <w:spacing w:after="80"/>
        <w:ind w:left="680"/>
        <w:rPr>
          <w:u w:val="single"/>
        </w:rPr>
      </w:pPr>
      <w:r>
        <w:rPr>
          <w:u w:val="single"/>
        </w:rPr>
        <w:tab/>
      </w:r>
    </w:p>
  </w:footnote>
  <w:footnote w:type="continuationNotice" w:id="1">
    <w:p w:rsidR="00BA0D5A" w:rsidRDefault="00BA0D5A"/>
  </w:footnote>
  <w:footnote w:id="2">
    <w:p w:rsidR="00070D78" w:rsidRDefault="00DD2BC3" w:rsidP="00DD2BC3">
      <w:pPr>
        <w:pStyle w:val="FootnoteText"/>
      </w:pPr>
      <w:r>
        <w:tab/>
      </w:r>
      <w:r w:rsidR="00070D78">
        <w:rPr>
          <w:rStyle w:val="FootnoteReference"/>
        </w:rPr>
        <w:footnoteRef/>
      </w:r>
      <w:r w:rsidR="00070D78">
        <w:t xml:space="preserve"> </w:t>
      </w:r>
      <w:r>
        <w:tab/>
      </w:r>
      <w:r w:rsidR="00070D78">
        <w:t>This document was submitted late for document processing as clearances from relevant parties were received late.</w:t>
      </w:r>
    </w:p>
  </w:footnote>
  <w:footnote w:id="3">
    <w:p w:rsidR="00070D78" w:rsidRDefault="00DD2BC3" w:rsidP="00070D78">
      <w:pPr>
        <w:pStyle w:val="FootnoteText"/>
      </w:pPr>
      <w:r>
        <w:tab/>
      </w:r>
      <w:r w:rsidR="00070D78">
        <w:rPr>
          <w:rStyle w:val="FootnoteReference"/>
        </w:rPr>
        <w:footnoteRef/>
      </w:r>
      <w:r w:rsidR="00070D78">
        <w:t xml:space="preserve"> </w:t>
      </w:r>
      <w:r>
        <w:tab/>
      </w:r>
      <w:r w:rsidR="000B0664">
        <w:t>The</w:t>
      </w:r>
      <w:r w:rsidR="00070D78">
        <w:t xml:space="preserve"> English translation of th</w:t>
      </w:r>
      <w:bookmarkStart w:id="0" w:name="_GoBack"/>
      <w:bookmarkEnd w:id="0"/>
      <w:r w:rsidR="00070D78">
        <w:t>is document was supplied by the Russian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9F6FA2" w:rsidP="003C4BB1">
    <w:pPr>
      <w:pStyle w:val="Header"/>
    </w:pPr>
    <w:r>
      <w:t>ECE/TRANS/WP.11/2015</w:t>
    </w:r>
    <w:r w:rsidR="00404D39">
      <w:t>/</w:t>
    </w:r>
    <w:r w:rsidR="004E64F0">
      <w:t>1</w:t>
    </w:r>
    <w:r w:rsidR="005829AB">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Header"/>
      <w:jc w:val="right"/>
    </w:pPr>
    <w:r>
      <w:t>ECE/TRANS/WP.11/201</w:t>
    </w:r>
    <w:r w:rsidR="007B2CC7">
      <w:t>5/1</w:t>
    </w:r>
    <w:r w:rsidR="005829AB">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EA" w:rsidRDefault="00A04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7CAB"/>
    <w:rsid w:val="00057E97"/>
    <w:rsid w:val="00062906"/>
    <w:rsid w:val="000646F4"/>
    <w:rsid w:val="0006528F"/>
    <w:rsid w:val="00070D78"/>
    <w:rsid w:val="00072A11"/>
    <w:rsid w:val="00072C8C"/>
    <w:rsid w:val="000733B5"/>
    <w:rsid w:val="00081815"/>
    <w:rsid w:val="00082F1C"/>
    <w:rsid w:val="0009238E"/>
    <w:rsid w:val="000931C0"/>
    <w:rsid w:val="000A2D79"/>
    <w:rsid w:val="000B0595"/>
    <w:rsid w:val="000B0664"/>
    <w:rsid w:val="000B175B"/>
    <w:rsid w:val="000B3A0F"/>
    <w:rsid w:val="000B4EF7"/>
    <w:rsid w:val="000C2C03"/>
    <w:rsid w:val="000C2D2E"/>
    <w:rsid w:val="000E0415"/>
    <w:rsid w:val="000E0D1D"/>
    <w:rsid w:val="000F66F7"/>
    <w:rsid w:val="001103AA"/>
    <w:rsid w:val="0011666B"/>
    <w:rsid w:val="001450FD"/>
    <w:rsid w:val="00156F6B"/>
    <w:rsid w:val="00165F3A"/>
    <w:rsid w:val="00187A6E"/>
    <w:rsid w:val="001A65D6"/>
    <w:rsid w:val="001B4B04"/>
    <w:rsid w:val="001B7022"/>
    <w:rsid w:val="001C0665"/>
    <w:rsid w:val="001C12E3"/>
    <w:rsid w:val="001C6663"/>
    <w:rsid w:val="001C7895"/>
    <w:rsid w:val="001C7AEB"/>
    <w:rsid w:val="001D0C8C"/>
    <w:rsid w:val="001D1419"/>
    <w:rsid w:val="001D26DF"/>
    <w:rsid w:val="001D31B0"/>
    <w:rsid w:val="001D3A03"/>
    <w:rsid w:val="001D4C03"/>
    <w:rsid w:val="001D6208"/>
    <w:rsid w:val="001E7B67"/>
    <w:rsid w:val="001F6C6A"/>
    <w:rsid w:val="00202DA8"/>
    <w:rsid w:val="00211132"/>
    <w:rsid w:val="00211E0B"/>
    <w:rsid w:val="0023604B"/>
    <w:rsid w:val="0024772E"/>
    <w:rsid w:val="00267F5F"/>
    <w:rsid w:val="00274058"/>
    <w:rsid w:val="00286B4D"/>
    <w:rsid w:val="00286C00"/>
    <w:rsid w:val="002C103C"/>
    <w:rsid w:val="002C3FE3"/>
    <w:rsid w:val="002D4643"/>
    <w:rsid w:val="002D54AF"/>
    <w:rsid w:val="002D6171"/>
    <w:rsid w:val="002E5BFC"/>
    <w:rsid w:val="002E7FEA"/>
    <w:rsid w:val="002F175C"/>
    <w:rsid w:val="002F7481"/>
    <w:rsid w:val="00302E18"/>
    <w:rsid w:val="00305E87"/>
    <w:rsid w:val="003229D8"/>
    <w:rsid w:val="0033606C"/>
    <w:rsid w:val="00350EE7"/>
    <w:rsid w:val="00352709"/>
    <w:rsid w:val="003619B5"/>
    <w:rsid w:val="00364DF6"/>
    <w:rsid w:val="00364FFD"/>
    <w:rsid w:val="00365763"/>
    <w:rsid w:val="00371178"/>
    <w:rsid w:val="003754C6"/>
    <w:rsid w:val="00387AC1"/>
    <w:rsid w:val="00392E47"/>
    <w:rsid w:val="00397B90"/>
    <w:rsid w:val="003A443C"/>
    <w:rsid w:val="003A6810"/>
    <w:rsid w:val="003B2F18"/>
    <w:rsid w:val="003C2CC4"/>
    <w:rsid w:val="003C4BB1"/>
    <w:rsid w:val="003D1847"/>
    <w:rsid w:val="003D4B23"/>
    <w:rsid w:val="003D5CF9"/>
    <w:rsid w:val="003E130E"/>
    <w:rsid w:val="003E714C"/>
    <w:rsid w:val="003F176C"/>
    <w:rsid w:val="003F3B8E"/>
    <w:rsid w:val="00404D39"/>
    <w:rsid w:val="00410C89"/>
    <w:rsid w:val="00413616"/>
    <w:rsid w:val="00422E03"/>
    <w:rsid w:val="00426B9B"/>
    <w:rsid w:val="004325CB"/>
    <w:rsid w:val="00434CE9"/>
    <w:rsid w:val="00442A83"/>
    <w:rsid w:val="00446BA7"/>
    <w:rsid w:val="0045495B"/>
    <w:rsid w:val="00455AF8"/>
    <w:rsid w:val="004561E5"/>
    <w:rsid w:val="00464B22"/>
    <w:rsid w:val="00476114"/>
    <w:rsid w:val="0048397A"/>
    <w:rsid w:val="00485CBB"/>
    <w:rsid w:val="004866B7"/>
    <w:rsid w:val="00491DBA"/>
    <w:rsid w:val="00495FCD"/>
    <w:rsid w:val="00496046"/>
    <w:rsid w:val="004A1DB7"/>
    <w:rsid w:val="004C2461"/>
    <w:rsid w:val="004C7462"/>
    <w:rsid w:val="004D472E"/>
    <w:rsid w:val="004E49FA"/>
    <w:rsid w:val="004E64F0"/>
    <w:rsid w:val="004E77B2"/>
    <w:rsid w:val="00502E91"/>
    <w:rsid w:val="00504B2D"/>
    <w:rsid w:val="00510129"/>
    <w:rsid w:val="00511C9C"/>
    <w:rsid w:val="00514FB7"/>
    <w:rsid w:val="0052136D"/>
    <w:rsid w:val="0052775E"/>
    <w:rsid w:val="005420F2"/>
    <w:rsid w:val="005461C6"/>
    <w:rsid w:val="00554E53"/>
    <w:rsid w:val="00562612"/>
    <w:rsid w:val="005628B6"/>
    <w:rsid w:val="005669C5"/>
    <w:rsid w:val="005826B9"/>
    <w:rsid w:val="005829AB"/>
    <w:rsid w:val="00592FF1"/>
    <w:rsid w:val="005941EC"/>
    <w:rsid w:val="00595DC2"/>
    <w:rsid w:val="0059724D"/>
    <w:rsid w:val="005B29FC"/>
    <w:rsid w:val="005B3DB3"/>
    <w:rsid w:val="005B4E13"/>
    <w:rsid w:val="005B6BEE"/>
    <w:rsid w:val="005C342F"/>
    <w:rsid w:val="005D6907"/>
    <w:rsid w:val="005D7AAE"/>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2BB6"/>
    <w:rsid w:val="00676606"/>
    <w:rsid w:val="00681EDD"/>
    <w:rsid w:val="00684C21"/>
    <w:rsid w:val="00692E29"/>
    <w:rsid w:val="0069490A"/>
    <w:rsid w:val="006A1A4A"/>
    <w:rsid w:val="006A2530"/>
    <w:rsid w:val="006A3207"/>
    <w:rsid w:val="006B4C53"/>
    <w:rsid w:val="006B6A4C"/>
    <w:rsid w:val="006C240E"/>
    <w:rsid w:val="006C3589"/>
    <w:rsid w:val="006D0240"/>
    <w:rsid w:val="006D37AF"/>
    <w:rsid w:val="006D51D0"/>
    <w:rsid w:val="006D5FB9"/>
    <w:rsid w:val="006D78DF"/>
    <w:rsid w:val="006E564B"/>
    <w:rsid w:val="006E7191"/>
    <w:rsid w:val="006F47C8"/>
    <w:rsid w:val="00703577"/>
    <w:rsid w:val="007048FD"/>
    <w:rsid w:val="00705894"/>
    <w:rsid w:val="00723123"/>
    <w:rsid w:val="0072632A"/>
    <w:rsid w:val="00726728"/>
    <w:rsid w:val="007327D5"/>
    <w:rsid w:val="00751386"/>
    <w:rsid w:val="00753DA3"/>
    <w:rsid w:val="007629C8"/>
    <w:rsid w:val="0077047D"/>
    <w:rsid w:val="00781CCE"/>
    <w:rsid w:val="007973F8"/>
    <w:rsid w:val="007A4E46"/>
    <w:rsid w:val="007B2258"/>
    <w:rsid w:val="007B2CC7"/>
    <w:rsid w:val="007B6BA5"/>
    <w:rsid w:val="007C3390"/>
    <w:rsid w:val="007C4F4B"/>
    <w:rsid w:val="007C6402"/>
    <w:rsid w:val="007E01E9"/>
    <w:rsid w:val="007E63F3"/>
    <w:rsid w:val="007F224B"/>
    <w:rsid w:val="007F2F6A"/>
    <w:rsid w:val="007F4DB3"/>
    <w:rsid w:val="007F6611"/>
    <w:rsid w:val="007F7AAB"/>
    <w:rsid w:val="00811920"/>
    <w:rsid w:val="00815AD0"/>
    <w:rsid w:val="00821246"/>
    <w:rsid w:val="008242D7"/>
    <w:rsid w:val="008257B1"/>
    <w:rsid w:val="00832334"/>
    <w:rsid w:val="00834B87"/>
    <w:rsid w:val="00843767"/>
    <w:rsid w:val="00845693"/>
    <w:rsid w:val="008679D9"/>
    <w:rsid w:val="00875ECE"/>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7AEC"/>
    <w:rsid w:val="008F31D2"/>
    <w:rsid w:val="00906FB4"/>
    <w:rsid w:val="00917E37"/>
    <w:rsid w:val="00917FDE"/>
    <w:rsid w:val="00920451"/>
    <w:rsid w:val="009223CA"/>
    <w:rsid w:val="00924D0F"/>
    <w:rsid w:val="00924E71"/>
    <w:rsid w:val="009315A2"/>
    <w:rsid w:val="00940F93"/>
    <w:rsid w:val="009609A1"/>
    <w:rsid w:val="009713D5"/>
    <w:rsid w:val="009760F3"/>
    <w:rsid w:val="00976463"/>
    <w:rsid w:val="00976CFB"/>
    <w:rsid w:val="0099507D"/>
    <w:rsid w:val="009A0830"/>
    <w:rsid w:val="009A0E8D"/>
    <w:rsid w:val="009B26E7"/>
    <w:rsid w:val="009B7F91"/>
    <w:rsid w:val="009E1B4E"/>
    <w:rsid w:val="009E24F3"/>
    <w:rsid w:val="009E6518"/>
    <w:rsid w:val="009F4C64"/>
    <w:rsid w:val="009F6FA2"/>
    <w:rsid w:val="00A00697"/>
    <w:rsid w:val="00A00A3F"/>
    <w:rsid w:val="00A01489"/>
    <w:rsid w:val="00A040EA"/>
    <w:rsid w:val="00A047B6"/>
    <w:rsid w:val="00A10A42"/>
    <w:rsid w:val="00A22880"/>
    <w:rsid w:val="00A3026E"/>
    <w:rsid w:val="00A338F1"/>
    <w:rsid w:val="00A35BE0"/>
    <w:rsid w:val="00A5552C"/>
    <w:rsid w:val="00A55883"/>
    <w:rsid w:val="00A6129C"/>
    <w:rsid w:val="00A626FF"/>
    <w:rsid w:val="00A643DB"/>
    <w:rsid w:val="00A643F2"/>
    <w:rsid w:val="00A72F22"/>
    <w:rsid w:val="00A7360F"/>
    <w:rsid w:val="00A748A6"/>
    <w:rsid w:val="00A7633F"/>
    <w:rsid w:val="00A769F4"/>
    <w:rsid w:val="00A776B4"/>
    <w:rsid w:val="00A90D71"/>
    <w:rsid w:val="00A94361"/>
    <w:rsid w:val="00AA1348"/>
    <w:rsid w:val="00AA293C"/>
    <w:rsid w:val="00AA5957"/>
    <w:rsid w:val="00AA6D10"/>
    <w:rsid w:val="00AB0752"/>
    <w:rsid w:val="00AC7F27"/>
    <w:rsid w:val="00AD55B1"/>
    <w:rsid w:val="00AD57F5"/>
    <w:rsid w:val="00AE3AEE"/>
    <w:rsid w:val="00AF1EF6"/>
    <w:rsid w:val="00AF4248"/>
    <w:rsid w:val="00B01C44"/>
    <w:rsid w:val="00B046C2"/>
    <w:rsid w:val="00B10009"/>
    <w:rsid w:val="00B25706"/>
    <w:rsid w:val="00B30179"/>
    <w:rsid w:val="00B3192C"/>
    <w:rsid w:val="00B34AF7"/>
    <w:rsid w:val="00B41B3A"/>
    <w:rsid w:val="00B421C1"/>
    <w:rsid w:val="00B4736D"/>
    <w:rsid w:val="00B537FB"/>
    <w:rsid w:val="00B553E0"/>
    <w:rsid w:val="00B55C71"/>
    <w:rsid w:val="00B56E4A"/>
    <w:rsid w:val="00B56E9C"/>
    <w:rsid w:val="00B64B1F"/>
    <w:rsid w:val="00B6553F"/>
    <w:rsid w:val="00B72D26"/>
    <w:rsid w:val="00B77D05"/>
    <w:rsid w:val="00B81206"/>
    <w:rsid w:val="00B81E12"/>
    <w:rsid w:val="00B85AFD"/>
    <w:rsid w:val="00B87FF3"/>
    <w:rsid w:val="00BA0D5A"/>
    <w:rsid w:val="00BB044E"/>
    <w:rsid w:val="00BC3FA0"/>
    <w:rsid w:val="00BC6C4A"/>
    <w:rsid w:val="00BC74E9"/>
    <w:rsid w:val="00BD5BD3"/>
    <w:rsid w:val="00BF0F1B"/>
    <w:rsid w:val="00BF68A8"/>
    <w:rsid w:val="00C0554D"/>
    <w:rsid w:val="00C11A03"/>
    <w:rsid w:val="00C13EB1"/>
    <w:rsid w:val="00C20417"/>
    <w:rsid w:val="00C21749"/>
    <w:rsid w:val="00C22C0C"/>
    <w:rsid w:val="00C2543E"/>
    <w:rsid w:val="00C4527F"/>
    <w:rsid w:val="00C463DD"/>
    <w:rsid w:val="00C4724C"/>
    <w:rsid w:val="00C629A0"/>
    <w:rsid w:val="00C64629"/>
    <w:rsid w:val="00C6575C"/>
    <w:rsid w:val="00C745C3"/>
    <w:rsid w:val="00C94EF8"/>
    <w:rsid w:val="00C95F9B"/>
    <w:rsid w:val="00C96A10"/>
    <w:rsid w:val="00C96DF2"/>
    <w:rsid w:val="00CA3B1C"/>
    <w:rsid w:val="00CB3E03"/>
    <w:rsid w:val="00CB487E"/>
    <w:rsid w:val="00CD4AA6"/>
    <w:rsid w:val="00CE4A8F"/>
    <w:rsid w:val="00D17C38"/>
    <w:rsid w:val="00D2031B"/>
    <w:rsid w:val="00D2338F"/>
    <w:rsid w:val="00D248B6"/>
    <w:rsid w:val="00D25FE2"/>
    <w:rsid w:val="00D43252"/>
    <w:rsid w:val="00D439FC"/>
    <w:rsid w:val="00D47EEA"/>
    <w:rsid w:val="00D508D7"/>
    <w:rsid w:val="00D57D44"/>
    <w:rsid w:val="00D773DF"/>
    <w:rsid w:val="00D85943"/>
    <w:rsid w:val="00D95303"/>
    <w:rsid w:val="00D978C6"/>
    <w:rsid w:val="00DA3C1C"/>
    <w:rsid w:val="00DA5A9B"/>
    <w:rsid w:val="00DB2292"/>
    <w:rsid w:val="00DC7EE7"/>
    <w:rsid w:val="00DD2BC3"/>
    <w:rsid w:val="00DD62F6"/>
    <w:rsid w:val="00DF084F"/>
    <w:rsid w:val="00E041BF"/>
    <w:rsid w:val="00E046DF"/>
    <w:rsid w:val="00E06812"/>
    <w:rsid w:val="00E06F4C"/>
    <w:rsid w:val="00E17F99"/>
    <w:rsid w:val="00E27346"/>
    <w:rsid w:val="00E54D3E"/>
    <w:rsid w:val="00E61CAE"/>
    <w:rsid w:val="00E71BC8"/>
    <w:rsid w:val="00E7260F"/>
    <w:rsid w:val="00E73F5D"/>
    <w:rsid w:val="00E77E4E"/>
    <w:rsid w:val="00E77FC0"/>
    <w:rsid w:val="00E95700"/>
    <w:rsid w:val="00E96630"/>
    <w:rsid w:val="00EA3D6E"/>
    <w:rsid w:val="00EB483D"/>
    <w:rsid w:val="00EC3350"/>
    <w:rsid w:val="00EC4060"/>
    <w:rsid w:val="00EC6AF9"/>
    <w:rsid w:val="00ED72AA"/>
    <w:rsid w:val="00ED7A2A"/>
    <w:rsid w:val="00EF1D7F"/>
    <w:rsid w:val="00F03965"/>
    <w:rsid w:val="00F04C81"/>
    <w:rsid w:val="00F06B8C"/>
    <w:rsid w:val="00F219F7"/>
    <w:rsid w:val="00F225FB"/>
    <w:rsid w:val="00F275DB"/>
    <w:rsid w:val="00F27E0B"/>
    <w:rsid w:val="00F31E5F"/>
    <w:rsid w:val="00F52778"/>
    <w:rsid w:val="00F6100A"/>
    <w:rsid w:val="00F616E0"/>
    <w:rsid w:val="00F7257B"/>
    <w:rsid w:val="00F81228"/>
    <w:rsid w:val="00F827A7"/>
    <w:rsid w:val="00F83639"/>
    <w:rsid w:val="00F87837"/>
    <w:rsid w:val="00F93781"/>
    <w:rsid w:val="00F93F94"/>
    <w:rsid w:val="00FA4130"/>
    <w:rsid w:val="00FA7D6D"/>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docId w15:val="{FC253BB3-5F52-416E-9901-EAE30668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983588555">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C197-CF28-4039-AC4B-BAB4CA3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0</TotalTime>
  <Pages>3</Pages>
  <Words>836</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2015-06-19T12:54:00Z</cp:lastPrinted>
  <dcterms:created xsi:type="dcterms:W3CDTF">2015-09-25T09:16:00Z</dcterms:created>
  <dcterms:modified xsi:type="dcterms:W3CDTF">2015-09-25T09:16:00Z</dcterms:modified>
</cp:coreProperties>
</file>