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3D498C" w:rsidP="004964CF">
            <w:pPr>
              <w:jc w:val="right"/>
            </w:pPr>
            <w:r w:rsidRPr="003D498C">
              <w:rPr>
                <w:sz w:val="40"/>
              </w:rPr>
              <w:t>ECE</w:t>
            </w:r>
            <w:r w:rsidR="004964CF">
              <w:t>/TRANS/WP.11/2015</w:t>
            </w:r>
            <w:r>
              <w:t>/1</w:t>
            </w:r>
            <w:r w:rsidR="004964CF">
              <w:t>1</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45370D" w:rsidP="00F01516">
            <w:pPr>
              <w:spacing w:before="120"/>
              <w:jc w:val="center"/>
            </w:pPr>
            <w:r>
              <w:rPr>
                <w:noProof/>
                <w:lang w:val="en-GB" w:eastAsia="en-GB"/>
              </w:rPr>
              <w:drawing>
                <wp:inline distT="0" distB="0" distL="0" distR="0">
                  <wp:extent cx="715645" cy="588645"/>
                  <wp:effectExtent l="0" t="0" r="8255" b="1905"/>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3D498C" w:rsidRDefault="003D498C" w:rsidP="00F01516">
            <w:pPr>
              <w:spacing w:before="240"/>
            </w:pPr>
            <w:proofErr w:type="spellStart"/>
            <w:r>
              <w:t>Distr</w:t>
            </w:r>
            <w:proofErr w:type="spellEnd"/>
            <w:r>
              <w:t>. générale</w:t>
            </w:r>
          </w:p>
          <w:p w:rsidR="003D498C" w:rsidRDefault="00F761BA" w:rsidP="003D498C">
            <w:pPr>
              <w:spacing w:line="240" w:lineRule="exact"/>
            </w:pPr>
            <w:r>
              <w:t>9</w:t>
            </w:r>
            <w:r w:rsidR="004964CF">
              <w:t xml:space="preserve"> juillet 2015</w:t>
            </w:r>
          </w:p>
          <w:p w:rsidR="004964CF" w:rsidRDefault="004964CF" w:rsidP="004964CF">
            <w:pPr>
              <w:spacing w:line="240" w:lineRule="exact"/>
            </w:pPr>
          </w:p>
          <w:p w:rsidR="004964CF" w:rsidRDefault="003D498C" w:rsidP="004964CF">
            <w:pPr>
              <w:spacing w:line="240" w:lineRule="exact"/>
            </w:pPr>
            <w:r>
              <w:t xml:space="preserve">Original: </w:t>
            </w:r>
            <w:r w:rsidR="009510A2">
              <w:t>f</w:t>
            </w:r>
            <w:r w:rsidR="004964CF">
              <w:t>rançais</w:t>
            </w:r>
          </w:p>
          <w:p w:rsidR="003D1DF3" w:rsidRPr="00DB58B5" w:rsidRDefault="003D1DF3" w:rsidP="003D498C">
            <w:pPr>
              <w:spacing w:line="240" w:lineRule="exact"/>
            </w:pPr>
          </w:p>
        </w:tc>
      </w:tr>
    </w:tbl>
    <w:p w:rsidR="00FF1DBD" w:rsidRPr="000312C0" w:rsidRDefault="000312C0" w:rsidP="000312C0">
      <w:pPr>
        <w:spacing w:before="120"/>
        <w:rPr>
          <w:b/>
          <w:sz w:val="28"/>
          <w:szCs w:val="28"/>
        </w:rPr>
      </w:pPr>
      <w:r w:rsidRPr="000312C0">
        <w:rPr>
          <w:b/>
          <w:sz w:val="28"/>
          <w:szCs w:val="28"/>
        </w:rPr>
        <w:t>Commission économique pour l’Europe</w:t>
      </w:r>
    </w:p>
    <w:p w:rsidR="00B93E72" w:rsidRDefault="00B93E72" w:rsidP="00B93E72">
      <w:pPr>
        <w:spacing w:before="120"/>
        <w:rPr>
          <w:sz w:val="28"/>
          <w:szCs w:val="28"/>
        </w:rPr>
      </w:pPr>
      <w:r w:rsidRPr="00685843">
        <w:rPr>
          <w:sz w:val="28"/>
          <w:szCs w:val="28"/>
        </w:rPr>
        <w:t>Comité des transports intérieurs</w:t>
      </w:r>
    </w:p>
    <w:p w:rsidR="00C70623" w:rsidRPr="00685843" w:rsidRDefault="0093785E" w:rsidP="00C70623">
      <w:pPr>
        <w:spacing w:before="120"/>
        <w:rPr>
          <w:b/>
          <w:sz w:val="24"/>
          <w:szCs w:val="24"/>
        </w:rPr>
      </w:pPr>
      <w:r>
        <w:rPr>
          <w:b/>
          <w:sz w:val="24"/>
          <w:szCs w:val="24"/>
        </w:rPr>
        <w:t>Groupe de travail du transport des denrées périssables</w:t>
      </w:r>
    </w:p>
    <w:p w:rsidR="00C0645F" w:rsidRPr="00234E40" w:rsidRDefault="00C0645F" w:rsidP="00C0645F">
      <w:pPr>
        <w:spacing w:before="120"/>
        <w:rPr>
          <w:b/>
        </w:rPr>
      </w:pPr>
      <w:r>
        <w:rPr>
          <w:b/>
          <w:bCs/>
        </w:rPr>
        <w:t>Soixante</w:t>
      </w:r>
      <w:r w:rsidR="00FB3BB3">
        <w:rPr>
          <w:b/>
          <w:bCs/>
        </w:rPr>
        <w:t xml:space="preserve"> et </w:t>
      </w:r>
      <w:bookmarkStart w:id="0" w:name="_GoBack"/>
      <w:bookmarkEnd w:id="0"/>
      <w:r w:rsidR="004964CF">
        <w:rPr>
          <w:b/>
          <w:bCs/>
        </w:rPr>
        <w:t>onz</w:t>
      </w:r>
      <w:r>
        <w:rPr>
          <w:b/>
          <w:bCs/>
        </w:rPr>
        <w:t>i</w:t>
      </w:r>
      <w:r w:rsidRPr="00A9264B">
        <w:rPr>
          <w:b/>
          <w:bCs/>
        </w:rPr>
        <w:t>ème</w:t>
      </w:r>
      <w:r w:rsidRPr="00A9264B">
        <w:rPr>
          <w:b/>
        </w:rPr>
        <w:t xml:space="preserve"> </w:t>
      </w:r>
      <w:r w:rsidRPr="00234E40">
        <w:rPr>
          <w:b/>
        </w:rPr>
        <w:t>session</w:t>
      </w:r>
    </w:p>
    <w:p w:rsidR="00C0645F" w:rsidRDefault="00C0645F" w:rsidP="00C0645F">
      <w:pPr>
        <w:rPr>
          <w:bCs/>
        </w:rPr>
      </w:pPr>
      <w:r>
        <w:t xml:space="preserve">Genève, </w:t>
      </w:r>
      <w:r w:rsidR="004964CF">
        <w:t>6</w:t>
      </w:r>
      <w:r>
        <w:t>-</w:t>
      </w:r>
      <w:r w:rsidR="004964CF">
        <w:t>9</w:t>
      </w:r>
      <w:r>
        <w:t xml:space="preserve"> octobre</w:t>
      </w:r>
      <w:r>
        <w:rPr>
          <w:bCs/>
        </w:rPr>
        <w:t xml:space="preserve"> 201</w:t>
      </w:r>
      <w:r w:rsidR="00827B58">
        <w:rPr>
          <w:bCs/>
        </w:rPr>
        <w:t>5</w:t>
      </w:r>
    </w:p>
    <w:p w:rsidR="00C0645F" w:rsidRDefault="004964CF" w:rsidP="00C0645F">
      <w:r>
        <w:t>Point 5 b</w:t>
      </w:r>
      <w:r w:rsidR="00C0645F">
        <w:t>) de l’ordre du jour provisoire</w:t>
      </w:r>
    </w:p>
    <w:p w:rsidR="00C0645F" w:rsidRPr="004D75A6" w:rsidRDefault="00C0645F" w:rsidP="00C0645F">
      <w:pPr>
        <w:rPr>
          <w:b/>
        </w:rPr>
      </w:pPr>
      <w:r w:rsidRPr="004D75A6">
        <w:rPr>
          <w:b/>
        </w:rPr>
        <w:t>Propositions d</w:t>
      </w:r>
      <w:r>
        <w:rPr>
          <w:b/>
        </w:rPr>
        <w:t>’</w:t>
      </w:r>
      <w:r w:rsidRPr="004D75A6">
        <w:rPr>
          <w:b/>
        </w:rPr>
        <w:t>amendements à l</w:t>
      </w:r>
      <w:r>
        <w:rPr>
          <w:b/>
        </w:rPr>
        <w:t>’</w:t>
      </w:r>
      <w:r w:rsidRPr="004D75A6">
        <w:rPr>
          <w:b/>
        </w:rPr>
        <w:t xml:space="preserve">ATP: </w:t>
      </w:r>
      <w:r w:rsidR="004964CF">
        <w:rPr>
          <w:b/>
        </w:rPr>
        <w:t>nouvelles propositions</w:t>
      </w:r>
    </w:p>
    <w:p w:rsidR="004964CF" w:rsidRPr="004964CF" w:rsidRDefault="00C0645F" w:rsidP="00B16561">
      <w:pPr>
        <w:pStyle w:val="HChG"/>
        <w:rPr>
          <w:lang w:eastAsia="ar-SA"/>
        </w:rPr>
      </w:pPr>
      <w:bookmarkStart w:id="1" w:name="OLE_LINK7"/>
      <w:bookmarkStart w:id="2" w:name="OLE_LINK8"/>
      <w:r w:rsidRPr="00C3505D">
        <w:rPr>
          <w:lang w:eastAsia="ar-SA"/>
        </w:rPr>
        <w:tab/>
      </w:r>
      <w:r w:rsidR="004964CF">
        <w:rPr>
          <w:lang w:eastAsia="ar-SA"/>
        </w:rPr>
        <w:tab/>
      </w:r>
      <w:r w:rsidR="004964CF" w:rsidRPr="004964CF">
        <w:rPr>
          <w:lang w:eastAsia="ar-SA"/>
        </w:rPr>
        <w:t xml:space="preserve">Dispositions applicables aux </w:t>
      </w:r>
      <w:r w:rsidR="004964CF" w:rsidRPr="00B16561">
        <w:t>stations</w:t>
      </w:r>
      <w:r w:rsidR="004964CF" w:rsidRPr="004964CF">
        <w:rPr>
          <w:lang w:eastAsia="ar-SA"/>
        </w:rPr>
        <w:t xml:space="preserve"> d’essais officielles</w:t>
      </w:r>
    </w:p>
    <w:p w:rsidR="00C0645F" w:rsidRDefault="00C0645F" w:rsidP="00B16561">
      <w:pPr>
        <w:pStyle w:val="H1G"/>
      </w:pPr>
      <w:r w:rsidRPr="0058486B">
        <w:tab/>
      </w:r>
      <w:r w:rsidRPr="0058486B">
        <w:tab/>
      </w:r>
      <w:r w:rsidRPr="00157272">
        <w:t>Communication</w:t>
      </w:r>
      <w:r w:rsidRPr="00CB58C7">
        <w:t xml:space="preserve"> du Gouvernement </w:t>
      </w:r>
      <w:r w:rsidR="004964CF" w:rsidRPr="00B16561">
        <w:t>français</w:t>
      </w:r>
    </w:p>
    <w:p w:rsidR="004964CF" w:rsidRPr="004964CF" w:rsidRDefault="00B16561" w:rsidP="00B16561">
      <w:pPr>
        <w:pStyle w:val="HChG"/>
      </w:pPr>
      <w:r>
        <w:tab/>
      </w:r>
      <w:r>
        <w:tab/>
      </w:r>
      <w:r w:rsidR="004964CF" w:rsidRPr="004964CF">
        <w:t>Contexte</w:t>
      </w:r>
    </w:p>
    <w:p w:rsidR="004964CF" w:rsidRPr="004964CF" w:rsidRDefault="004964CF" w:rsidP="00B16561">
      <w:pPr>
        <w:pStyle w:val="SingleTxtG"/>
      </w:pPr>
      <w:r w:rsidRPr="004964CF">
        <w:t>1.</w:t>
      </w:r>
      <w:r w:rsidRPr="004964CF">
        <w:tab/>
        <w:t>L’</w:t>
      </w:r>
      <w:r w:rsidRPr="004964CF">
        <w:rPr>
          <w:szCs w:val="24"/>
        </w:rPr>
        <w:t xml:space="preserve">Accord relatif aux transports internationaux de denrées périssables et aux engins spéciaux à utiliser pour ces </w:t>
      </w:r>
      <w:r w:rsidRPr="00B16561">
        <w:t>transports</w:t>
      </w:r>
      <w:r w:rsidRPr="004964CF">
        <w:rPr>
          <w:szCs w:val="24"/>
        </w:rPr>
        <w:t xml:space="preserve"> (ATP)</w:t>
      </w:r>
      <w:r w:rsidRPr="004964CF">
        <w:t xml:space="preserve">, signé en 1970, s’appuie sur des essais de type réalisé par des stations d’essais officielles désignés par les parties contractantes. </w:t>
      </w:r>
    </w:p>
    <w:p w:rsidR="004964CF" w:rsidRPr="004964CF" w:rsidRDefault="004964CF" w:rsidP="004964CF">
      <w:pPr>
        <w:pStyle w:val="SingleTxtG"/>
      </w:pPr>
      <w:r w:rsidRPr="004964CF">
        <w:t>2.</w:t>
      </w:r>
      <w:r w:rsidRPr="004964CF">
        <w:tab/>
        <w:t>L’ATP de définie aucunes exigences relatives aux compétences des stations d’essais officielles ni en terme de moyens ni en terme de résultats alors même que se développe l’accréditation comme moyen d’harmoniser les pratiques des laboratoires.</w:t>
      </w:r>
    </w:p>
    <w:p w:rsidR="004964CF" w:rsidRPr="004964CF" w:rsidRDefault="004964CF" w:rsidP="004964CF">
      <w:pPr>
        <w:pStyle w:val="SingleTxtG"/>
        <w:rPr>
          <w:lang w:val="fr-FR"/>
        </w:rPr>
      </w:pPr>
      <w:r w:rsidRPr="004964CF">
        <w:t>3.</w:t>
      </w:r>
      <w:r w:rsidRPr="004964CF">
        <w:tab/>
      </w:r>
      <w:r w:rsidRPr="004964CF">
        <w:rPr>
          <w:lang w:val="fr-FR"/>
        </w:rPr>
        <w:t>La France soumet donc une proposition permettant de reconnaitre l’accréditation dans les critères applicables aux stations d’essais.</w:t>
      </w:r>
    </w:p>
    <w:p w:rsidR="004964CF" w:rsidRPr="004964CF" w:rsidRDefault="00B16561" w:rsidP="00B16561">
      <w:pPr>
        <w:pStyle w:val="HChG"/>
      </w:pPr>
      <w:r>
        <w:tab/>
      </w:r>
      <w:r>
        <w:tab/>
      </w:r>
      <w:r w:rsidR="004964CF" w:rsidRPr="004964CF">
        <w:t>Proposition</w:t>
      </w:r>
    </w:p>
    <w:p w:rsidR="004964CF" w:rsidRPr="004964CF" w:rsidRDefault="004964CF" w:rsidP="004964CF">
      <w:pPr>
        <w:pStyle w:val="SingleTxtG"/>
      </w:pPr>
      <w:r w:rsidRPr="004964CF">
        <w:t>4.</w:t>
      </w:r>
      <w:r w:rsidRPr="004964CF">
        <w:tab/>
        <w:t xml:space="preserve">Plusieurs stations d’essais officielles ont développé l’accréditation de leur activité selon la norme ISO 17025 pour les essais décrit à l’annexe 1 appendice 1 de l’ATP. La liste des stations d’essais déjà accrédité est disponible dans le compte rendu 2015 de la CERTE. Cette accréditation assure une évaluation tierce partie des laboratoires agissant en tant que station d’essais. Cette accréditation assure un niveau d’harmonisation des pratiques entre les stations d’essais permettant la reconnaissance formelle des certificats au niveau international, ce qu’impose l’ATP.  </w:t>
      </w:r>
    </w:p>
    <w:p w:rsidR="004964CF" w:rsidRPr="004964CF" w:rsidRDefault="00B16561" w:rsidP="00B16561">
      <w:pPr>
        <w:pStyle w:val="HChG"/>
      </w:pPr>
      <w:r>
        <w:lastRenderedPageBreak/>
        <w:tab/>
      </w:r>
      <w:r>
        <w:tab/>
      </w:r>
      <w:r w:rsidR="004964CF" w:rsidRPr="004964CF">
        <w:t xml:space="preserve">Impact </w:t>
      </w:r>
    </w:p>
    <w:p w:rsidR="004964CF" w:rsidRPr="004964CF" w:rsidRDefault="004964CF" w:rsidP="004964CF">
      <w:pPr>
        <w:pStyle w:val="SingleTxtG"/>
        <w:rPr>
          <w:rFonts w:eastAsia="Calibri"/>
          <w:lang w:val="fr-FR"/>
        </w:rPr>
      </w:pPr>
      <w:r w:rsidRPr="004964CF">
        <w:rPr>
          <w:rFonts w:eastAsia="Calibri"/>
          <w:lang w:val="fr-FR"/>
        </w:rPr>
        <w:t>5.</w:t>
      </w:r>
      <w:r>
        <w:rPr>
          <w:rFonts w:eastAsia="Calibri"/>
          <w:lang w:val="fr-FR"/>
        </w:rPr>
        <w:tab/>
      </w:r>
      <w:r w:rsidRPr="004964CF">
        <w:rPr>
          <w:rFonts w:eastAsia="Calibri"/>
          <w:lang w:val="fr-FR"/>
        </w:rPr>
        <w:t>L’accréditation des stations d’essais au niveau de chaque Etat implique la mise en place d’un système de management de la qualité qui assure la traçabilité des mesures, le respect des procédures techniques et des normes et le traitement impartiale des demandes. Elle requière la maitrise complète des installations techniques et le respect des règles fondamentales applicables aux activités d’essais. L’accréditation suppose que la station d’essais dispose en propre des moyens permettant la réalisation des essais. Les audits tierce partie sont réalisés par les organismes d’accréditation de chaque pays qui ont le statut spécifique d’organismes à but non lucratif. Le réseau des organismes accréditeurs ILAC assure l’homogénéité des règles d’accréditations pour assurer un haut niveau de reconnaissance de la compétence des laboratoires.</w:t>
      </w:r>
    </w:p>
    <w:p w:rsidR="004964CF" w:rsidRPr="004964CF" w:rsidRDefault="00B16561" w:rsidP="00B16561">
      <w:pPr>
        <w:pStyle w:val="HChG"/>
      </w:pPr>
      <w:r>
        <w:tab/>
      </w:r>
      <w:r>
        <w:tab/>
      </w:r>
      <w:r w:rsidR="004964CF" w:rsidRPr="004964CF">
        <w:t>Impact économique de la procédure</w:t>
      </w:r>
    </w:p>
    <w:p w:rsidR="004964CF" w:rsidRPr="004964CF" w:rsidRDefault="006F681C" w:rsidP="004964CF">
      <w:pPr>
        <w:pStyle w:val="SingleTxtG"/>
      </w:pPr>
      <w:r>
        <w:t>6.</w:t>
      </w:r>
      <w:r>
        <w:tab/>
        <w:t>L</w:t>
      </w:r>
      <w:r w:rsidR="004964CF" w:rsidRPr="004964CF">
        <w:t>e cout d’une accréditation peut être estimé à 3000€ par an à la charge des laboratoires mais n’a pas d’impact pour les constructeurs qui ont recours à ces laboratoires.</w:t>
      </w:r>
    </w:p>
    <w:p w:rsidR="004964CF" w:rsidRPr="004964CF" w:rsidRDefault="00B16561" w:rsidP="00B16561">
      <w:pPr>
        <w:pStyle w:val="HChG"/>
        <w:rPr>
          <w:lang w:val="fr-FR"/>
        </w:rPr>
      </w:pPr>
      <w:r>
        <w:rPr>
          <w:lang w:val="fr-FR"/>
        </w:rPr>
        <w:tab/>
      </w:r>
      <w:r>
        <w:rPr>
          <w:lang w:val="fr-FR"/>
        </w:rPr>
        <w:tab/>
      </w:r>
      <w:r w:rsidR="004964CF" w:rsidRPr="004964CF">
        <w:rPr>
          <w:lang w:val="fr-FR"/>
        </w:rPr>
        <w:t>Proposition d’amendement</w:t>
      </w:r>
    </w:p>
    <w:p w:rsidR="004964CF" w:rsidRPr="004964CF" w:rsidRDefault="004964CF" w:rsidP="00742C3B">
      <w:pPr>
        <w:pStyle w:val="SingleTxtG"/>
        <w:rPr>
          <w:rFonts w:eastAsia="Calibri"/>
          <w:lang w:val="fr-FR"/>
        </w:rPr>
      </w:pPr>
      <w:r w:rsidRPr="004964CF">
        <w:rPr>
          <w:rFonts w:eastAsia="Calibri"/>
          <w:lang w:val="fr-FR"/>
        </w:rPr>
        <w:t xml:space="preserve">7. </w:t>
      </w:r>
      <w:r>
        <w:rPr>
          <w:rFonts w:eastAsia="Calibri"/>
          <w:lang w:val="fr-FR"/>
        </w:rPr>
        <w:tab/>
      </w:r>
      <w:r w:rsidRPr="004964CF">
        <w:rPr>
          <w:rFonts w:eastAsia="Calibri"/>
          <w:lang w:val="fr-FR"/>
        </w:rPr>
        <w:t xml:space="preserve">Il est proposé d’ajouter </w:t>
      </w:r>
      <w:r w:rsidR="00742C3B">
        <w:rPr>
          <w:rFonts w:eastAsia="Calibri"/>
          <w:lang w:val="fr-FR"/>
        </w:rPr>
        <w:t>au paragraphe 1 de l'annexe 1, appendice 1 le texte</w:t>
      </w:r>
      <w:r w:rsidRPr="004964CF">
        <w:rPr>
          <w:rFonts w:eastAsia="Calibri"/>
          <w:lang w:val="fr-FR"/>
        </w:rPr>
        <w:t xml:space="preserve"> figurant en </w:t>
      </w:r>
      <w:r w:rsidRPr="004964CF">
        <w:rPr>
          <w:rFonts w:eastAsia="Calibri"/>
          <w:b/>
          <w:lang w:val="fr-FR"/>
        </w:rPr>
        <w:t>gras</w:t>
      </w:r>
      <w:r w:rsidRPr="004964CF">
        <w:rPr>
          <w:rFonts w:eastAsia="Calibri"/>
          <w:lang w:val="fr-FR"/>
        </w:rPr>
        <w:t>:</w:t>
      </w:r>
    </w:p>
    <w:p w:rsidR="004964CF" w:rsidRPr="004964CF" w:rsidRDefault="00742C3B" w:rsidP="00742C3B">
      <w:pPr>
        <w:pStyle w:val="SingleTxtG"/>
        <w:rPr>
          <w:rFonts w:eastAsia="Calibri"/>
          <w:lang w:val="fr-FR" w:eastAsia="fr-FR"/>
        </w:rPr>
      </w:pPr>
      <w:r>
        <w:rPr>
          <w:rFonts w:eastAsia="Calibri"/>
          <w:lang w:val="fr-FR"/>
        </w:rPr>
        <w:t>"</w:t>
      </w:r>
      <w:r w:rsidR="004964CF" w:rsidRPr="004964CF">
        <w:rPr>
          <w:rFonts w:eastAsia="Calibri"/>
          <w:lang w:val="fr-FR"/>
        </w:rPr>
        <w:t>1.</w:t>
      </w:r>
      <w:r>
        <w:rPr>
          <w:rFonts w:eastAsia="Calibri"/>
          <w:lang w:val="fr-FR"/>
        </w:rPr>
        <w:tab/>
      </w:r>
      <w:r w:rsidR="004964CF" w:rsidRPr="004964CF">
        <w:rPr>
          <w:rFonts w:eastAsia="Calibri"/>
          <w:lang w:val="fr-FR"/>
        </w:rPr>
        <w:t>Le contrôle de la conformité aux normes prescrites dans la présente annexe aura lieu:</w:t>
      </w:r>
    </w:p>
    <w:p w:rsidR="004964CF" w:rsidRPr="004964CF" w:rsidRDefault="004964CF" w:rsidP="00742C3B">
      <w:pPr>
        <w:pStyle w:val="SingleTxtG"/>
        <w:ind w:firstLine="567"/>
        <w:rPr>
          <w:rFonts w:eastAsia="Calibri"/>
          <w:lang w:val="fr-FR"/>
        </w:rPr>
      </w:pPr>
      <w:r w:rsidRPr="004964CF">
        <w:rPr>
          <w:rFonts w:eastAsia="Calibri"/>
          <w:lang w:val="fr-FR"/>
        </w:rPr>
        <w:t>a) avant la mise en service de l'engin;</w:t>
      </w:r>
    </w:p>
    <w:p w:rsidR="004964CF" w:rsidRPr="004964CF" w:rsidRDefault="004964CF" w:rsidP="00742C3B">
      <w:pPr>
        <w:pStyle w:val="SingleTxtG"/>
        <w:ind w:firstLine="567"/>
        <w:rPr>
          <w:rFonts w:eastAsia="Calibri"/>
          <w:lang w:val="fr-FR"/>
        </w:rPr>
      </w:pPr>
      <w:r w:rsidRPr="004964CF">
        <w:rPr>
          <w:rFonts w:eastAsia="Calibri"/>
          <w:lang w:val="fr-FR"/>
        </w:rPr>
        <w:t>b) périodiquement au moins tous les six ans; et</w:t>
      </w:r>
    </w:p>
    <w:p w:rsidR="004964CF" w:rsidRPr="004964CF" w:rsidRDefault="004964CF" w:rsidP="00742C3B">
      <w:pPr>
        <w:pStyle w:val="SingleTxtG"/>
        <w:ind w:firstLine="567"/>
        <w:rPr>
          <w:rFonts w:eastAsia="Calibri"/>
          <w:lang w:val="fr-FR"/>
        </w:rPr>
      </w:pPr>
      <w:r w:rsidRPr="004964CF">
        <w:rPr>
          <w:rFonts w:eastAsia="Calibri"/>
          <w:lang w:val="fr-FR"/>
        </w:rPr>
        <w:t>c) chaque fois que l’autorité compétente le requiert.</w:t>
      </w:r>
    </w:p>
    <w:p w:rsidR="004964CF" w:rsidRPr="004964CF" w:rsidRDefault="004964CF" w:rsidP="00742C3B">
      <w:pPr>
        <w:pStyle w:val="SingleTxtG"/>
        <w:rPr>
          <w:rFonts w:eastAsia="Calibri"/>
          <w:lang w:val="fr-FR"/>
        </w:rPr>
      </w:pPr>
      <w:r w:rsidRPr="004964CF">
        <w:rPr>
          <w:rFonts w:eastAsia="Calibri"/>
          <w:lang w:val="fr-FR"/>
        </w:rPr>
        <w:t>Sauf dans les cas prévus aux sections 5 et 6 de l'appendice 2 de la présente annexe, le contrôle aura lieu dans une station d'essais désignée ou agréée à cet effet</w:t>
      </w:r>
      <w:r w:rsidRPr="004964CF">
        <w:rPr>
          <w:rFonts w:eastAsia="Calibri"/>
          <w:b/>
          <w:lang w:val="fr-FR"/>
        </w:rPr>
        <w:t xml:space="preserve"> </w:t>
      </w:r>
      <w:r w:rsidRPr="004964CF">
        <w:rPr>
          <w:rFonts w:eastAsia="Calibri"/>
          <w:lang w:val="fr-FR"/>
        </w:rPr>
        <w:t xml:space="preserve">par l'autorité compétente du pays dans lequel l'engin est immatriculé ou enregistré, à moins que, s'agissant du contrôle visé à l'alinéa a) ci-dessus, il n'ait déjà été effectué sur l'engin lui-même ou sur son prototype dans une station d'essais </w:t>
      </w:r>
      <w:r w:rsidRPr="004964CF">
        <w:rPr>
          <w:rFonts w:eastAsia="Calibri"/>
          <w:b/>
          <w:lang w:val="fr-FR"/>
        </w:rPr>
        <w:t xml:space="preserve">et </w:t>
      </w:r>
      <w:r w:rsidRPr="004964CF">
        <w:rPr>
          <w:rFonts w:eastAsia="Calibri"/>
          <w:lang w:val="fr-FR"/>
        </w:rPr>
        <w:t>désignée ou agréée à cet effet</w:t>
      </w:r>
      <w:r w:rsidRPr="004964CF">
        <w:rPr>
          <w:rFonts w:eastAsia="Calibri"/>
          <w:b/>
          <w:lang w:val="fr-FR"/>
        </w:rPr>
        <w:t xml:space="preserve"> </w:t>
      </w:r>
      <w:r w:rsidRPr="004964CF">
        <w:rPr>
          <w:rFonts w:eastAsia="Calibri"/>
          <w:lang w:val="fr-FR"/>
        </w:rPr>
        <w:t>par l'autorité compétente du pays dans lequel l'engin a été fabriqué.</w:t>
      </w:r>
    </w:p>
    <w:p w:rsidR="004964CF" w:rsidRPr="004964CF" w:rsidRDefault="004964CF" w:rsidP="00742C3B">
      <w:pPr>
        <w:pStyle w:val="SingleTxtG"/>
        <w:rPr>
          <w:rFonts w:eastAsia="Calibri"/>
          <w:lang w:val="fr-FR"/>
        </w:rPr>
      </w:pPr>
      <w:r w:rsidRPr="004964CF">
        <w:rPr>
          <w:rFonts w:eastAsia="Calibri"/>
          <w:b/>
          <w:lang w:val="fr-FR"/>
        </w:rPr>
        <w:t xml:space="preserve">La station d’essais désignée ou agréée devra être accréditée, pour les essais concernés, selon la norme ISO 17025 par un organisme d’accréditation </w:t>
      </w:r>
      <w:r w:rsidR="007D7548">
        <w:rPr>
          <w:rFonts w:eastAsia="Calibri"/>
          <w:b/>
          <w:lang w:val="fr-FR"/>
        </w:rPr>
        <w:t xml:space="preserve">membre de l'International </w:t>
      </w:r>
      <w:proofErr w:type="spellStart"/>
      <w:r w:rsidR="007D7548">
        <w:rPr>
          <w:rFonts w:eastAsia="Calibri"/>
          <w:b/>
          <w:lang w:val="fr-FR"/>
        </w:rPr>
        <w:t>Laboratory</w:t>
      </w:r>
      <w:proofErr w:type="spellEnd"/>
      <w:r w:rsidR="007D7548">
        <w:rPr>
          <w:rFonts w:eastAsia="Calibri"/>
          <w:b/>
          <w:lang w:val="fr-FR"/>
        </w:rPr>
        <w:t xml:space="preserve"> </w:t>
      </w:r>
      <w:proofErr w:type="spellStart"/>
      <w:r w:rsidR="007D7548">
        <w:rPr>
          <w:rFonts w:eastAsia="Calibri"/>
          <w:b/>
          <w:lang w:val="fr-FR"/>
        </w:rPr>
        <w:t>Accreditation</w:t>
      </w:r>
      <w:proofErr w:type="spellEnd"/>
      <w:r w:rsidR="007D7548">
        <w:rPr>
          <w:rFonts w:eastAsia="Calibri"/>
          <w:b/>
          <w:lang w:val="fr-FR"/>
        </w:rPr>
        <w:t xml:space="preserve"> </w:t>
      </w:r>
      <w:proofErr w:type="spellStart"/>
      <w:r w:rsidR="007D7548">
        <w:rPr>
          <w:rFonts w:eastAsia="Calibri"/>
          <w:b/>
          <w:lang w:val="fr-FR"/>
        </w:rPr>
        <w:t>Cooperation</w:t>
      </w:r>
      <w:proofErr w:type="spellEnd"/>
      <w:r w:rsidR="007D7548">
        <w:rPr>
          <w:rFonts w:eastAsia="Calibri"/>
          <w:b/>
          <w:lang w:val="fr-FR"/>
        </w:rPr>
        <w:t xml:space="preserve"> (ILAC) </w:t>
      </w:r>
      <w:r w:rsidRPr="004964CF">
        <w:rPr>
          <w:rFonts w:eastAsia="Calibri"/>
          <w:b/>
          <w:lang w:val="fr-FR"/>
        </w:rPr>
        <w:t>dans les 2 ans qui suivent l’entrée en vigueur de la présente disposition.</w:t>
      </w:r>
      <w:r w:rsidR="00742C3B" w:rsidRPr="006F681C">
        <w:rPr>
          <w:rFonts w:eastAsia="Calibri"/>
          <w:lang w:val="fr-FR"/>
        </w:rPr>
        <w:t>"</w:t>
      </w:r>
    </w:p>
    <w:p w:rsidR="004964CF" w:rsidRPr="004964CF" w:rsidRDefault="004964CF" w:rsidP="004964CF">
      <w:pPr>
        <w:spacing w:before="240"/>
        <w:ind w:left="1134" w:right="1134"/>
        <w:jc w:val="center"/>
        <w:rPr>
          <w:u w:val="single"/>
        </w:rPr>
      </w:pPr>
      <w:r w:rsidRPr="004964CF">
        <w:rPr>
          <w:u w:val="single"/>
        </w:rPr>
        <w:tab/>
      </w:r>
      <w:r w:rsidRPr="004964CF">
        <w:rPr>
          <w:u w:val="single"/>
        </w:rPr>
        <w:tab/>
      </w:r>
      <w:r w:rsidRPr="004964CF">
        <w:rPr>
          <w:u w:val="single"/>
        </w:rPr>
        <w:tab/>
      </w:r>
      <w:bookmarkEnd w:id="1"/>
      <w:bookmarkEnd w:id="2"/>
    </w:p>
    <w:sectPr w:rsidR="004964CF" w:rsidRPr="004964CF" w:rsidSect="00B16561">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6F" w:rsidRDefault="00905A6F"/>
  </w:endnote>
  <w:endnote w:type="continuationSeparator" w:id="0">
    <w:p w:rsidR="00905A6F" w:rsidRDefault="00905A6F"/>
  </w:endnote>
  <w:endnote w:type="continuationNotice" w:id="1">
    <w:p w:rsidR="00905A6F" w:rsidRPr="003F0BBE" w:rsidRDefault="00905A6F" w:rsidP="003F0BBE">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8C" w:rsidRPr="003D498C" w:rsidRDefault="003D498C" w:rsidP="003D498C">
    <w:pPr>
      <w:pStyle w:val="Footer"/>
      <w:tabs>
        <w:tab w:val="right" w:pos="9638"/>
      </w:tabs>
    </w:pPr>
    <w:r w:rsidRPr="003D498C">
      <w:rPr>
        <w:b/>
        <w:sz w:val="18"/>
      </w:rPr>
      <w:fldChar w:fldCharType="begin"/>
    </w:r>
    <w:r w:rsidRPr="003D498C">
      <w:rPr>
        <w:b/>
        <w:sz w:val="18"/>
      </w:rPr>
      <w:instrText xml:space="preserve"> PAGE  \* MERGEFORMAT </w:instrText>
    </w:r>
    <w:r w:rsidRPr="003D498C">
      <w:rPr>
        <w:b/>
        <w:sz w:val="18"/>
      </w:rPr>
      <w:fldChar w:fldCharType="separate"/>
    </w:r>
    <w:r w:rsidR="00FB3BB3">
      <w:rPr>
        <w:b/>
        <w:noProof/>
        <w:sz w:val="18"/>
      </w:rPr>
      <w:t>2</w:t>
    </w:r>
    <w:r w:rsidRPr="003D498C">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8C" w:rsidRPr="003D498C" w:rsidRDefault="003D498C" w:rsidP="003D498C">
    <w:pPr>
      <w:pStyle w:val="Footer"/>
      <w:tabs>
        <w:tab w:val="right" w:pos="9638"/>
      </w:tabs>
      <w:rPr>
        <w:b/>
        <w:sz w:val="18"/>
      </w:rPr>
    </w:pPr>
    <w:r>
      <w:t>GE.14-07836</w:t>
    </w:r>
    <w:r>
      <w:tab/>
    </w:r>
    <w:r w:rsidRPr="003D498C">
      <w:rPr>
        <w:b/>
        <w:sz w:val="18"/>
      </w:rPr>
      <w:fldChar w:fldCharType="begin"/>
    </w:r>
    <w:r w:rsidRPr="003D498C">
      <w:rPr>
        <w:b/>
        <w:sz w:val="18"/>
      </w:rPr>
      <w:instrText xml:space="preserve"> PAGE  \* MERGEFORMAT </w:instrText>
    </w:r>
    <w:r w:rsidRPr="003D498C">
      <w:rPr>
        <w:b/>
        <w:sz w:val="18"/>
      </w:rPr>
      <w:fldChar w:fldCharType="separate"/>
    </w:r>
    <w:r w:rsidR="00BD4D6A">
      <w:rPr>
        <w:b/>
        <w:noProof/>
        <w:sz w:val="18"/>
      </w:rPr>
      <w:t>3</w:t>
    </w:r>
    <w:r w:rsidRPr="003D498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4B" w:rsidRPr="0045370D" w:rsidRDefault="0045370D" w:rsidP="0045370D">
    <w:pPr>
      <w:pStyle w:val="Footer"/>
      <w:spacing w:before="120"/>
      <w:rPr>
        <w:sz w:val="20"/>
      </w:rPr>
    </w:pPr>
    <w:r>
      <w:rPr>
        <w:sz w:val="20"/>
      </w:rPr>
      <w:t>GE.15-</w:t>
    </w:r>
    <w:r>
      <w:rPr>
        <w:noProof/>
        <w:lang w:val="en-GB" w:eastAsia="en-GB"/>
      </w:rPr>
      <w:drawing>
        <wp:anchor distT="0" distB="0" distL="114300" distR="114300" simplePos="0" relativeHeight="251659264" behindDoc="0" locked="0" layoutInCell="1" allowOverlap="1">
          <wp:simplePos x="0" y="0"/>
          <wp:positionH relativeFrom="column">
            <wp:posOffset>5040630</wp:posOffset>
          </wp:positionH>
          <wp:positionV relativeFrom="paragraph">
            <wp:posOffset>-107950</wp:posOffset>
          </wp:positionV>
          <wp:extent cx="1104265" cy="233045"/>
          <wp:effectExtent l="0" t="0" r="635" b="0"/>
          <wp:wrapNone/>
          <wp:docPr id="3" name="Picture 2" descr="Description: 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6F" w:rsidRPr="00D27D5E" w:rsidRDefault="00905A6F" w:rsidP="00D27D5E">
      <w:pPr>
        <w:tabs>
          <w:tab w:val="right" w:pos="2155"/>
        </w:tabs>
        <w:spacing w:after="80"/>
        <w:ind w:left="680"/>
        <w:rPr>
          <w:u w:val="single"/>
        </w:rPr>
      </w:pPr>
      <w:r>
        <w:rPr>
          <w:u w:val="single"/>
        </w:rPr>
        <w:tab/>
      </w:r>
    </w:p>
  </w:footnote>
  <w:footnote w:type="continuationSeparator" w:id="0">
    <w:p w:rsidR="00905A6F" w:rsidRPr="002E0F43" w:rsidRDefault="00905A6F" w:rsidP="002E0F43">
      <w:pPr>
        <w:tabs>
          <w:tab w:val="right" w:pos="2155"/>
        </w:tabs>
        <w:spacing w:after="80"/>
        <w:ind w:left="680"/>
        <w:rPr>
          <w:u w:val="single"/>
        </w:rPr>
      </w:pPr>
      <w:r>
        <w:rPr>
          <w:u w:val="single"/>
        </w:rPr>
        <w:tab/>
      </w:r>
    </w:p>
  </w:footnote>
  <w:footnote w:type="continuationNotice" w:id="1">
    <w:p w:rsidR="00905A6F" w:rsidRPr="003F0BBE" w:rsidRDefault="00905A6F" w:rsidP="003F0BBE">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8C" w:rsidRPr="003D498C" w:rsidRDefault="004964CF">
    <w:pPr>
      <w:pStyle w:val="Header"/>
    </w:pPr>
    <w:r>
      <w:t>ECE/TRANS/WP.11/2015/11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8C" w:rsidRPr="003D498C" w:rsidRDefault="003D498C" w:rsidP="003D498C">
    <w:pPr>
      <w:pStyle w:val="Header"/>
      <w:jc w:val="right"/>
    </w:pPr>
    <w:r>
      <w:t>ECE/TRANS/WP.11/2014/18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
    <w:nsid w:val="73E905E2"/>
    <w:multiLevelType w:val="hybridMultilevel"/>
    <w:tmpl w:val="C574A7B8"/>
    <w:lvl w:ilvl="0" w:tplc="0F68695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0"/>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4B"/>
    <w:rsid w:val="00016AC5"/>
    <w:rsid w:val="00030ADE"/>
    <w:rsid w:val="000312C0"/>
    <w:rsid w:val="000E620A"/>
    <w:rsid w:val="000F41F2"/>
    <w:rsid w:val="000F4B71"/>
    <w:rsid w:val="00126030"/>
    <w:rsid w:val="00127B34"/>
    <w:rsid w:val="00134979"/>
    <w:rsid w:val="00135C0D"/>
    <w:rsid w:val="00160540"/>
    <w:rsid w:val="0017182C"/>
    <w:rsid w:val="00177007"/>
    <w:rsid w:val="00186EE9"/>
    <w:rsid w:val="001901A6"/>
    <w:rsid w:val="00192EEB"/>
    <w:rsid w:val="00194F22"/>
    <w:rsid w:val="001A20FB"/>
    <w:rsid w:val="001B6F40"/>
    <w:rsid w:val="001D7F8A"/>
    <w:rsid w:val="001E3FEB"/>
    <w:rsid w:val="001E4A02"/>
    <w:rsid w:val="00210569"/>
    <w:rsid w:val="00223B89"/>
    <w:rsid w:val="00225A8C"/>
    <w:rsid w:val="002659F1"/>
    <w:rsid w:val="00271C7C"/>
    <w:rsid w:val="00287E79"/>
    <w:rsid w:val="002928F9"/>
    <w:rsid w:val="002A5D07"/>
    <w:rsid w:val="002E0F43"/>
    <w:rsid w:val="003016B7"/>
    <w:rsid w:val="00317CE1"/>
    <w:rsid w:val="00330F9C"/>
    <w:rsid w:val="00340C35"/>
    <w:rsid w:val="003515AA"/>
    <w:rsid w:val="00362503"/>
    <w:rsid w:val="003678A5"/>
    <w:rsid w:val="00370E0F"/>
    <w:rsid w:val="003731C6"/>
    <w:rsid w:val="00374106"/>
    <w:rsid w:val="00395DFE"/>
    <w:rsid w:val="003976D5"/>
    <w:rsid w:val="003A0FE8"/>
    <w:rsid w:val="003B1596"/>
    <w:rsid w:val="003D1DF3"/>
    <w:rsid w:val="003D46A7"/>
    <w:rsid w:val="003D498C"/>
    <w:rsid w:val="003D6C68"/>
    <w:rsid w:val="003F0BBE"/>
    <w:rsid w:val="004031BD"/>
    <w:rsid w:val="004159D0"/>
    <w:rsid w:val="004249E7"/>
    <w:rsid w:val="00440D4C"/>
    <w:rsid w:val="0045370D"/>
    <w:rsid w:val="00473A8F"/>
    <w:rsid w:val="004964CF"/>
    <w:rsid w:val="004C0D3F"/>
    <w:rsid w:val="0054385B"/>
    <w:rsid w:val="00543D5E"/>
    <w:rsid w:val="00571F41"/>
    <w:rsid w:val="005837D4"/>
    <w:rsid w:val="00595BE4"/>
    <w:rsid w:val="005B76A3"/>
    <w:rsid w:val="005E0C83"/>
    <w:rsid w:val="005E5D1F"/>
    <w:rsid w:val="00600247"/>
    <w:rsid w:val="00603391"/>
    <w:rsid w:val="00610B98"/>
    <w:rsid w:val="00611D43"/>
    <w:rsid w:val="00612D48"/>
    <w:rsid w:val="00615149"/>
    <w:rsid w:val="00616B45"/>
    <w:rsid w:val="00622A0D"/>
    <w:rsid w:val="00630D9B"/>
    <w:rsid w:val="00631953"/>
    <w:rsid w:val="00635ADB"/>
    <w:rsid w:val="006371D9"/>
    <w:rsid w:val="006439EC"/>
    <w:rsid w:val="00652ACD"/>
    <w:rsid w:val="00685843"/>
    <w:rsid w:val="006A7D2C"/>
    <w:rsid w:val="006B4590"/>
    <w:rsid w:val="006C0398"/>
    <w:rsid w:val="006C340C"/>
    <w:rsid w:val="006E5FC7"/>
    <w:rsid w:val="006F681C"/>
    <w:rsid w:val="0070347C"/>
    <w:rsid w:val="007176C1"/>
    <w:rsid w:val="00742C3B"/>
    <w:rsid w:val="0076498D"/>
    <w:rsid w:val="00787B8A"/>
    <w:rsid w:val="00790F2F"/>
    <w:rsid w:val="00795D61"/>
    <w:rsid w:val="007A203E"/>
    <w:rsid w:val="007B4D43"/>
    <w:rsid w:val="007D7548"/>
    <w:rsid w:val="007F55CB"/>
    <w:rsid w:val="008119D1"/>
    <w:rsid w:val="00812C1A"/>
    <w:rsid w:val="00827B58"/>
    <w:rsid w:val="008317F6"/>
    <w:rsid w:val="00844750"/>
    <w:rsid w:val="00856D39"/>
    <w:rsid w:val="0087078C"/>
    <w:rsid w:val="008B2F1E"/>
    <w:rsid w:val="008B44C4"/>
    <w:rsid w:val="008B7879"/>
    <w:rsid w:val="008D3919"/>
    <w:rsid w:val="008E7FAE"/>
    <w:rsid w:val="00905A6F"/>
    <w:rsid w:val="009117E5"/>
    <w:rsid w:val="00911BF7"/>
    <w:rsid w:val="0093785E"/>
    <w:rsid w:val="009510A2"/>
    <w:rsid w:val="00952FDB"/>
    <w:rsid w:val="00977EC8"/>
    <w:rsid w:val="009D3A8C"/>
    <w:rsid w:val="009E7956"/>
    <w:rsid w:val="00A2492E"/>
    <w:rsid w:val="00A27EFB"/>
    <w:rsid w:val="00A70163"/>
    <w:rsid w:val="00AC332B"/>
    <w:rsid w:val="00AC67A1"/>
    <w:rsid w:val="00AC7977"/>
    <w:rsid w:val="00AE352C"/>
    <w:rsid w:val="00B16561"/>
    <w:rsid w:val="00B32E2D"/>
    <w:rsid w:val="00B367AE"/>
    <w:rsid w:val="00B4466B"/>
    <w:rsid w:val="00B61990"/>
    <w:rsid w:val="00B672BC"/>
    <w:rsid w:val="00B80678"/>
    <w:rsid w:val="00B85D99"/>
    <w:rsid w:val="00B92B4A"/>
    <w:rsid w:val="00B93E72"/>
    <w:rsid w:val="00BA4F31"/>
    <w:rsid w:val="00BC4943"/>
    <w:rsid w:val="00BD4D6A"/>
    <w:rsid w:val="00BF0556"/>
    <w:rsid w:val="00C0645F"/>
    <w:rsid w:val="00C24B53"/>
    <w:rsid w:val="00C261F8"/>
    <w:rsid w:val="00C33100"/>
    <w:rsid w:val="00C3505D"/>
    <w:rsid w:val="00C44BA1"/>
    <w:rsid w:val="00C55987"/>
    <w:rsid w:val="00C70623"/>
    <w:rsid w:val="00C9000D"/>
    <w:rsid w:val="00C940E9"/>
    <w:rsid w:val="00C94A6B"/>
    <w:rsid w:val="00C9635B"/>
    <w:rsid w:val="00CB6267"/>
    <w:rsid w:val="00CD1A71"/>
    <w:rsid w:val="00CD1FBB"/>
    <w:rsid w:val="00CD5D78"/>
    <w:rsid w:val="00D016B5"/>
    <w:rsid w:val="00D034F1"/>
    <w:rsid w:val="00D11B17"/>
    <w:rsid w:val="00D27D5E"/>
    <w:rsid w:val="00D34C1D"/>
    <w:rsid w:val="00D60301"/>
    <w:rsid w:val="00D92902"/>
    <w:rsid w:val="00D92B83"/>
    <w:rsid w:val="00DA57D4"/>
    <w:rsid w:val="00DB0ED3"/>
    <w:rsid w:val="00DB4793"/>
    <w:rsid w:val="00DE01E3"/>
    <w:rsid w:val="00DE6D90"/>
    <w:rsid w:val="00DF002F"/>
    <w:rsid w:val="00DF2831"/>
    <w:rsid w:val="00E0244D"/>
    <w:rsid w:val="00E467D9"/>
    <w:rsid w:val="00E55D71"/>
    <w:rsid w:val="00E5604B"/>
    <w:rsid w:val="00E81E94"/>
    <w:rsid w:val="00E82607"/>
    <w:rsid w:val="00EA31C2"/>
    <w:rsid w:val="00EB4853"/>
    <w:rsid w:val="00EE2EA3"/>
    <w:rsid w:val="00F01516"/>
    <w:rsid w:val="00F06C2A"/>
    <w:rsid w:val="00F30D47"/>
    <w:rsid w:val="00F57129"/>
    <w:rsid w:val="00F70316"/>
    <w:rsid w:val="00F74F1A"/>
    <w:rsid w:val="00F761BA"/>
    <w:rsid w:val="00FA5A79"/>
    <w:rsid w:val="00FB00CB"/>
    <w:rsid w:val="00FB0BFE"/>
    <w:rsid w:val="00FB3BB3"/>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503"/>
    <w:pPr>
      <w:suppressAutoHyphens/>
      <w:spacing w:line="240" w:lineRule="atLeast"/>
    </w:pPr>
    <w:rPr>
      <w:lang w:val="fr-CH" w:eastAsia="en-US"/>
    </w:rPr>
  </w:style>
  <w:style w:type="paragraph" w:styleId="Heading1">
    <w:name w:val="heading 1"/>
    <w:aliases w:val="Table_G"/>
    <w:basedOn w:val="SingleTxtG"/>
    <w:next w:val="SingleTxtG"/>
    <w:qFormat/>
    <w:rsid w:val="00362503"/>
    <w:pPr>
      <w:keepNext/>
      <w:keepLines/>
      <w:spacing w:after="0" w:line="240" w:lineRule="auto"/>
      <w:ind w:right="0"/>
      <w:jc w:val="left"/>
      <w:outlineLvl w:val="0"/>
    </w:pPr>
  </w:style>
  <w:style w:type="paragraph" w:styleId="Heading2">
    <w:name w:val="heading 2"/>
    <w:basedOn w:val="Normal"/>
    <w:next w:val="Normal"/>
    <w:qFormat/>
    <w:rsid w:val="00362503"/>
    <w:pPr>
      <w:outlineLvl w:val="1"/>
    </w:pPr>
  </w:style>
  <w:style w:type="paragraph" w:styleId="Heading3">
    <w:name w:val="heading 3"/>
    <w:basedOn w:val="Normal"/>
    <w:next w:val="Normal"/>
    <w:qFormat/>
    <w:rsid w:val="00362503"/>
    <w:pPr>
      <w:outlineLvl w:val="2"/>
    </w:pPr>
  </w:style>
  <w:style w:type="paragraph" w:styleId="Heading4">
    <w:name w:val="heading 4"/>
    <w:basedOn w:val="Normal"/>
    <w:next w:val="Normal"/>
    <w:qFormat/>
    <w:rsid w:val="00362503"/>
    <w:pPr>
      <w:outlineLvl w:val="3"/>
    </w:pPr>
  </w:style>
  <w:style w:type="paragraph" w:styleId="Heading5">
    <w:name w:val="heading 5"/>
    <w:basedOn w:val="Normal"/>
    <w:next w:val="Normal"/>
    <w:qFormat/>
    <w:rsid w:val="00362503"/>
    <w:pPr>
      <w:outlineLvl w:val="4"/>
    </w:pPr>
  </w:style>
  <w:style w:type="paragraph" w:styleId="Heading6">
    <w:name w:val="heading 6"/>
    <w:basedOn w:val="Normal"/>
    <w:next w:val="Normal"/>
    <w:qFormat/>
    <w:rsid w:val="00362503"/>
    <w:pPr>
      <w:outlineLvl w:val="5"/>
    </w:pPr>
  </w:style>
  <w:style w:type="paragraph" w:styleId="Heading7">
    <w:name w:val="heading 7"/>
    <w:basedOn w:val="Normal"/>
    <w:next w:val="Normal"/>
    <w:qFormat/>
    <w:rsid w:val="00362503"/>
    <w:pPr>
      <w:outlineLvl w:val="6"/>
    </w:pPr>
  </w:style>
  <w:style w:type="paragraph" w:styleId="Heading8">
    <w:name w:val="heading 8"/>
    <w:basedOn w:val="Normal"/>
    <w:next w:val="Normal"/>
    <w:qFormat/>
    <w:rsid w:val="00362503"/>
    <w:pPr>
      <w:outlineLvl w:val="7"/>
    </w:pPr>
  </w:style>
  <w:style w:type="paragraph" w:styleId="Heading9">
    <w:name w:val="heading 9"/>
    <w:basedOn w:val="Normal"/>
    <w:next w:val="Normal"/>
    <w:qFormat/>
    <w:rsid w:val="00362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6250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6250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6250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6250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6250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6250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362503"/>
    <w:pPr>
      <w:spacing w:after="120"/>
      <w:ind w:left="1134" w:right="1134"/>
      <w:jc w:val="both"/>
    </w:pPr>
  </w:style>
  <w:style w:type="paragraph" w:customStyle="1" w:styleId="SLG">
    <w:name w:val="__S_L_G"/>
    <w:basedOn w:val="Normal"/>
    <w:next w:val="Normal"/>
    <w:rsid w:val="00362503"/>
    <w:pPr>
      <w:keepNext/>
      <w:keepLines/>
      <w:spacing w:before="240" w:after="240" w:line="580" w:lineRule="exact"/>
      <w:ind w:left="1134" w:right="1134"/>
    </w:pPr>
    <w:rPr>
      <w:b/>
      <w:sz w:val="56"/>
    </w:rPr>
  </w:style>
  <w:style w:type="paragraph" w:customStyle="1" w:styleId="SMG">
    <w:name w:val="__S_M_G"/>
    <w:basedOn w:val="Normal"/>
    <w:next w:val="Normal"/>
    <w:rsid w:val="00362503"/>
    <w:pPr>
      <w:keepNext/>
      <w:keepLines/>
      <w:spacing w:before="240" w:after="240" w:line="420" w:lineRule="exact"/>
      <w:ind w:left="1134" w:right="1134"/>
    </w:pPr>
    <w:rPr>
      <w:b/>
      <w:sz w:val="40"/>
    </w:rPr>
  </w:style>
  <w:style w:type="paragraph" w:customStyle="1" w:styleId="SSG">
    <w:name w:val="__S_S_G"/>
    <w:basedOn w:val="Normal"/>
    <w:next w:val="Normal"/>
    <w:rsid w:val="00362503"/>
    <w:pPr>
      <w:keepNext/>
      <w:keepLines/>
      <w:spacing w:before="240" w:after="240" w:line="300" w:lineRule="exact"/>
      <w:ind w:left="1134" w:right="1134"/>
    </w:pPr>
    <w:rPr>
      <w:b/>
      <w:sz w:val="28"/>
    </w:rPr>
  </w:style>
  <w:style w:type="paragraph" w:customStyle="1" w:styleId="XLargeG">
    <w:name w:val="__XLarge_G"/>
    <w:basedOn w:val="Normal"/>
    <w:next w:val="Normal"/>
    <w:rsid w:val="00362503"/>
    <w:pPr>
      <w:keepNext/>
      <w:keepLines/>
      <w:spacing w:before="240" w:after="240" w:line="420" w:lineRule="exact"/>
      <w:ind w:left="1134" w:right="1134"/>
    </w:pPr>
    <w:rPr>
      <w:b/>
      <w:sz w:val="40"/>
    </w:rPr>
  </w:style>
  <w:style w:type="paragraph" w:customStyle="1" w:styleId="Bullet1G">
    <w:name w:val="_Bullet 1_G"/>
    <w:basedOn w:val="Normal"/>
    <w:rsid w:val="00362503"/>
    <w:pPr>
      <w:numPr>
        <w:numId w:val="4"/>
      </w:numPr>
      <w:spacing w:after="120"/>
      <w:ind w:right="1134"/>
      <w:jc w:val="both"/>
    </w:pPr>
  </w:style>
  <w:style w:type="paragraph" w:customStyle="1" w:styleId="Bullet2G">
    <w:name w:val="_Bullet 2_G"/>
    <w:basedOn w:val="Normal"/>
    <w:rsid w:val="00362503"/>
    <w:pPr>
      <w:numPr>
        <w:numId w:val="5"/>
      </w:numPr>
      <w:spacing w:after="120"/>
      <w:ind w:right="1134"/>
      <w:jc w:val="both"/>
    </w:pPr>
  </w:style>
  <w:style w:type="character" w:styleId="FootnoteReference">
    <w:name w:val="footnote reference"/>
    <w:aliases w:val="4_G"/>
    <w:rsid w:val="00362503"/>
    <w:rPr>
      <w:rFonts w:ascii="Times New Roman" w:hAnsi="Times New Roman"/>
      <w:sz w:val="18"/>
      <w:vertAlign w:val="superscript"/>
      <w:lang w:val="fr-CH"/>
    </w:rPr>
  </w:style>
  <w:style w:type="character" w:styleId="EndnoteReference">
    <w:name w:val="endnote reference"/>
    <w:aliases w:val="1_G"/>
    <w:basedOn w:val="FootnoteReference"/>
    <w:rsid w:val="00362503"/>
    <w:rPr>
      <w:rFonts w:ascii="Times New Roman" w:hAnsi="Times New Roman"/>
      <w:sz w:val="18"/>
      <w:vertAlign w:val="superscript"/>
      <w:lang w:val="fr-CH"/>
    </w:rPr>
  </w:style>
  <w:style w:type="paragraph" w:styleId="Header">
    <w:name w:val="header"/>
    <w:aliases w:val="6_G"/>
    <w:basedOn w:val="Normal"/>
    <w:next w:val="Normal"/>
    <w:rsid w:val="00362503"/>
    <w:pPr>
      <w:pBdr>
        <w:bottom w:val="single" w:sz="4" w:space="4" w:color="auto"/>
      </w:pBdr>
      <w:spacing w:line="240" w:lineRule="auto"/>
    </w:pPr>
    <w:rPr>
      <w:b/>
      <w:sz w:val="18"/>
    </w:rPr>
  </w:style>
  <w:style w:type="paragraph" w:styleId="FootnoteText">
    <w:name w:val="footnote text"/>
    <w:aliases w:val="5_G"/>
    <w:basedOn w:val="Normal"/>
    <w:rsid w:val="00362503"/>
    <w:pPr>
      <w:tabs>
        <w:tab w:val="right" w:pos="1021"/>
      </w:tabs>
      <w:spacing w:line="220" w:lineRule="exact"/>
      <w:ind w:left="1134" w:right="1134" w:hanging="1134"/>
    </w:pPr>
    <w:rPr>
      <w:sz w:val="18"/>
    </w:rPr>
  </w:style>
  <w:style w:type="paragraph" w:styleId="EndnoteText">
    <w:name w:val="endnote text"/>
    <w:aliases w:val="2_G"/>
    <w:basedOn w:val="FootnoteText"/>
    <w:rsid w:val="00362503"/>
  </w:style>
  <w:style w:type="character" w:styleId="PageNumber">
    <w:name w:val="page number"/>
    <w:aliases w:val="7_G"/>
    <w:rsid w:val="00362503"/>
    <w:rPr>
      <w:rFonts w:ascii="Times New Roman" w:hAnsi="Times New Roman"/>
      <w:b/>
      <w:sz w:val="18"/>
      <w:lang w:val="fr-CH"/>
    </w:rPr>
  </w:style>
  <w:style w:type="paragraph" w:styleId="Footer">
    <w:name w:val="footer"/>
    <w:aliases w:val="3_G"/>
    <w:basedOn w:val="Normal"/>
    <w:next w:val="Normal"/>
    <w:rsid w:val="00362503"/>
    <w:pPr>
      <w:spacing w:line="240" w:lineRule="auto"/>
    </w:pPr>
    <w:rPr>
      <w:sz w:val="16"/>
    </w:rPr>
  </w:style>
  <w:style w:type="table" w:styleId="TableGrid">
    <w:name w:val="Table Grid"/>
    <w:basedOn w:val="TableNormal"/>
    <w:semiHidden/>
    <w:rsid w:val="0036250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362503"/>
    <w:rPr>
      <w:color w:val="0000FF"/>
      <w:u w:val="none"/>
    </w:rPr>
  </w:style>
  <w:style w:type="character" w:styleId="FollowedHyperlink">
    <w:name w:val="FollowedHyperlink"/>
    <w:semiHidden/>
    <w:rsid w:val="00362503"/>
    <w:rPr>
      <w:color w:val="0000FF"/>
      <w:u w:val="none"/>
    </w:rPr>
  </w:style>
  <w:style w:type="paragraph" w:customStyle="1" w:styleId="ParNoG">
    <w:name w:val="_ParNo_G"/>
    <w:basedOn w:val="SingleTxtG"/>
    <w:link w:val="ParNoGCar"/>
    <w:rsid w:val="00362503"/>
    <w:pPr>
      <w:numPr>
        <w:numId w:val="6"/>
      </w:numPr>
    </w:pPr>
  </w:style>
  <w:style w:type="character" w:customStyle="1" w:styleId="SingleTxtGCar">
    <w:name w:val="_ Single Txt_G Car"/>
    <w:link w:val="SingleTxtG"/>
    <w:rsid w:val="00C0645F"/>
    <w:rPr>
      <w:lang w:val="fr-CH" w:eastAsia="en-US" w:bidi="ar-SA"/>
    </w:rPr>
  </w:style>
  <w:style w:type="character" w:customStyle="1" w:styleId="ParNoGCar">
    <w:name w:val="_ParNo_G Car"/>
    <w:basedOn w:val="SingleTxtGCar"/>
    <w:link w:val="ParNoG"/>
    <w:rsid w:val="00C0645F"/>
    <w:rPr>
      <w:lang w:val="fr-CH" w:eastAsia="en-US" w:bidi="ar-SA"/>
    </w:rPr>
  </w:style>
  <w:style w:type="paragraph" w:styleId="BalloonText">
    <w:name w:val="Balloon Text"/>
    <w:basedOn w:val="Normal"/>
    <w:link w:val="BalloonTextChar"/>
    <w:rsid w:val="004537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5370D"/>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2503"/>
    <w:pPr>
      <w:suppressAutoHyphens/>
      <w:spacing w:line="240" w:lineRule="atLeast"/>
    </w:pPr>
    <w:rPr>
      <w:lang w:val="fr-CH" w:eastAsia="en-US"/>
    </w:rPr>
  </w:style>
  <w:style w:type="paragraph" w:styleId="Heading1">
    <w:name w:val="heading 1"/>
    <w:aliases w:val="Table_G"/>
    <w:basedOn w:val="SingleTxtG"/>
    <w:next w:val="SingleTxtG"/>
    <w:qFormat/>
    <w:rsid w:val="00362503"/>
    <w:pPr>
      <w:keepNext/>
      <w:keepLines/>
      <w:spacing w:after="0" w:line="240" w:lineRule="auto"/>
      <w:ind w:right="0"/>
      <w:jc w:val="left"/>
      <w:outlineLvl w:val="0"/>
    </w:pPr>
  </w:style>
  <w:style w:type="paragraph" w:styleId="Heading2">
    <w:name w:val="heading 2"/>
    <w:basedOn w:val="Normal"/>
    <w:next w:val="Normal"/>
    <w:qFormat/>
    <w:rsid w:val="00362503"/>
    <w:pPr>
      <w:outlineLvl w:val="1"/>
    </w:pPr>
  </w:style>
  <w:style w:type="paragraph" w:styleId="Heading3">
    <w:name w:val="heading 3"/>
    <w:basedOn w:val="Normal"/>
    <w:next w:val="Normal"/>
    <w:qFormat/>
    <w:rsid w:val="00362503"/>
    <w:pPr>
      <w:outlineLvl w:val="2"/>
    </w:pPr>
  </w:style>
  <w:style w:type="paragraph" w:styleId="Heading4">
    <w:name w:val="heading 4"/>
    <w:basedOn w:val="Normal"/>
    <w:next w:val="Normal"/>
    <w:qFormat/>
    <w:rsid w:val="00362503"/>
    <w:pPr>
      <w:outlineLvl w:val="3"/>
    </w:pPr>
  </w:style>
  <w:style w:type="paragraph" w:styleId="Heading5">
    <w:name w:val="heading 5"/>
    <w:basedOn w:val="Normal"/>
    <w:next w:val="Normal"/>
    <w:qFormat/>
    <w:rsid w:val="00362503"/>
    <w:pPr>
      <w:outlineLvl w:val="4"/>
    </w:pPr>
  </w:style>
  <w:style w:type="paragraph" w:styleId="Heading6">
    <w:name w:val="heading 6"/>
    <w:basedOn w:val="Normal"/>
    <w:next w:val="Normal"/>
    <w:qFormat/>
    <w:rsid w:val="00362503"/>
    <w:pPr>
      <w:outlineLvl w:val="5"/>
    </w:pPr>
  </w:style>
  <w:style w:type="paragraph" w:styleId="Heading7">
    <w:name w:val="heading 7"/>
    <w:basedOn w:val="Normal"/>
    <w:next w:val="Normal"/>
    <w:qFormat/>
    <w:rsid w:val="00362503"/>
    <w:pPr>
      <w:outlineLvl w:val="6"/>
    </w:pPr>
  </w:style>
  <w:style w:type="paragraph" w:styleId="Heading8">
    <w:name w:val="heading 8"/>
    <w:basedOn w:val="Normal"/>
    <w:next w:val="Normal"/>
    <w:qFormat/>
    <w:rsid w:val="00362503"/>
    <w:pPr>
      <w:outlineLvl w:val="7"/>
    </w:pPr>
  </w:style>
  <w:style w:type="paragraph" w:styleId="Heading9">
    <w:name w:val="heading 9"/>
    <w:basedOn w:val="Normal"/>
    <w:next w:val="Normal"/>
    <w:qFormat/>
    <w:rsid w:val="003625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36250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36250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36250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36250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36250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36250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362503"/>
    <w:pPr>
      <w:spacing w:after="120"/>
      <w:ind w:left="1134" w:right="1134"/>
      <w:jc w:val="both"/>
    </w:pPr>
  </w:style>
  <w:style w:type="paragraph" w:customStyle="1" w:styleId="SLG">
    <w:name w:val="__S_L_G"/>
    <w:basedOn w:val="Normal"/>
    <w:next w:val="Normal"/>
    <w:rsid w:val="00362503"/>
    <w:pPr>
      <w:keepNext/>
      <w:keepLines/>
      <w:spacing w:before="240" w:after="240" w:line="580" w:lineRule="exact"/>
      <w:ind w:left="1134" w:right="1134"/>
    </w:pPr>
    <w:rPr>
      <w:b/>
      <w:sz w:val="56"/>
    </w:rPr>
  </w:style>
  <w:style w:type="paragraph" w:customStyle="1" w:styleId="SMG">
    <w:name w:val="__S_M_G"/>
    <w:basedOn w:val="Normal"/>
    <w:next w:val="Normal"/>
    <w:rsid w:val="00362503"/>
    <w:pPr>
      <w:keepNext/>
      <w:keepLines/>
      <w:spacing w:before="240" w:after="240" w:line="420" w:lineRule="exact"/>
      <w:ind w:left="1134" w:right="1134"/>
    </w:pPr>
    <w:rPr>
      <w:b/>
      <w:sz w:val="40"/>
    </w:rPr>
  </w:style>
  <w:style w:type="paragraph" w:customStyle="1" w:styleId="SSG">
    <w:name w:val="__S_S_G"/>
    <w:basedOn w:val="Normal"/>
    <w:next w:val="Normal"/>
    <w:rsid w:val="00362503"/>
    <w:pPr>
      <w:keepNext/>
      <w:keepLines/>
      <w:spacing w:before="240" w:after="240" w:line="300" w:lineRule="exact"/>
      <w:ind w:left="1134" w:right="1134"/>
    </w:pPr>
    <w:rPr>
      <w:b/>
      <w:sz w:val="28"/>
    </w:rPr>
  </w:style>
  <w:style w:type="paragraph" w:customStyle="1" w:styleId="XLargeG">
    <w:name w:val="__XLarge_G"/>
    <w:basedOn w:val="Normal"/>
    <w:next w:val="Normal"/>
    <w:rsid w:val="00362503"/>
    <w:pPr>
      <w:keepNext/>
      <w:keepLines/>
      <w:spacing w:before="240" w:after="240" w:line="420" w:lineRule="exact"/>
      <w:ind w:left="1134" w:right="1134"/>
    </w:pPr>
    <w:rPr>
      <w:b/>
      <w:sz w:val="40"/>
    </w:rPr>
  </w:style>
  <w:style w:type="paragraph" w:customStyle="1" w:styleId="Bullet1G">
    <w:name w:val="_Bullet 1_G"/>
    <w:basedOn w:val="Normal"/>
    <w:rsid w:val="00362503"/>
    <w:pPr>
      <w:numPr>
        <w:numId w:val="4"/>
      </w:numPr>
      <w:spacing w:after="120"/>
      <w:ind w:right="1134"/>
      <w:jc w:val="both"/>
    </w:pPr>
  </w:style>
  <w:style w:type="paragraph" w:customStyle="1" w:styleId="Bullet2G">
    <w:name w:val="_Bullet 2_G"/>
    <w:basedOn w:val="Normal"/>
    <w:rsid w:val="00362503"/>
    <w:pPr>
      <w:numPr>
        <w:numId w:val="5"/>
      </w:numPr>
      <w:spacing w:after="120"/>
      <w:ind w:right="1134"/>
      <w:jc w:val="both"/>
    </w:pPr>
  </w:style>
  <w:style w:type="character" w:styleId="FootnoteReference">
    <w:name w:val="footnote reference"/>
    <w:aliases w:val="4_G"/>
    <w:rsid w:val="00362503"/>
    <w:rPr>
      <w:rFonts w:ascii="Times New Roman" w:hAnsi="Times New Roman"/>
      <w:sz w:val="18"/>
      <w:vertAlign w:val="superscript"/>
      <w:lang w:val="fr-CH"/>
    </w:rPr>
  </w:style>
  <w:style w:type="character" w:styleId="EndnoteReference">
    <w:name w:val="endnote reference"/>
    <w:aliases w:val="1_G"/>
    <w:basedOn w:val="FootnoteReference"/>
    <w:rsid w:val="00362503"/>
    <w:rPr>
      <w:rFonts w:ascii="Times New Roman" w:hAnsi="Times New Roman"/>
      <w:sz w:val="18"/>
      <w:vertAlign w:val="superscript"/>
      <w:lang w:val="fr-CH"/>
    </w:rPr>
  </w:style>
  <w:style w:type="paragraph" w:styleId="Header">
    <w:name w:val="header"/>
    <w:aliases w:val="6_G"/>
    <w:basedOn w:val="Normal"/>
    <w:next w:val="Normal"/>
    <w:rsid w:val="00362503"/>
    <w:pPr>
      <w:pBdr>
        <w:bottom w:val="single" w:sz="4" w:space="4" w:color="auto"/>
      </w:pBdr>
      <w:spacing w:line="240" w:lineRule="auto"/>
    </w:pPr>
    <w:rPr>
      <w:b/>
      <w:sz w:val="18"/>
    </w:rPr>
  </w:style>
  <w:style w:type="paragraph" w:styleId="FootnoteText">
    <w:name w:val="footnote text"/>
    <w:aliases w:val="5_G"/>
    <w:basedOn w:val="Normal"/>
    <w:rsid w:val="00362503"/>
    <w:pPr>
      <w:tabs>
        <w:tab w:val="right" w:pos="1021"/>
      </w:tabs>
      <w:spacing w:line="220" w:lineRule="exact"/>
      <w:ind w:left="1134" w:right="1134" w:hanging="1134"/>
    </w:pPr>
    <w:rPr>
      <w:sz w:val="18"/>
    </w:rPr>
  </w:style>
  <w:style w:type="paragraph" w:styleId="EndnoteText">
    <w:name w:val="endnote text"/>
    <w:aliases w:val="2_G"/>
    <w:basedOn w:val="FootnoteText"/>
    <w:rsid w:val="00362503"/>
  </w:style>
  <w:style w:type="character" w:styleId="PageNumber">
    <w:name w:val="page number"/>
    <w:aliases w:val="7_G"/>
    <w:rsid w:val="00362503"/>
    <w:rPr>
      <w:rFonts w:ascii="Times New Roman" w:hAnsi="Times New Roman"/>
      <w:b/>
      <w:sz w:val="18"/>
      <w:lang w:val="fr-CH"/>
    </w:rPr>
  </w:style>
  <w:style w:type="paragraph" w:styleId="Footer">
    <w:name w:val="footer"/>
    <w:aliases w:val="3_G"/>
    <w:basedOn w:val="Normal"/>
    <w:next w:val="Normal"/>
    <w:rsid w:val="00362503"/>
    <w:pPr>
      <w:spacing w:line="240" w:lineRule="auto"/>
    </w:pPr>
    <w:rPr>
      <w:sz w:val="16"/>
    </w:rPr>
  </w:style>
  <w:style w:type="table" w:styleId="TableGrid">
    <w:name w:val="Table Grid"/>
    <w:basedOn w:val="TableNormal"/>
    <w:semiHidden/>
    <w:rsid w:val="0036250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362503"/>
    <w:rPr>
      <w:color w:val="0000FF"/>
      <w:u w:val="none"/>
    </w:rPr>
  </w:style>
  <w:style w:type="character" w:styleId="FollowedHyperlink">
    <w:name w:val="FollowedHyperlink"/>
    <w:semiHidden/>
    <w:rsid w:val="00362503"/>
    <w:rPr>
      <w:color w:val="0000FF"/>
      <w:u w:val="none"/>
    </w:rPr>
  </w:style>
  <w:style w:type="paragraph" w:customStyle="1" w:styleId="ParNoG">
    <w:name w:val="_ParNo_G"/>
    <w:basedOn w:val="SingleTxtG"/>
    <w:link w:val="ParNoGCar"/>
    <w:rsid w:val="00362503"/>
    <w:pPr>
      <w:numPr>
        <w:numId w:val="6"/>
      </w:numPr>
    </w:pPr>
  </w:style>
  <w:style w:type="character" w:customStyle="1" w:styleId="SingleTxtGCar">
    <w:name w:val="_ Single Txt_G Car"/>
    <w:link w:val="SingleTxtG"/>
    <w:rsid w:val="00C0645F"/>
    <w:rPr>
      <w:lang w:val="fr-CH" w:eastAsia="en-US" w:bidi="ar-SA"/>
    </w:rPr>
  </w:style>
  <w:style w:type="character" w:customStyle="1" w:styleId="ParNoGCar">
    <w:name w:val="_ParNo_G Car"/>
    <w:basedOn w:val="SingleTxtGCar"/>
    <w:link w:val="ParNoG"/>
    <w:rsid w:val="00C0645F"/>
    <w:rPr>
      <w:lang w:val="fr-CH" w:eastAsia="en-US" w:bidi="ar-SA"/>
    </w:rPr>
  </w:style>
  <w:style w:type="paragraph" w:styleId="BalloonText">
    <w:name w:val="Balloon Text"/>
    <w:basedOn w:val="Normal"/>
    <w:link w:val="BalloonTextChar"/>
    <w:rsid w:val="0045370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5370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3395</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ECE/TRANS/WP.11/2014/18</vt:lpstr>
      <vt:lpstr>ECE/TRANS/WP.11/2014/18</vt:lpstr>
    </vt:vector>
  </TitlesOfParts>
  <Company>CSD</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ECE/TRANS/WP.11/2014/18</dc:title>
  <dc:subject>final</dc:subject>
  <dc:creator>BEAUNEE</dc:creator>
  <cp:lastModifiedBy>Caillot</cp:lastModifiedBy>
  <cp:revision>6</cp:revision>
  <cp:lastPrinted>2009-10-14T14:14:00Z</cp:lastPrinted>
  <dcterms:created xsi:type="dcterms:W3CDTF">2015-07-09T10:07:00Z</dcterms:created>
  <dcterms:modified xsi:type="dcterms:W3CDTF">2015-07-09T15:14:00Z</dcterms:modified>
</cp:coreProperties>
</file>